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940E46A">
      <w:pPr>
        <w:rPr>
          <w:rFonts w:ascii="Times New Roman" w:hAnsi="Times New Roman" w:eastAsia="宋体" w:cs="Times New Roman"/>
        </w:rPr>
      </w:pPr>
      <w:r>
        <w:rPr>
          <w:rFonts w:ascii="Times New Roman" w:hAnsi="Times New Roman" w:eastAsia="宋体" w:cs="Times New Roman"/>
        </w:rPr>
        <w:tab/>
      </w:r>
    </w:p>
    <w:p w14:paraId="4987B5BC">
      <w:pPr>
        <w:spacing w:line="360" w:lineRule="auto"/>
        <w:jc w:val="center"/>
        <w:rPr>
          <w:rFonts w:ascii="Times New Roman" w:hAnsi="Times New Roman" w:eastAsia="宋体" w:cs="Times New Roman"/>
          <w:szCs w:val="22"/>
        </w:rPr>
      </w:pPr>
    </w:p>
    <w:p w14:paraId="7653D79E">
      <w:pPr>
        <w:spacing w:line="360" w:lineRule="auto"/>
        <w:jc w:val="center"/>
        <w:rPr>
          <w:rFonts w:ascii="Times New Roman" w:hAnsi="Times New Roman" w:eastAsia="宋体" w:cs="Times New Roman"/>
          <w:szCs w:val="22"/>
        </w:rPr>
      </w:pPr>
    </w:p>
    <w:p w14:paraId="0983BEF0">
      <w:pPr>
        <w:spacing w:line="360" w:lineRule="auto"/>
        <w:jc w:val="center"/>
        <w:rPr>
          <w:rFonts w:ascii="Times New Roman" w:hAnsi="Times New Roman" w:eastAsia="宋体" w:cs="Times New Roman"/>
          <w:szCs w:val="22"/>
        </w:rPr>
      </w:pPr>
    </w:p>
    <w:p w14:paraId="1E40BE74">
      <w:pPr>
        <w:spacing w:line="360" w:lineRule="auto"/>
        <w:jc w:val="center"/>
        <w:rPr>
          <w:rFonts w:ascii="Times New Roman" w:hAnsi="Times New Roman" w:eastAsia="宋体" w:cs="Times New Roman"/>
          <w:szCs w:val="22"/>
        </w:rPr>
      </w:pPr>
    </w:p>
    <w:p w14:paraId="34D723A2">
      <w:pPr>
        <w:spacing w:line="360" w:lineRule="auto"/>
        <w:rPr>
          <w:rFonts w:ascii="Times New Roman" w:hAnsi="Times New Roman" w:eastAsia="宋体" w:cs="Times New Roman"/>
          <w:szCs w:val="22"/>
        </w:rPr>
      </w:pPr>
    </w:p>
    <w:p w14:paraId="3C7EE03C">
      <w:pPr>
        <w:spacing w:after="120" w:line="360" w:lineRule="auto"/>
        <w:jc w:val="center"/>
        <w:rPr>
          <w:rFonts w:ascii="Times New Roman" w:hAnsi="Times New Roman" w:eastAsia="宋体" w:cs="Times New Roman"/>
          <w:b/>
          <w:sz w:val="72"/>
          <w:szCs w:val="72"/>
        </w:rPr>
      </w:pPr>
      <w:r>
        <w:rPr>
          <w:rFonts w:ascii="Times New Roman" w:hAnsi="Times New Roman" w:eastAsia="宋体" w:cs="Times New Roman"/>
          <w:b/>
          <w:sz w:val="72"/>
          <w:szCs w:val="72"/>
        </w:rPr>
        <w:t>建设项目环境影响报告表</w:t>
      </w:r>
    </w:p>
    <w:p w14:paraId="6A6D243A">
      <w:pPr>
        <w:topLinePunct/>
        <w:spacing w:line="360" w:lineRule="auto"/>
        <w:jc w:val="center"/>
        <w:rPr>
          <w:rFonts w:ascii="Times New Roman" w:hAnsi="Times New Roman" w:eastAsia="宋体" w:cs="Times New Roman"/>
          <w:b/>
          <w:snapToGrid w:val="0"/>
          <w:sz w:val="44"/>
          <w:szCs w:val="44"/>
        </w:rPr>
      </w:pPr>
    </w:p>
    <w:p w14:paraId="7813BB61">
      <w:pPr>
        <w:topLinePunct/>
        <w:spacing w:line="360" w:lineRule="auto"/>
        <w:jc w:val="center"/>
        <w:rPr>
          <w:rFonts w:ascii="Times New Roman" w:hAnsi="Times New Roman" w:eastAsia="宋体" w:cs="Times New Roman"/>
          <w:b/>
          <w:snapToGrid w:val="0"/>
          <w:color w:val="FF0000"/>
          <w:sz w:val="44"/>
          <w:szCs w:val="44"/>
        </w:rPr>
      </w:pPr>
      <w:r>
        <w:rPr>
          <w:rFonts w:hint="eastAsia" w:ascii="Times New Roman" w:hAnsi="Times New Roman" w:eastAsia="宋体" w:cs="Times New Roman"/>
          <w:b/>
          <w:snapToGrid w:val="0"/>
          <w:color w:val="FF0000"/>
          <w:sz w:val="44"/>
          <w:szCs w:val="44"/>
          <w:lang w:eastAsia="zh-CN"/>
        </w:rPr>
        <w:t>（</w:t>
      </w:r>
      <w:r>
        <w:rPr>
          <w:rFonts w:hint="eastAsia" w:ascii="Times New Roman" w:hAnsi="Times New Roman" w:eastAsia="宋体" w:cs="Times New Roman"/>
          <w:b/>
          <w:snapToGrid w:val="0"/>
          <w:color w:val="FF0000"/>
          <w:sz w:val="44"/>
          <w:szCs w:val="44"/>
        </w:rPr>
        <w:t>报 批 件</w:t>
      </w:r>
      <w:r>
        <w:rPr>
          <w:rFonts w:hint="eastAsia" w:ascii="Times New Roman" w:hAnsi="Times New Roman" w:eastAsia="宋体" w:cs="Times New Roman"/>
          <w:b/>
          <w:snapToGrid w:val="0"/>
          <w:color w:val="FF0000"/>
          <w:sz w:val="44"/>
          <w:szCs w:val="44"/>
          <w:lang w:eastAsia="zh-CN"/>
        </w:rPr>
        <w:t>）</w:t>
      </w:r>
    </w:p>
    <w:p w14:paraId="2808712D">
      <w:pPr>
        <w:spacing w:line="360" w:lineRule="auto"/>
        <w:rPr>
          <w:rFonts w:ascii="Times New Roman" w:hAnsi="Times New Roman" w:eastAsia="宋体" w:cs="Times New Roman"/>
          <w:sz w:val="32"/>
        </w:rPr>
      </w:pPr>
    </w:p>
    <w:p w14:paraId="66EA856A">
      <w:pPr>
        <w:spacing w:line="360" w:lineRule="auto"/>
        <w:rPr>
          <w:rFonts w:ascii="Times New Roman" w:hAnsi="Times New Roman" w:eastAsia="宋体" w:cs="Times New Roman"/>
          <w:sz w:val="32"/>
        </w:rPr>
      </w:pPr>
    </w:p>
    <w:p w14:paraId="4E0D2AF1">
      <w:pPr>
        <w:spacing w:line="360" w:lineRule="auto"/>
        <w:rPr>
          <w:rFonts w:ascii="Times New Roman" w:hAnsi="Times New Roman" w:eastAsia="宋体" w:cs="Times New Roman"/>
          <w:sz w:val="32"/>
        </w:rPr>
      </w:pPr>
    </w:p>
    <w:p w14:paraId="6A354DEB">
      <w:pPr>
        <w:spacing w:line="360" w:lineRule="auto"/>
        <w:ind w:left="1718" w:leftChars="67" w:hanging="1577" w:hangingChars="491"/>
        <w:jc w:val="left"/>
        <w:rPr>
          <w:rFonts w:ascii="Times New Roman" w:hAnsi="Times New Roman" w:eastAsia="宋体" w:cs="Times New Roman"/>
          <w:b/>
          <w:bCs/>
          <w:sz w:val="32"/>
          <w:u w:val="single"/>
        </w:rPr>
      </w:pPr>
      <w:r>
        <w:rPr>
          <w:rFonts w:ascii="Times New Roman" w:hAnsi="Times New Roman" w:eastAsia="宋体" w:cs="Times New Roman"/>
          <w:b/>
          <w:sz w:val="32"/>
        </w:rPr>
        <w:t>项目名称：</w:t>
      </w:r>
      <w:r>
        <w:rPr>
          <w:rFonts w:hint="eastAsia" w:ascii="Times New Roman" w:hAnsi="Times New Roman" w:eastAsia="宋体" w:cs="Times New Roman"/>
          <w:b/>
          <w:sz w:val="32"/>
          <w:u w:val="thick"/>
        </w:rPr>
        <w:t xml:space="preserve"> </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rPr>
        <w:t xml:space="preserve">乐山艺源有机硅材料有限公司 </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rPr>
        <w:t>硅粉加工技改项目</w:t>
      </w:r>
    </w:p>
    <w:p w14:paraId="19FB1F91">
      <w:pPr>
        <w:spacing w:line="360" w:lineRule="auto"/>
        <w:ind w:left="1806" w:leftChars="49" w:hanging="1703" w:hangingChars="530"/>
        <w:rPr>
          <w:rFonts w:ascii="Times New Roman" w:hAnsi="Times New Roman" w:eastAsia="宋体" w:cs="Times New Roman"/>
          <w:b/>
          <w:sz w:val="32"/>
          <w:u w:val="thick"/>
        </w:rPr>
      </w:pPr>
    </w:p>
    <w:p w14:paraId="51F6C66E">
      <w:pPr>
        <w:spacing w:line="360" w:lineRule="auto"/>
        <w:ind w:left="1806" w:leftChars="49" w:hanging="1703" w:hangingChars="530"/>
        <w:rPr>
          <w:rFonts w:ascii="Times New Roman" w:hAnsi="Times New Roman" w:eastAsia="宋体" w:cs="Times New Roman"/>
          <w:b/>
          <w:sz w:val="32"/>
          <w:u w:val="thick"/>
        </w:rPr>
      </w:pPr>
    </w:p>
    <w:p w14:paraId="0327521E">
      <w:pPr>
        <w:spacing w:line="360" w:lineRule="auto"/>
        <w:ind w:firstLine="141" w:firstLineChars="44"/>
        <w:rPr>
          <w:rFonts w:ascii="Times New Roman" w:hAnsi="Times New Roman" w:eastAsia="宋体" w:cs="Times New Roman"/>
          <w:sz w:val="28"/>
          <w:u w:val="single"/>
        </w:rPr>
      </w:pPr>
      <w:r>
        <w:rPr>
          <w:rFonts w:ascii="Times New Roman" w:hAnsi="Times New Roman" w:eastAsia="宋体" w:cs="Times New Roman"/>
          <w:b/>
          <w:sz w:val="32"/>
        </w:rPr>
        <w:t>建设单位</w:t>
      </w:r>
      <w:r>
        <w:rPr>
          <w:rFonts w:hint="eastAsia" w:ascii="Times New Roman" w:hAnsi="Times New Roman" w:eastAsia="宋体" w:cs="Times New Roman"/>
          <w:b/>
          <w:sz w:val="32"/>
          <w:lang w:eastAsia="zh-CN"/>
        </w:rPr>
        <w:t>（</w:t>
      </w:r>
      <w:r>
        <w:rPr>
          <w:rFonts w:ascii="Times New Roman" w:hAnsi="Times New Roman" w:eastAsia="宋体" w:cs="Times New Roman"/>
          <w:b/>
          <w:sz w:val="32"/>
        </w:rPr>
        <w:t>盖章</w:t>
      </w:r>
      <w:r>
        <w:rPr>
          <w:rFonts w:hint="eastAsia" w:ascii="Times New Roman" w:hAnsi="Times New Roman" w:eastAsia="宋体" w:cs="Times New Roman"/>
          <w:b/>
          <w:sz w:val="32"/>
          <w:lang w:eastAsia="zh-CN"/>
        </w:rPr>
        <w:t>）</w:t>
      </w:r>
      <w:r>
        <w:rPr>
          <w:rFonts w:ascii="Times New Roman" w:hAnsi="Times New Roman" w:eastAsia="宋体" w:cs="Times New Roman"/>
          <w:b/>
          <w:sz w:val="32"/>
        </w:rPr>
        <w:t>：</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rPr>
        <w:t>四川林河实业集团有限公司</w:t>
      </w:r>
      <w:r>
        <w:rPr>
          <w:rFonts w:ascii="Times New Roman" w:hAnsi="Times New Roman" w:eastAsia="宋体" w:cs="Times New Roman"/>
          <w:b/>
          <w:sz w:val="32"/>
          <w:u w:val="thick"/>
        </w:rPr>
        <w:t xml:space="preserve">             </w:t>
      </w:r>
      <w:r>
        <w:rPr>
          <w:rFonts w:ascii="Times New Roman" w:hAnsi="Times New Roman" w:eastAsia="宋体" w:cs="Times New Roman"/>
          <w:b/>
          <w:sz w:val="32"/>
          <w:u w:val="single"/>
        </w:rPr>
        <w:t xml:space="preserve">    </w:t>
      </w:r>
    </w:p>
    <w:p w14:paraId="1685E872">
      <w:pPr>
        <w:spacing w:line="360" w:lineRule="auto"/>
        <w:rPr>
          <w:rFonts w:ascii="Times New Roman" w:hAnsi="Times New Roman" w:eastAsia="宋体" w:cs="Times New Roman"/>
          <w:sz w:val="32"/>
        </w:rPr>
      </w:pPr>
    </w:p>
    <w:p w14:paraId="2A3322F4">
      <w:pPr>
        <w:spacing w:line="360" w:lineRule="auto"/>
        <w:rPr>
          <w:rFonts w:ascii="Times New Roman" w:hAnsi="Times New Roman" w:eastAsia="宋体" w:cs="Times New Roman"/>
        </w:rPr>
      </w:pPr>
    </w:p>
    <w:p w14:paraId="06D0A457">
      <w:pPr>
        <w:spacing w:line="360" w:lineRule="auto"/>
        <w:rPr>
          <w:rFonts w:ascii="Times New Roman" w:hAnsi="Times New Roman" w:eastAsia="宋体" w:cs="Times New Roman"/>
        </w:rPr>
      </w:pPr>
    </w:p>
    <w:p w14:paraId="0D3D4BD7">
      <w:pPr>
        <w:spacing w:line="360" w:lineRule="auto"/>
        <w:rPr>
          <w:rFonts w:ascii="Times New Roman" w:hAnsi="Times New Roman" w:eastAsia="宋体" w:cs="Times New Roman"/>
          <w:sz w:val="32"/>
        </w:rPr>
      </w:pPr>
    </w:p>
    <w:tbl>
      <w:tblPr>
        <w:tblStyle w:val="26"/>
        <w:tblW w:w="7054" w:type="dxa"/>
        <w:jc w:val="center"/>
        <w:tblLayout w:type="fixed"/>
        <w:tblCellMar>
          <w:top w:w="0" w:type="dxa"/>
          <w:left w:w="108" w:type="dxa"/>
          <w:bottom w:w="0" w:type="dxa"/>
          <w:right w:w="108" w:type="dxa"/>
        </w:tblCellMar>
      </w:tblPr>
      <w:tblGrid>
        <w:gridCol w:w="1977"/>
        <w:gridCol w:w="5077"/>
      </w:tblGrid>
      <w:tr w14:paraId="69294AD1">
        <w:tblPrEx>
          <w:tblCellMar>
            <w:top w:w="0" w:type="dxa"/>
            <w:left w:w="108" w:type="dxa"/>
            <w:bottom w:w="0" w:type="dxa"/>
            <w:right w:w="108" w:type="dxa"/>
          </w:tblCellMar>
        </w:tblPrEx>
        <w:trPr>
          <w:trHeight w:val="567" w:hRule="exact"/>
          <w:jc w:val="center"/>
        </w:trPr>
        <w:tc>
          <w:tcPr>
            <w:tcW w:w="1977" w:type="dxa"/>
            <w:vAlign w:val="center"/>
          </w:tcPr>
          <w:p w14:paraId="03932D5C">
            <w:pPr>
              <w:spacing w:line="240" w:lineRule="atLeast"/>
              <w:jc w:val="center"/>
              <w:rPr>
                <w:rFonts w:ascii="Times New Roman" w:hAnsi="Times New Roman" w:eastAsia="宋体" w:cs="Times New Roman"/>
                <w:b/>
                <w:sz w:val="28"/>
                <w:szCs w:val="28"/>
              </w:rPr>
            </w:pPr>
            <w:r>
              <w:rPr>
                <w:rFonts w:ascii="Times New Roman" w:hAnsi="Times New Roman" w:eastAsia="宋体" w:cs="Times New Roman"/>
                <w:b/>
                <w:sz w:val="28"/>
                <w:szCs w:val="28"/>
              </w:rPr>
              <w:t>编制单位：</w:t>
            </w:r>
          </w:p>
        </w:tc>
        <w:tc>
          <w:tcPr>
            <w:tcW w:w="5077" w:type="dxa"/>
            <w:vAlign w:val="center"/>
          </w:tcPr>
          <w:p w14:paraId="403FC304">
            <w:pPr>
              <w:spacing w:line="240" w:lineRule="atLeast"/>
              <w:jc w:val="left"/>
              <w:rPr>
                <w:rFonts w:ascii="Times New Roman" w:hAnsi="Times New Roman" w:eastAsia="宋体" w:cs="Times New Roman"/>
                <w:b/>
                <w:sz w:val="28"/>
                <w:szCs w:val="28"/>
              </w:rPr>
            </w:pPr>
            <w:bookmarkStart w:id="0" w:name="_Hlk42515894"/>
            <w:r>
              <w:rPr>
                <w:rFonts w:ascii="Times New Roman" w:hAnsi="Times New Roman" w:eastAsia="宋体" w:cs="Times New Roman"/>
                <w:b/>
                <w:sz w:val="28"/>
                <w:szCs w:val="28"/>
              </w:rPr>
              <w:t>四川银励环保科技有限公司</w:t>
            </w:r>
            <w:bookmarkEnd w:id="0"/>
          </w:p>
        </w:tc>
      </w:tr>
      <w:tr w14:paraId="4BFB25FF">
        <w:tblPrEx>
          <w:tblCellMar>
            <w:top w:w="0" w:type="dxa"/>
            <w:left w:w="108" w:type="dxa"/>
            <w:bottom w:w="0" w:type="dxa"/>
            <w:right w:w="108" w:type="dxa"/>
          </w:tblCellMar>
        </w:tblPrEx>
        <w:trPr>
          <w:trHeight w:val="567" w:hRule="exact"/>
          <w:jc w:val="center"/>
        </w:trPr>
        <w:tc>
          <w:tcPr>
            <w:tcW w:w="7054" w:type="dxa"/>
            <w:gridSpan w:val="2"/>
            <w:vAlign w:val="center"/>
          </w:tcPr>
          <w:p w14:paraId="70281003">
            <w:pPr>
              <w:spacing w:line="240" w:lineRule="atLeast"/>
              <w:jc w:val="center"/>
              <w:rPr>
                <w:rFonts w:ascii="Times New Roman" w:hAnsi="Times New Roman" w:eastAsia="宋体" w:cs="Times New Roman"/>
                <w:b/>
                <w:sz w:val="28"/>
                <w:szCs w:val="28"/>
              </w:rPr>
            </w:pPr>
            <w:r>
              <w:rPr>
                <w:rFonts w:ascii="Times New Roman" w:hAnsi="Times New Roman" w:eastAsia="宋体" w:cs="Times New Roman"/>
                <w:b/>
                <w:sz w:val="28"/>
                <w:szCs w:val="28"/>
              </w:rPr>
              <w:t>二〇二〇年</w:t>
            </w:r>
            <w:r>
              <w:rPr>
                <w:rFonts w:hint="eastAsia" w:ascii="Times New Roman" w:hAnsi="Times New Roman" w:eastAsia="宋体" w:cs="Times New Roman"/>
                <w:b/>
                <w:color w:val="FF0000"/>
                <w:sz w:val="28"/>
                <w:szCs w:val="28"/>
              </w:rPr>
              <w:t>十</w:t>
            </w:r>
            <w:r>
              <w:rPr>
                <w:rFonts w:ascii="Times New Roman" w:hAnsi="Times New Roman" w:eastAsia="宋体" w:cs="Times New Roman"/>
                <w:b/>
                <w:sz w:val="28"/>
                <w:szCs w:val="28"/>
              </w:rPr>
              <w:t>月</w:t>
            </w:r>
          </w:p>
        </w:tc>
      </w:tr>
    </w:tbl>
    <w:p w14:paraId="4B34C086">
      <w:pPr>
        <w:snapToGrid w:val="0"/>
        <w:spacing w:line="360" w:lineRule="auto"/>
        <w:jc w:val="center"/>
        <w:rPr>
          <w:rFonts w:ascii="Times New Roman" w:hAnsi="Times New Roman" w:eastAsia="宋体" w:cs="Times New Roman"/>
          <w:b/>
          <w:sz w:val="32"/>
          <w:szCs w:val="28"/>
        </w:rPr>
        <w:sectPr>
          <w:headerReference r:id="rId3" w:type="default"/>
          <w:footerReference r:id="rId4" w:type="default"/>
          <w:footerReference r:id="rId5" w:type="even"/>
          <w:pgSz w:w="11906" w:h="16838"/>
          <w:pgMar w:top="1440" w:right="1797" w:bottom="1440" w:left="1797" w:header="851" w:footer="958" w:gutter="0"/>
          <w:pgNumType w:start="1"/>
          <w:cols w:space="720" w:num="1"/>
          <w:docGrid w:linePitch="312" w:charSpace="0"/>
        </w:sectPr>
      </w:pPr>
    </w:p>
    <w:p w14:paraId="3D340683">
      <w:pPr>
        <w:snapToGrid w:val="0"/>
        <w:spacing w:line="360" w:lineRule="auto"/>
        <w:jc w:val="center"/>
        <w:rPr>
          <w:rFonts w:ascii="Times New Roman" w:hAnsi="Times New Roman" w:eastAsia="宋体" w:cs="Times New Roman"/>
          <w:b/>
          <w:sz w:val="32"/>
          <w:szCs w:val="28"/>
        </w:rPr>
      </w:pPr>
      <w:r>
        <w:rPr>
          <w:rFonts w:ascii="Times New Roman" w:hAnsi="Times New Roman" w:eastAsia="宋体" w:cs="Times New Roman"/>
          <w:b/>
          <w:sz w:val="32"/>
          <w:szCs w:val="28"/>
        </w:rPr>
        <w:t>《建设项目环境影响报告表》编制说明</w:t>
      </w:r>
    </w:p>
    <w:p w14:paraId="0FEAA4F0">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《建设项目环境影响报告表》由具有从事环境影响评价工作资质的单位编制。</w:t>
      </w:r>
    </w:p>
    <w:p w14:paraId="37C63A65">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1、项目名称－－指项目立项批复时的名称，应不超过30个字（两个英文字段作一个汉字）。</w:t>
      </w:r>
    </w:p>
    <w:p w14:paraId="4ABAF8CD">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2、建设地点－－指项目所在地详细地址，公路、铁路应填写起止地点。</w:t>
      </w:r>
    </w:p>
    <w:p w14:paraId="01E7AE96">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3、行业类别－－按国标填写。</w:t>
      </w:r>
    </w:p>
    <w:p w14:paraId="3021695D">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4、总投资－－指项目投资总额。</w:t>
      </w:r>
    </w:p>
    <w:p w14:paraId="0CD3E976">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5、主要环境保护目标－－指项目区周围一定范围内集中居民住宅区、学校、医院、保护文物、风景名胜区、水源地和生态敏感点等、应尽可能给出保护目标、性质、规模和距厂界距离等。</w:t>
      </w:r>
    </w:p>
    <w:p w14:paraId="38B001B9">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6、结论与建议－－给出本项目清洁生产、达标排放和总量控制的分析结论，确定污染防治措施的有效性，说明本项目对环境造成的影响，给出建设项目环境可行性的明确结论。同时提出减少环境影响的其他建议。</w:t>
      </w:r>
    </w:p>
    <w:p w14:paraId="533EF657">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7、预审意见－－由行业主管部门填写答复意见，无主管部门项目，可不填。</w:t>
      </w:r>
    </w:p>
    <w:p w14:paraId="3A0C7BD7">
      <w:pPr>
        <w:snapToGrid w:val="0"/>
        <w:spacing w:line="600" w:lineRule="exact"/>
        <w:ind w:firstLine="560" w:firstLineChars="200"/>
        <w:rPr>
          <w:rFonts w:ascii="Times New Roman" w:hAnsi="Times New Roman" w:eastAsia="宋体" w:cs="Times New Roman"/>
          <w:sz w:val="28"/>
        </w:rPr>
        <w:sectPr>
          <w:pgSz w:w="11906" w:h="16838"/>
          <w:pgMar w:top="1440" w:right="1797" w:bottom="1440" w:left="1797" w:header="851" w:footer="958" w:gutter="0"/>
          <w:pgNumType w:start="1"/>
          <w:cols w:space="720" w:num="1"/>
          <w:docGrid w:linePitch="312" w:charSpace="0"/>
        </w:sectPr>
      </w:pPr>
      <w:r>
        <w:rPr>
          <w:rFonts w:ascii="Times New Roman" w:hAnsi="Times New Roman" w:eastAsia="宋体" w:cs="Times New Roman"/>
          <w:sz w:val="28"/>
        </w:rPr>
        <w:t>8、审批意见－－负责审批该项目的环境保护行政主管部门批复。</w:t>
      </w:r>
    </w:p>
    <w:p w14:paraId="2D86A11D">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建设项目基本情况（表一）</w:t>
      </w:r>
    </w:p>
    <w:tbl>
      <w:tblPr>
        <w:tblStyle w:val="26"/>
        <w:tblW w:w="5000"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799"/>
        <w:gridCol w:w="1202"/>
        <w:gridCol w:w="472"/>
        <w:gridCol w:w="828"/>
        <w:gridCol w:w="217"/>
        <w:gridCol w:w="1254"/>
        <w:gridCol w:w="234"/>
        <w:gridCol w:w="224"/>
        <w:gridCol w:w="1229"/>
        <w:gridCol w:w="377"/>
        <w:gridCol w:w="1338"/>
      </w:tblGrid>
      <w:tr w14:paraId="1C9EF4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0" w:hRule="atLeast"/>
          <w:jc w:val="center"/>
        </w:trPr>
        <w:tc>
          <w:tcPr>
            <w:tcW w:w="982" w:type="pct"/>
            <w:tcBorders>
              <w:top w:val="single" w:color="auto" w:sz="4" w:space="0"/>
              <w:bottom w:val="single" w:color="auto" w:sz="4" w:space="0"/>
              <w:right w:val="single" w:color="auto" w:sz="4" w:space="0"/>
            </w:tcBorders>
            <w:vAlign w:val="center"/>
          </w:tcPr>
          <w:p w14:paraId="20DF9CDE">
            <w:pPr>
              <w:jc w:val="center"/>
              <w:rPr>
                <w:rFonts w:ascii="Times New Roman" w:hAnsi="Times New Roman" w:eastAsia="宋体" w:cs="Times New Roman"/>
                <w:b/>
                <w:sz w:val="24"/>
              </w:rPr>
            </w:pPr>
            <w:r>
              <w:rPr>
                <w:rFonts w:ascii="Times New Roman" w:hAnsi="Times New Roman" w:eastAsia="宋体" w:cs="Times New Roman"/>
                <w:b/>
                <w:sz w:val="24"/>
              </w:rPr>
              <w:t>项目名称</w:t>
            </w:r>
          </w:p>
        </w:tc>
        <w:tc>
          <w:tcPr>
            <w:tcW w:w="4018" w:type="pct"/>
            <w:gridSpan w:val="10"/>
            <w:tcBorders>
              <w:top w:val="single" w:color="auto" w:sz="4" w:space="0"/>
              <w:left w:val="single" w:color="auto" w:sz="4" w:space="0"/>
              <w:bottom w:val="single" w:color="auto" w:sz="4" w:space="0"/>
            </w:tcBorders>
            <w:vAlign w:val="center"/>
          </w:tcPr>
          <w:p w14:paraId="3D91C77E">
            <w:pPr>
              <w:pStyle w:val="126"/>
              <w:adjustRightInd/>
              <w:spacing w:before="0" w:line="240" w:lineRule="auto"/>
              <w:textAlignment w:val="auto"/>
              <w:rPr>
                <w:rFonts w:ascii="Times New Roman" w:hAnsi="Times New Roman" w:eastAsia="宋体" w:cs="Times New Roman"/>
                <w:bCs/>
              </w:rPr>
            </w:pPr>
            <w:r>
              <w:rPr>
                <w:rFonts w:hint="eastAsia" w:ascii="Times New Roman" w:hAnsi="Times New Roman" w:eastAsia="宋体" w:cs="Times New Roman"/>
                <w:bCs/>
              </w:rPr>
              <w:t>乐山艺源有机硅材料有限公司硅粉加工技改项目</w:t>
            </w:r>
          </w:p>
        </w:tc>
      </w:tr>
      <w:tr w14:paraId="49D142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982" w:type="pct"/>
            <w:tcBorders>
              <w:top w:val="single" w:color="auto" w:sz="4" w:space="0"/>
              <w:bottom w:val="single" w:color="auto" w:sz="4" w:space="0"/>
              <w:right w:val="single" w:color="auto" w:sz="4" w:space="0"/>
            </w:tcBorders>
            <w:vAlign w:val="center"/>
          </w:tcPr>
          <w:p w14:paraId="190D4665">
            <w:pPr>
              <w:jc w:val="center"/>
              <w:rPr>
                <w:rFonts w:ascii="Times New Roman" w:hAnsi="Times New Roman" w:eastAsia="宋体" w:cs="Times New Roman"/>
                <w:b/>
                <w:sz w:val="24"/>
              </w:rPr>
            </w:pPr>
            <w:r>
              <w:rPr>
                <w:rFonts w:ascii="Times New Roman" w:hAnsi="Times New Roman" w:eastAsia="宋体" w:cs="Times New Roman"/>
                <w:b/>
                <w:sz w:val="24"/>
              </w:rPr>
              <w:t>建设单位</w:t>
            </w:r>
          </w:p>
        </w:tc>
        <w:tc>
          <w:tcPr>
            <w:tcW w:w="4018" w:type="pct"/>
            <w:gridSpan w:val="10"/>
            <w:tcBorders>
              <w:top w:val="single" w:color="auto" w:sz="4" w:space="0"/>
              <w:left w:val="single" w:color="auto" w:sz="4" w:space="0"/>
              <w:bottom w:val="single" w:color="auto" w:sz="4" w:space="0"/>
            </w:tcBorders>
            <w:vAlign w:val="center"/>
          </w:tcPr>
          <w:p w14:paraId="2D524FEF">
            <w:pPr>
              <w:pStyle w:val="126"/>
              <w:adjustRightInd/>
              <w:spacing w:before="0" w:line="240" w:lineRule="auto"/>
              <w:textAlignment w:val="auto"/>
              <w:rPr>
                <w:rFonts w:ascii="Times New Roman" w:hAnsi="Times New Roman" w:eastAsia="宋体" w:cs="Times New Roman"/>
                <w:bCs/>
              </w:rPr>
            </w:pPr>
            <w:r>
              <w:rPr>
                <w:rFonts w:hint="eastAsia" w:ascii="Times New Roman" w:hAnsi="Times New Roman" w:eastAsia="宋体" w:cs="Times New Roman"/>
                <w:bCs/>
              </w:rPr>
              <w:t>四川林河实业集团有限公司</w:t>
            </w:r>
          </w:p>
        </w:tc>
      </w:tr>
      <w:tr w14:paraId="0895E2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982" w:type="pct"/>
            <w:tcBorders>
              <w:top w:val="single" w:color="auto" w:sz="4" w:space="0"/>
              <w:bottom w:val="single" w:color="auto" w:sz="4" w:space="0"/>
              <w:right w:val="single" w:color="auto" w:sz="4" w:space="0"/>
            </w:tcBorders>
            <w:vAlign w:val="center"/>
          </w:tcPr>
          <w:p w14:paraId="7C03C277">
            <w:pPr>
              <w:jc w:val="center"/>
              <w:rPr>
                <w:rFonts w:ascii="Times New Roman" w:hAnsi="Times New Roman" w:eastAsia="宋体" w:cs="Times New Roman"/>
                <w:b/>
                <w:sz w:val="24"/>
                <w:szCs w:val="24"/>
              </w:rPr>
            </w:pPr>
            <w:r>
              <w:rPr>
                <w:rFonts w:ascii="Times New Roman" w:hAnsi="Times New Roman" w:eastAsia="宋体" w:cs="Times New Roman"/>
                <w:b/>
                <w:sz w:val="24"/>
                <w:szCs w:val="24"/>
              </w:rPr>
              <w:t>法人代表</w:t>
            </w:r>
          </w:p>
        </w:tc>
        <w:tc>
          <w:tcPr>
            <w:tcW w:w="1368" w:type="pct"/>
            <w:gridSpan w:val="3"/>
            <w:tcBorders>
              <w:top w:val="single" w:color="auto" w:sz="4" w:space="0"/>
              <w:left w:val="single" w:color="auto" w:sz="4" w:space="0"/>
              <w:bottom w:val="single" w:color="auto" w:sz="4" w:space="0"/>
              <w:right w:val="single" w:color="auto" w:sz="4" w:space="0"/>
            </w:tcBorders>
            <w:vAlign w:val="center"/>
          </w:tcPr>
          <w:p w14:paraId="37485846">
            <w:pPr>
              <w:pStyle w:val="126"/>
              <w:adjustRightInd/>
              <w:spacing w:before="0" w:line="240" w:lineRule="auto"/>
              <w:textAlignment w:val="auto"/>
              <w:rPr>
                <w:rFonts w:ascii="Times New Roman" w:hAnsi="Times New Roman" w:eastAsia="宋体" w:cs="Times New Roman"/>
                <w:szCs w:val="24"/>
              </w:rPr>
            </w:pPr>
            <w:r>
              <w:rPr>
                <w:rFonts w:hint="eastAsia" w:ascii="Times New Roman" w:hAnsi="Times New Roman" w:eastAsia="宋体" w:cs="Times New Roman"/>
                <w:szCs w:val="24"/>
              </w:rPr>
              <w:t>余林</w:t>
            </w:r>
          </w:p>
        </w:tc>
        <w:tc>
          <w:tcPr>
            <w:tcW w:w="932" w:type="pct"/>
            <w:gridSpan w:val="3"/>
            <w:tcBorders>
              <w:top w:val="single" w:color="auto" w:sz="4" w:space="0"/>
              <w:left w:val="single" w:color="auto" w:sz="4" w:space="0"/>
              <w:bottom w:val="single" w:color="auto" w:sz="4" w:space="0"/>
              <w:right w:val="single" w:color="auto" w:sz="4" w:space="0"/>
            </w:tcBorders>
            <w:vAlign w:val="center"/>
          </w:tcPr>
          <w:p w14:paraId="6D6F57CF">
            <w:pPr>
              <w:jc w:val="center"/>
              <w:rPr>
                <w:rFonts w:ascii="Times New Roman" w:hAnsi="Times New Roman" w:eastAsia="宋体" w:cs="Times New Roman"/>
                <w:b/>
                <w:sz w:val="24"/>
              </w:rPr>
            </w:pPr>
            <w:r>
              <w:rPr>
                <w:rFonts w:ascii="Times New Roman" w:hAnsi="Times New Roman" w:eastAsia="宋体" w:cs="Times New Roman"/>
                <w:b/>
                <w:sz w:val="24"/>
              </w:rPr>
              <w:t>联系人</w:t>
            </w:r>
          </w:p>
        </w:tc>
        <w:tc>
          <w:tcPr>
            <w:tcW w:w="1717" w:type="pct"/>
            <w:gridSpan w:val="4"/>
            <w:tcBorders>
              <w:top w:val="single" w:color="auto" w:sz="4" w:space="0"/>
              <w:left w:val="single" w:color="auto" w:sz="4" w:space="0"/>
              <w:bottom w:val="single" w:color="auto" w:sz="4" w:space="0"/>
            </w:tcBorders>
            <w:vAlign w:val="center"/>
          </w:tcPr>
          <w:p w14:paraId="63888CFE">
            <w:pPr>
              <w:pStyle w:val="126"/>
              <w:adjustRightInd/>
              <w:spacing w:before="0" w:line="240" w:lineRule="auto"/>
              <w:textAlignment w:val="auto"/>
              <w:rPr>
                <w:rFonts w:ascii="Times New Roman" w:hAnsi="Times New Roman" w:eastAsia="宋体" w:cs="Times New Roman"/>
                <w:kern w:val="2"/>
              </w:rPr>
            </w:pPr>
            <w:r>
              <w:rPr>
                <w:rFonts w:hint="eastAsia" w:ascii="Times New Roman" w:hAnsi="Times New Roman" w:eastAsia="宋体" w:cs="Times New Roman"/>
                <w:szCs w:val="24"/>
              </w:rPr>
              <w:t>罗建</w:t>
            </w:r>
          </w:p>
        </w:tc>
      </w:tr>
      <w:tr w14:paraId="0F0ECF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3" w:hRule="atLeast"/>
          <w:jc w:val="center"/>
        </w:trPr>
        <w:tc>
          <w:tcPr>
            <w:tcW w:w="982" w:type="pct"/>
            <w:tcBorders>
              <w:top w:val="single" w:color="auto" w:sz="4" w:space="0"/>
              <w:bottom w:val="single" w:color="auto" w:sz="4" w:space="0"/>
              <w:right w:val="single" w:color="auto" w:sz="4" w:space="0"/>
            </w:tcBorders>
            <w:vAlign w:val="center"/>
          </w:tcPr>
          <w:p w14:paraId="7922670F">
            <w:pPr>
              <w:jc w:val="center"/>
              <w:rPr>
                <w:rFonts w:ascii="Times New Roman" w:hAnsi="Times New Roman" w:eastAsia="宋体" w:cs="Times New Roman"/>
                <w:b/>
                <w:sz w:val="24"/>
                <w:szCs w:val="24"/>
              </w:rPr>
            </w:pPr>
            <w:r>
              <w:rPr>
                <w:rFonts w:ascii="Times New Roman" w:hAnsi="Times New Roman" w:eastAsia="宋体" w:cs="Times New Roman"/>
                <w:b/>
                <w:sz w:val="24"/>
                <w:szCs w:val="24"/>
              </w:rPr>
              <w:t>通讯地址</w:t>
            </w:r>
          </w:p>
        </w:tc>
        <w:tc>
          <w:tcPr>
            <w:tcW w:w="4018" w:type="pct"/>
            <w:gridSpan w:val="10"/>
            <w:tcBorders>
              <w:top w:val="single" w:color="auto" w:sz="4" w:space="0"/>
              <w:left w:val="single" w:color="auto" w:sz="4" w:space="0"/>
              <w:bottom w:val="single" w:color="auto" w:sz="4" w:space="0"/>
            </w:tcBorders>
            <w:vAlign w:val="center"/>
          </w:tcPr>
          <w:p w14:paraId="37D8B119">
            <w:pPr>
              <w:pStyle w:val="126"/>
              <w:adjustRightInd/>
              <w:spacing w:before="0" w:line="240" w:lineRule="auto"/>
              <w:textAlignment w:val="auto"/>
              <w:rPr>
                <w:rFonts w:ascii="Times New Roman" w:hAnsi="Times New Roman" w:eastAsia="宋体" w:cs="Times New Roman"/>
                <w:szCs w:val="24"/>
              </w:rPr>
            </w:pPr>
            <w:r>
              <w:rPr>
                <w:rFonts w:hint="eastAsia" w:ascii="Times New Roman" w:hAnsi="Times New Roman" w:eastAsia="宋体" w:cs="Times New Roman"/>
                <w:szCs w:val="24"/>
                <w:lang w:eastAsia="zh-CN"/>
              </w:rPr>
              <w:t>峨边彝族自治县</w:t>
            </w:r>
            <w:r>
              <w:rPr>
                <w:rFonts w:hint="eastAsia" w:ascii="Times New Roman" w:hAnsi="Times New Roman" w:eastAsia="宋体" w:cs="Times New Roman"/>
                <w:szCs w:val="24"/>
              </w:rPr>
              <w:t>沙坪镇景阳路181号</w:t>
            </w:r>
          </w:p>
        </w:tc>
      </w:tr>
      <w:tr w14:paraId="52E828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982" w:type="pct"/>
            <w:tcBorders>
              <w:top w:val="single" w:color="auto" w:sz="4" w:space="0"/>
              <w:bottom w:val="single" w:color="auto" w:sz="4" w:space="0"/>
              <w:right w:val="single" w:color="auto" w:sz="4" w:space="0"/>
            </w:tcBorders>
            <w:vAlign w:val="center"/>
          </w:tcPr>
          <w:p w14:paraId="46334776">
            <w:pPr>
              <w:jc w:val="center"/>
              <w:rPr>
                <w:rFonts w:ascii="Times New Roman" w:hAnsi="Times New Roman" w:eastAsia="宋体" w:cs="Times New Roman"/>
                <w:b/>
                <w:sz w:val="24"/>
              </w:rPr>
            </w:pPr>
            <w:r>
              <w:rPr>
                <w:rFonts w:ascii="Times New Roman" w:hAnsi="Times New Roman" w:eastAsia="宋体" w:cs="Times New Roman"/>
                <w:b/>
                <w:sz w:val="24"/>
              </w:rPr>
              <w:t>联系电话</w:t>
            </w:r>
          </w:p>
        </w:tc>
        <w:tc>
          <w:tcPr>
            <w:tcW w:w="916" w:type="pct"/>
            <w:gridSpan w:val="2"/>
            <w:tcBorders>
              <w:top w:val="single" w:color="auto" w:sz="4" w:space="0"/>
              <w:left w:val="single" w:color="auto" w:sz="4" w:space="0"/>
              <w:bottom w:val="single" w:color="auto" w:sz="4" w:space="0"/>
              <w:right w:val="single" w:color="auto" w:sz="4" w:space="0"/>
            </w:tcBorders>
            <w:vAlign w:val="center"/>
          </w:tcPr>
          <w:p w14:paraId="38496431">
            <w:pPr>
              <w:pStyle w:val="126"/>
              <w:adjustRightInd/>
              <w:spacing w:before="0" w:line="240" w:lineRule="auto"/>
              <w:textAlignment w:val="auto"/>
              <w:rPr>
                <w:rFonts w:ascii="Times New Roman" w:hAnsi="Times New Roman" w:eastAsia="宋体" w:cs="Times New Roman"/>
                <w:szCs w:val="24"/>
              </w:rPr>
            </w:pPr>
            <w:r>
              <w:rPr>
                <w:rFonts w:ascii="Times New Roman" w:hAnsi="Times New Roman" w:eastAsia="宋体" w:cs="Times New Roman"/>
                <w:szCs w:val="24"/>
              </w:rPr>
              <w:t>18881300701</w:t>
            </w:r>
          </w:p>
        </w:tc>
        <w:tc>
          <w:tcPr>
            <w:tcW w:w="453" w:type="pct"/>
            <w:tcBorders>
              <w:top w:val="single" w:color="auto" w:sz="4" w:space="0"/>
              <w:left w:val="single" w:color="auto" w:sz="4" w:space="0"/>
              <w:bottom w:val="single" w:color="auto" w:sz="4" w:space="0"/>
              <w:right w:val="single" w:color="auto" w:sz="4" w:space="0"/>
            </w:tcBorders>
            <w:vAlign w:val="center"/>
          </w:tcPr>
          <w:p w14:paraId="72957BF9">
            <w:pPr>
              <w:jc w:val="center"/>
              <w:rPr>
                <w:rFonts w:ascii="Times New Roman" w:hAnsi="Times New Roman" w:eastAsia="宋体" w:cs="Times New Roman"/>
                <w:b/>
                <w:sz w:val="24"/>
              </w:rPr>
            </w:pPr>
            <w:r>
              <w:rPr>
                <w:rFonts w:ascii="Times New Roman" w:hAnsi="Times New Roman" w:eastAsia="宋体" w:cs="Times New Roman"/>
                <w:b/>
                <w:sz w:val="24"/>
              </w:rPr>
              <w:t>传真</w:t>
            </w:r>
          </w:p>
        </w:tc>
        <w:tc>
          <w:tcPr>
            <w:tcW w:w="1053" w:type="pct"/>
            <w:gridSpan w:val="4"/>
            <w:tcBorders>
              <w:top w:val="single" w:color="auto" w:sz="4" w:space="0"/>
              <w:left w:val="single" w:color="auto" w:sz="4" w:space="0"/>
              <w:bottom w:val="single" w:color="auto" w:sz="4" w:space="0"/>
              <w:right w:val="single" w:color="auto" w:sz="4" w:space="0"/>
            </w:tcBorders>
            <w:vAlign w:val="center"/>
          </w:tcPr>
          <w:p w14:paraId="6BC1E6EE">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szCs w:val="24"/>
              </w:rPr>
              <w:t>/</w:t>
            </w:r>
          </w:p>
        </w:tc>
        <w:tc>
          <w:tcPr>
            <w:tcW w:w="667" w:type="pct"/>
            <w:tcBorders>
              <w:top w:val="single" w:color="auto" w:sz="4" w:space="0"/>
              <w:left w:val="single" w:color="auto" w:sz="4" w:space="0"/>
              <w:bottom w:val="single" w:color="auto" w:sz="4" w:space="0"/>
              <w:right w:val="single" w:color="auto" w:sz="4" w:space="0"/>
            </w:tcBorders>
            <w:vAlign w:val="center"/>
          </w:tcPr>
          <w:p w14:paraId="08C532D3">
            <w:pPr>
              <w:ind w:leftChars="-32" w:hanging="67" w:hangingChars="28"/>
              <w:jc w:val="center"/>
              <w:rPr>
                <w:rFonts w:ascii="Times New Roman" w:hAnsi="Times New Roman" w:eastAsia="宋体" w:cs="Times New Roman"/>
                <w:b/>
                <w:sz w:val="24"/>
              </w:rPr>
            </w:pPr>
            <w:r>
              <w:rPr>
                <w:rFonts w:ascii="Times New Roman" w:hAnsi="Times New Roman" w:eastAsia="宋体" w:cs="Times New Roman"/>
                <w:b/>
                <w:sz w:val="24"/>
              </w:rPr>
              <w:t>邮政编码</w:t>
            </w:r>
          </w:p>
        </w:tc>
        <w:tc>
          <w:tcPr>
            <w:tcW w:w="930" w:type="pct"/>
            <w:gridSpan w:val="2"/>
            <w:tcBorders>
              <w:top w:val="single" w:color="auto" w:sz="4" w:space="0"/>
              <w:left w:val="single" w:color="auto" w:sz="4" w:space="0"/>
              <w:bottom w:val="single" w:color="auto" w:sz="4" w:space="0"/>
            </w:tcBorders>
            <w:vAlign w:val="center"/>
          </w:tcPr>
          <w:p w14:paraId="103B6D98">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614300</w:t>
            </w:r>
          </w:p>
        </w:tc>
      </w:tr>
      <w:tr w14:paraId="7692B7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1" w:hRule="atLeast"/>
          <w:jc w:val="center"/>
        </w:trPr>
        <w:tc>
          <w:tcPr>
            <w:tcW w:w="982" w:type="pct"/>
            <w:tcBorders>
              <w:top w:val="single" w:color="auto" w:sz="4" w:space="0"/>
              <w:bottom w:val="single" w:color="auto" w:sz="4" w:space="0"/>
              <w:right w:val="single" w:color="auto" w:sz="4" w:space="0"/>
            </w:tcBorders>
            <w:vAlign w:val="center"/>
          </w:tcPr>
          <w:p w14:paraId="2F7020FF">
            <w:pPr>
              <w:jc w:val="center"/>
              <w:rPr>
                <w:rFonts w:ascii="Times New Roman" w:hAnsi="Times New Roman" w:eastAsia="宋体" w:cs="Times New Roman"/>
                <w:b/>
                <w:sz w:val="24"/>
              </w:rPr>
            </w:pPr>
            <w:r>
              <w:rPr>
                <w:rFonts w:ascii="Times New Roman" w:hAnsi="Times New Roman" w:eastAsia="宋体" w:cs="Times New Roman"/>
                <w:b/>
                <w:sz w:val="24"/>
              </w:rPr>
              <w:t>建设地点</w:t>
            </w:r>
          </w:p>
        </w:tc>
        <w:tc>
          <w:tcPr>
            <w:tcW w:w="4018" w:type="pct"/>
            <w:gridSpan w:val="10"/>
            <w:tcBorders>
              <w:top w:val="single" w:color="auto" w:sz="4" w:space="0"/>
              <w:left w:val="single" w:color="auto" w:sz="4" w:space="0"/>
              <w:bottom w:val="single" w:color="auto" w:sz="4" w:space="0"/>
            </w:tcBorders>
            <w:vAlign w:val="center"/>
          </w:tcPr>
          <w:p w14:paraId="7BAEA8E8">
            <w:pPr>
              <w:pStyle w:val="126"/>
              <w:spacing w:line="240" w:lineRule="auto"/>
              <w:rPr>
                <w:rFonts w:ascii="Times New Roman" w:hAnsi="Times New Roman" w:eastAsia="宋体" w:cs="Times New Roman"/>
                <w:bCs/>
              </w:rPr>
            </w:pPr>
            <w:r>
              <w:rPr>
                <w:rFonts w:hint="eastAsia" w:ascii="Times New Roman" w:hAnsi="Times New Roman" w:eastAsia="宋体" w:cs="Times New Roman"/>
                <w:szCs w:val="24"/>
              </w:rPr>
              <w:t>乐山市峨边彝族自治县峨边新场工业园区（原林河集团黄磷厂厂区）</w:t>
            </w:r>
            <w:r>
              <w:rPr>
                <w:rFonts w:ascii="Times New Roman" w:hAnsi="Times New Roman" w:eastAsia="宋体" w:cs="Times New Roman"/>
                <w:szCs w:val="24"/>
              </w:rPr>
              <w:t>（E103.2732°，N29.3078°）</w:t>
            </w:r>
          </w:p>
        </w:tc>
      </w:tr>
      <w:tr w14:paraId="63DE7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982" w:type="pct"/>
            <w:tcBorders>
              <w:top w:val="single" w:color="auto" w:sz="4" w:space="0"/>
              <w:bottom w:val="single" w:color="auto" w:sz="4" w:space="0"/>
              <w:right w:val="single" w:color="auto" w:sz="4" w:space="0"/>
            </w:tcBorders>
            <w:vAlign w:val="center"/>
          </w:tcPr>
          <w:p w14:paraId="758567C7">
            <w:pPr>
              <w:spacing w:line="440" w:lineRule="exact"/>
              <w:jc w:val="center"/>
              <w:rPr>
                <w:rFonts w:ascii="Times New Roman" w:hAnsi="Times New Roman" w:eastAsia="宋体" w:cs="Times New Roman"/>
                <w:b/>
                <w:spacing w:val="-4"/>
                <w:sz w:val="24"/>
              </w:rPr>
            </w:pPr>
            <w:r>
              <w:rPr>
                <w:rFonts w:ascii="Times New Roman" w:hAnsi="Times New Roman" w:eastAsia="宋体" w:cs="Times New Roman"/>
                <w:b/>
                <w:spacing w:val="-4"/>
                <w:sz w:val="24"/>
              </w:rPr>
              <w:t>立项审批</w:t>
            </w:r>
          </w:p>
          <w:p w14:paraId="19EB3974">
            <w:pPr>
              <w:spacing w:line="440" w:lineRule="exact"/>
              <w:jc w:val="center"/>
              <w:rPr>
                <w:rFonts w:ascii="Times New Roman" w:hAnsi="Times New Roman" w:eastAsia="宋体" w:cs="Times New Roman"/>
                <w:b/>
                <w:spacing w:val="-4"/>
                <w:sz w:val="24"/>
              </w:rPr>
            </w:pPr>
            <w:r>
              <w:rPr>
                <w:rFonts w:ascii="Times New Roman" w:hAnsi="Times New Roman" w:eastAsia="宋体" w:cs="Times New Roman"/>
                <w:b/>
                <w:spacing w:val="-4"/>
                <w:sz w:val="24"/>
              </w:rPr>
              <w:t>部门</w:t>
            </w:r>
          </w:p>
        </w:tc>
        <w:tc>
          <w:tcPr>
            <w:tcW w:w="1489" w:type="pct"/>
            <w:gridSpan w:val="4"/>
            <w:tcBorders>
              <w:top w:val="single" w:color="auto" w:sz="4" w:space="0"/>
              <w:left w:val="single" w:color="auto" w:sz="4" w:space="0"/>
              <w:bottom w:val="single" w:color="auto" w:sz="4" w:space="0"/>
              <w:right w:val="single" w:color="auto" w:sz="4" w:space="0"/>
            </w:tcBorders>
            <w:vAlign w:val="center"/>
          </w:tcPr>
          <w:p w14:paraId="7007C9DD">
            <w:pPr>
              <w:jc w:val="center"/>
              <w:rPr>
                <w:rFonts w:ascii="Times New Roman" w:hAnsi="Times New Roman" w:eastAsia="宋体" w:cs="Times New Roman"/>
                <w:sz w:val="24"/>
              </w:rPr>
            </w:pPr>
            <w:r>
              <w:rPr>
                <w:rFonts w:hint="eastAsia" w:ascii="Times New Roman" w:hAnsi="Times New Roman" w:eastAsia="宋体" w:cs="Times New Roman"/>
                <w:sz w:val="24"/>
              </w:rPr>
              <w:t>峨边彝族自治县</w:t>
            </w:r>
            <w:r>
              <w:rPr>
                <w:rFonts w:ascii="Times New Roman" w:hAnsi="Times New Roman" w:eastAsia="宋体" w:cs="Times New Roman"/>
                <w:sz w:val="24"/>
              </w:rPr>
              <w:t>经济和信息化局</w:t>
            </w:r>
          </w:p>
        </w:tc>
        <w:tc>
          <w:tcPr>
            <w:tcW w:w="685" w:type="pct"/>
            <w:tcBorders>
              <w:top w:val="single" w:color="auto" w:sz="4" w:space="0"/>
              <w:left w:val="single" w:color="auto" w:sz="4" w:space="0"/>
              <w:bottom w:val="single" w:color="auto" w:sz="4" w:space="0"/>
              <w:right w:val="single" w:color="auto" w:sz="4" w:space="0"/>
            </w:tcBorders>
            <w:vAlign w:val="center"/>
          </w:tcPr>
          <w:p w14:paraId="75D8225C">
            <w:pPr>
              <w:pStyle w:val="166"/>
              <w:spacing w:line="360" w:lineRule="auto"/>
              <w:jc w:val="center"/>
              <w:rPr>
                <w:rFonts w:ascii="Times New Roman" w:hAnsi="Times New Roman" w:eastAsia="宋体" w:cs="Times New Roman"/>
                <w:b/>
              </w:rPr>
            </w:pPr>
            <w:r>
              <w:rPr>
                <w:rFonts w:ascii="Times New Roman" w:hAnsi="Times New Roman" w:eastAsia="宋体" w:cs="Times New Roman"/>
                <w:b/>
              </w:rPr>
              <w:t>批准文号</w:t>
            </w:r>
          </w:p>
        </w:tc>
        <w:tc>
          <w:tcPr>
            <w:tcW w:w="1844" w:type="pct"/>
            <w:gridSpan w:val="5"/>
            <w:tcBorders>
              <w:top w:val="single" w:color="auto" w:sz="4" w:space="0"/>
              <w:left w:val="single" w:color="auto" w:sz="4" w:space="0"/>
              <w:bottom w:val="single" w:color="auto" w:sz="4" w:space="0"/>
            </w:tcBorders>
            <w:vAlign w:val="center"/>
          </w:tcPr>
          <w:p w14:paraId="7FAB2605">
            <w:pPr>
              <w:jc w:val="center"/>
              <w:rPr>
                <w:rFonts w:ascii="Times New Roman" w:hAnsi="Times New Roman" w:eastAsia="宋体" w:cs="Times New Roman"/>
                <w:sz w:val="24"/>
              </w:rPr>
            </w:pPr>
            <w:r>
              <w:rPr>
                <w:rFonts w:hint="eastAsia" w:ascii="Times New Roman" w:hAnsi="Times New Roman" w:eastAsia="宋体" w:cs="Times New Roman"/>
                <w:sz w:val="24"/>
              </w:rPr>
              <w:t>川投资备【2020-511132-32-03-465878】JXQB-0052号</w:t>
            </w:r>
          </w:p>
        </w:tc>
      </w:tr>
      <w:tr w14:paraId="643AA2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9" w:hRule="atLeast"/>
          <w:jc w:val="center"/>
        </w:trPr>
        <w:tc>
          <w:tcPr>
            <w:tcW w:w="982" w:type="pct"/>
            <w:tcBorders>
              <w:top w:val="single" w:color="auto" w:sz="4" w:space="0"/>
              <w:bottom w:val="single" w:color="auto" w:sz="4" w:space="0"/>
              <w:right w:val="single" w:color="auto" w:sz="4" w:space="0"/>
            </w:tcBorders>
            <w:vAlign w:val="center"/>
          </w:tcPr>
          <w:p w14:paraId="69B0C1F2">
            <w:pPr>
              <w:jc w:val="center"/>
              <w:rPr>
                <w:rFonts w:ascii="Times New Roman" w:hAnsi="Times New Roman" w:eastAsia="宋体" w:cs="Times New Roman"/>
                <w:b/>
                <w:sz w:val="24"/>
              </w:rPr>
            </w:pPr>
            <w:r>
              <w:rPr>
                <w:rFonts w:ascii="Times New Roman" w:hAnsi="Times New Roman" w:eastAsia="宋体" w:cs="Times New Roman"/>
                <w:b/>
                <w:sz w:val="24"/>
              </w:rPr>
              <w:t>建设性质</w:t>
            </w:r>
          </w:p>
        </w:tc>
        <w:tc>
          <w:tcPr>
            <w:tcW w:w="1489" w:type="pct"/>
            <w:gridSpan w:val="4"/>
            <w:tcBorders>
              <w:top w:val="single" w:color="auto" w:sz="4" w:space="0"/>
              <w:left w:val="single" w:color="auto" w:sz="4" w:space="0"/>
              <w:bottom w:val="single" w:color="auto" w:sz="4" w:space="0"/>
              <w:right w:val="single" w:color="auto" w:sz="4" w:space="0"/>
            </w:tcBorders>
            <w:vAlign w:val="center"/>
          </w:tcPr>
          <w:p w14:paraId="3D0D3DFA">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rPr>
              <w:t xml:space="preserve">□新建  </w:t>
            </w:r>
            <w:r>
              <w:rPr>
                <w:rFonts w:ascii="Segoe UI Emoji" w:hAnsi="Segoe UI Emoji" w:eastAsia="宋体" w:cs="Segoe UI Emoji"/>
                <w:sz w:val="13"/>
                <w:szCs w:val="8"/>
              </w:rPr>
              <w:t>☑</w:t>
            </w:r>
            <w:r>
              <w:rPr>
                <w:rFonts w:ascii="Times New Roman" w:hAnsi="Times New Roman" w:eastAsia="宋体" w:cs="Times New Roman"/>
              </w:rPr>
              <w:t>改扩建  □技改</w:t>
            </w:r>
          </w:p>
        </w:tc>
        <w:tc>
          <w:tcPr>
            <w:tcW w:w="685" w:type="pct"/>
            <w:tcBorders>
              <w:top w:val="single" w:color="auto" w:sz="4" w:space="0"/>
              <w:left w:val="single" w:color="auto" w:sz="4" w:space="0"/>
              <w:bottom w:val="single" w:color="auto" w:sz="4" w:space="0"/>
              <w:right w:val="single" w:color="auto" w:sz="4" w:space="0"/>
            </w:tcBorders>
            <w:vAlign w:val="center"/>
          </w:tcPr>
          <w:p w14:paraId="400F6A39">
            <w:pPr>
              <w:jc w:val="center"/>
              <w:rPr>
                <w:rFonts w:ascii="Times New Roman" w:hAnsi="Times New Roman" w:eastAsia="宋体" w:cs="Times New Roman"/>
                <w:b/>
                <w:sz w:val="24"/>
              </w:rPr>
            </w:pPr>
            <w:r>
              <w:rPr>
                <w:rFonts w:ascii="Times New Roman" w:hAnsi="Times New Roman" w:eastAsia="宋体" w:cs="Times New Roman"/>
                <w:b/>
                <w:sz w:val="24"/>
              </w:rPr>
              <w:t>行业类别及代码</w:t>
            </w:r>
          </w:p>
        </w:tc>
        <w:tc>
          <w:tcPr>
            <w:tcW w:w="1844" w:type="pct"/>
            <w:gridSpan w:val="5"/>
            <w:tcBorders>
              <w:top w:val="single" w:color="auto" w:sz="4" w:space="0"/>
              <w:left w:val="single" w:color="auto" w:sz="4" w:space="0"/>
              <w:bottom w:val="single" w:color="auto" w:sz="4" w:space="0"/>
            </w:tcBorders>
            <w:vAlign w:val="center"/>
          </w:tcPr>
          <w:p w14:paraId="2A6AF4B6">
            <w:pPr>
              <w:widowControl/>
              <w:jc w:val="center"/>
              <w:rPr>
                <w:rFonts w:ascii="Times New Roman" w:hAnsi="Times New Roman" w:eastAsia="宋体" w:cs="Times New Roman"/>
                <w:sz w:val="24"/>
                <w:szCs w:val="24"/>
              </w:rPr>
            </w:pPr>
            <w:r>
              <w:rPr>
                <w:rFonts w:ascii="Times New Roman" w:hAnsi="Times New Roman" w:eastAsia="宋体" w:cs="Times New Roman"/>
                <w:sz w:val="24"/>
                <w:szCs w:val="24"/>
              </w:rPr>
              <w:t xml:space="preserve">C3099 </w:t>
            </w:r>
            <w:r>
              <w:rPr>
                <w:rFonts w:hint="eastAsia" w:ascii="Times New Roman" w:hAnsi="Times New Roman" w:eastAsia="宋体" w:cs="Times New Roman"/>
                <w:sz w:val="24"/>
                <w:szCs w:val="24"/>
              </w:rPr>
              <w:t>非金属矿物制品制造</w:t>
            </w:r>
          </w:p>
        </w:tc>
      </w:tr>
      <w:tr w14:paraId="650D8A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982" w:type="pct"/>
            <w:tcBorders>
              <w:top w:val="single" w:color="auto" w:sz="4" w:space="0"/>
              <w:bottom w:val="single" w:color="auto" w:sz="4" w:space="0"/>
              <w:right w:val="single" w:color="auto" w:sz="4" w:space="0"/>
            </w:tcBorders>
            <w:vAlign w:val="center"/>
          </w:tcPr>
          <w:p w14:paraId="38691A22">
            <w:pPr>
              <w:jc w:val="center"/>
              <w:rPr>
                <w:rFonts w:ascii="Times New Roman" w:hAnsi="Times New Roman" w:eastAsia="宋体" w:cs="Times New Roman"/>
                <w:b/>
                <w:sz w:val="24"/>
              </w:rPr>
            </w:pPr>
            <w:r>
              <w:rPr>
                <w:rFonts w:ascii="Times New Roman" w:hAnsi="Times New Roman" w:eastAsia="宋体" w:cs="Times New Roman"/>
                <w:b/>
                <w:sz w:val="24"/>
              </w:rPr>
              <w:t>用地面积</w:t>
            </w:r>
          </w:p>
          <w:p w14:paraId="331C52A9">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平方米</w:t>
            </w:r>
            <w:r>
              <w:rPr>
                <w:rFonts w:hint="eastAsia" w:ascii="Times New Roman" w:hAnsi="Times New Roman" w:eastAsia="宋体" w:cs="Times New Roman"/>
                <w:b/>
                <w:sz w:val="24"/>
                <w:lang w:eastAsia="zh-CN"/>
              </w:rPr>
              <w:t>）</w:t>
            </w:r>
          </w:p>
        </w:tc>
        <w:tc>
          <w:tcPr>
            <w:tcW w:w="1489" w:type="pct"/>
            <w:gridSpan w:val="4"/>
            <w:tcBorders>
              <w:top w:val="single" w:color="auto" w:sz="4" w:space="0"/>
              <w:left w:val="single" w:color="auto" w:sz="4" w:space="0"/>
              <w:bottom w:val="single" w:color="auto" w:sz="4" w:space="0"/>
              <w:right w:val="single" w:color="auto" w:sz="4" w:space="0"/>
            </w:tcBorders>
            <w:vAlign w:val="center"/>
          </w:tcPr>
          <w:p w14:paraId="609BDBBC">
            <w:pPr>
              <w:jc w:val="center"/>
              <w:rPr>
                <w:rFonts w:ascii="Times New Roman" w:hAnsi="Times New Roman" w:eastAsia="宋体" w:cs="Times New Roman"/>
                <w:sz w:val="24"/>
              </w:rPr>
            </w:pPr>
            <w:r>
              <w:rPr>
                <w:rFonts w:ascii="Times New Roman" w:hAnsi="Times New Roman" w:eastAsia="宋体" w:cs="Times New Roman"/>
                <w:sz w:val="24"/>
              </w:rPr>
              <w:t>17000</w:t>
            </w:r>
          </w:p>
        </w:tc>
        <w:tc>
          <w:tcPr>
            <w:tcW w:w="685" w:type="pct"/>
            <w:tcBorders>
              <w:top w:val="single" w:color="auto" w:sz="4" w:space="0"/>
              <w:left w:val="single" w:color="auto" w:sz="4" w:space="0"/>
              <w:bottom w:val="single" w:color="auto" w:sz="4" w:space="0"/>
              <w:right w:val="single" w:color="auto" w:sz="4" w:space="0"/>
            </w:tcBorders>
            <w:vAlign w:val="center"/>
          </w:tcPr>
          <w:p w14:paraId="564999EE">
            <w:pPr>
              <w:jc w:val="center"/>
              <w:rPr>
                <w:rFonts w:ascii="Times New Roman" w:hAnsi="Times New Roman" w:eastAsia="宋体" w:cs="Times New Roman"/>
                <w:b/>
                <w:sz w:val="24"/>
              </w:rPr>
            </w:pPr>
            <w:r>
              <w:rPr>
                <w:rFonts w:ascii="Times New Roman" w:hAnsi="Times New Roman" w:eastAsia="宋体" w:cs="Times New Roman"/>
                <w:b/>
                <w:sz w:val="24"/>
              </w:rPr>
              <w:t>绿化面积</w:t>
            </w:r>
          </w:p>
          <w:p w14:paraId="60A3291C">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平方米</w:t>
            </w:r>
            <w:r>
              <w:rPr>
                <w:rFonts w:hint="eastAsia" w:ascii="Times New Roman" w:hAnsi="Times New Roman" w:eastAsia="宋体" w:cs="Times New Roman"/>
                <w:b/>
                <w:sz w:val="24"/>
                <w:lang w:eastAsia="zh-CN"/>
              </w:rPr>
              <w:t>）</w:t>
            </w:r>
          </w:p>
        </w:tc>
        <w:tc>
          <w:tcPr>
            <w:tcW w:w="1844" w:type="pct"/>
            <w:gridSpan w:val="5"/>
            <w:tcBorders>
              <w:top w:val="single" w:color="auto" w:sz="4" w:space="0"/>
              <w:left w:val="single" w:color="auto" w:sz="4" w:space="0"/>
              <w:bottom w:val="single" w:color="auto" w:sz="4" w:space="0"/>
            </w:tcBorders>
            <w:vAlign w:val="center"/>
          </w:tcPr>
          <w:p w14:paraId="6E6CF55B">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w:t>
            </w:r>
          </w:p>
        </w:tc>
      </w:tr>
      <w:tr w14:paraId="309CDE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982" w:type="pct"/>
            <w:tcBorders>
              <w:top w:val="single" w:color="auto" w:sz="4" w:space="0"/>
              <w:bottom w:val="single" w:color="auto" w:sz="4" w:space="0"/>
              <w:right w:val="single" w:color="auto" w:sz="4" w:space="0"/>
            </w:tcBorders>
            <w:vAlign w:val="center"/>
          </w:tcPr>
          <w:p w14:paraId="537DFCE3">
            <w:pPr>
              <w:jc w:val="center"/>
              <w:rPr>
                <w:rFonts w:ascii="Times New Roman" w:hAnsi="Times New Roman" w:eastAsia="宋体" w:cs="Times New Roman"/>
                <w:b/>
                <w:sz w:val="24"/>
              </w:rPr>
            </w:pPr>
            <w:r>
              <w:rPr>
                <w:rFonts w:ascii="Times New Roman" w:hAnsi="Times New Roman" w:eastAsia="宋体" w:cs="Times New Roman"/>
                <w:b/>
                <w:sz w:val="24"/>
              </w:rPr>
              <w:t>总投资</w:t>
            </w:r>
          </w:p>
          <w:p w14:paraId="235B746C">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657" w:type="pct"/>
            <w:tcBorders>
              <w:top w:val="single" w:color="auto" w:sz="4" w:space="0"/>
              <w:left w:val="single" w:color="auto" w:sz="4" w:space="0"/>
              <w:bottom w:val="single" w:color="auto" w:sz="4" w:space="0"/>
              <w:right w:val="single" w:color="auto" w:sz="4" w:space="0"/>
            </w:tcBorders>
            <w:vAlign w:val="center"/>
          </w:tcPr>
          <w:p w14:paraId="068E128D">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1920</w:t>
            </w:r>
          </w:p>
        </w:tc>
        <w:tc>
          <w:tcPr>
            <w:tcW w:w="832" w:type="pct"/>
            <w:gridSpan w:val="3"/>
            <w:tcBorders>
              <w:top w:val="single" w:color="auto" w:sz="4" w:space="0"/>
              <w:left w:val="single" w:color="auto" w:sz="4" w:space="0"/>
              <w:bottom w:val="single" w:color="auto" w:sz="4" w:space="0"/>
              <w:right w:val="single" w:color="auto" w:sz="4" w:space="0"/>
            </w:tcBorders>
            <w:vAlign w:val="center"/>
          </w:tcPr>
          <w:p w14:paraId="136A715C">
            <w:pPr>
              <w:jc w:val="center"/>
              <w:rPr>
                <w:rFonts w:ascii="Times New Roman" w:hAnsi="Times New Roman" w:eastAsia="宋体" w:cs="Times New Roman"/>
                <w:b/>
                <w:sz w:val="24"/>
              </w:rPr>
            </w:pPr>
            <w:r>
              <w:rPr>
                <w:rFonts w:ascii="Times New Roman" w:hAnsi="Times New Roman" w:eastAsia="宋体" w:cs="Times New Roman"/>
                <w:b/>
                <w:sz w:val="24"/>
              </w:rPr>
              <w:t>其中：环保投资</w:t>
            </w: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685" w:type="pct"/>
            <w:tcBorders>
              <w:top w:val="single" w:color="auto" w:sz="4" w:space="0"/>
              <w:left w:val="single" w:color="auto" w:sz="4" w:space="0"/>
              <w:bottom w:val="single" w:color="auto" w:sz="4" w:space="0"/>
              <w:right w:val="single" w:color="auto" w:sz="4" w:space="0"/>
            </w:tcBorders>
            <w:vAlign w:val="center"/>
          </w:tcPr>
          <w:p w14:paraId="758B8A7E">
            <w:pPr>
              <w:jc w:val="center"/>
              <w:rPr>
                <w:rFonts w:ascii="Times New Roman" w:hAnsi="Times New Roman" w:eastAsia="宋体" w:cs="Times New Roman"/>
                <w:sz w:val="24"/>
              </w:rPr>
            </w:pPr>
            <w:r>
              <w:rPr>
                <w:rFonts w:ascii="Times New Roman" w:hAnsi="Times New Roman" w:eastAsia="宋体" w:cs="Times New Roman"/>
                <w:sz w:val="24"/>
              </w:rPr>
              <w:t>81</w:t>
            </w:r>
          </w:p>
        </w:tc>
        <w:tc>
          <w:tcPr>
            <w:tcW w:w="1119" w:type="pct"/>
            <w:gridSpan w:val="4"/>
            <w:tcBorders>
              <w:top w:val="single" w:color="auto" w:sz="4" w:space="0"/>
              <w:left w:val="single" w:color="auto" w:sz="4" w:space="0"/>
              <w:bottom w:val="single" w:color="auto" w:sz="4" w:space="0"/>
              <w:right w:val="single" w:color="auto" w:sz="4" w:space="0"/>
            </w:tcBorders>
            <w:vAlign w:val="center"/>
          </w:tcPr>
          <w:p w14:paraId="054D0D32">
            <w:pPr>
              <w:jc w:val="center"/>
              <w:rPr>
                <w:rFonts w:ascii="Times New Roman" w:hAnsi="Times New Roman" w:eastAsia="宋体" w:cs="Times New Roman"/>
                <w:b/>
                <w:sz w:val="24"/>
              </w:rPr>
            </w:pPr>
            <w:r>
              <w:rPr>
                <w:rFonts w:ascii="Times New Roman" w:hAnsi="Times New Roman" w:eastAsia="宋体" w:cs="Times New Roman"/>
                <w:b/>
                <w:sz w:val="24"/>
              </w:rPr>
              <w:t>环保投资占总投资比例</w:t>
            </w:r>
          </w:p>
        </w:tc>
        <w:tc>
          <w:tcPr>
            <w:tcW w:w="725" w:type="pct"/>
            <w:tcBorders>
              <w:top w:val="single" w:color="auto" w:sz="4" w:space="0"/>
              <w:left w:val="single" w:color="auto" w:sz="4" w:space="0"/>
              <w:bottom w:val="single" w:color="auto" w:sz="4" w:space="0"/>
            </w:tcBorders>
            <w:vAlign w:val="center"/>
          </w:tcPr>
          <w:p w14:paraId="77FFEFBB">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4.22%</w:t>
            </w:r>
          </w:p>
        </w:tc>
      </w:tr>
      <w:tr w14:paraId="424D7D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982" w:type="pct"/>
            <w:tcBorders>
              <w:top w:val="single" w:color="auto" w:sz="4" w:space="0"/>
              <w:bottom w:val="single" w:color="auto" w:sz="4" w:space="0"/>
              <w:right w:val="single" w:color="auto" w:sz="4" w:space="0"/>
            </w:tcBorders>
            <w:vAlign w:val="center"/>
          </w:tcPr>
          <w:p w14:paraId="0D0EFC5C">
            <w:pPr>
              <w:jc w:val="center"/>
              <w:rPr>
                <w:rFonts w:ascii="Times New Roman" w:hAnsi="Times New Roman" w:eastAsia="宋体" w:cs="Times New Roman"/>
                <w:b/>
                <w:sz w:val="24"/>
              </w:rPr>
            </w:pPr>
            <w:r>
              <w:rPr>
                <w:rFonts w:ascii="Times New Roman" w:hAnsi="Times New Roman" w:eastAsia="宋体" w:cs="Times New Roman"/>
                <w:b/>
                <w:sz w:val="24"/>
              </w:rPr>
              <w:t>评价经费</w:t>
            </w:r>
          </w:p>
          <w:p w14:paraId="12F3FE56">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657" w:type="pct"/>
            <w:tcBorders>
              <w:top w:val="single" w:color="auto" w:sz="4" w:space="0"/>
              <w:left w:val="single" w:color="auto" w:sz="4" w:space="0"/>
              <w:bottom w:val="single" w:color="auto" w:sz="4" w:space="0"/>
              <w:right w:val="single" w:color="auto" w:sz="4" w:space="0"/>
            </w:tcBorders>
            <w:vAlign w:val="center"/>
          </w:tcPr>
          <w:p w14:paraId="3570E376">
            <w:pPr>
              <w:jc w:val="center"/>
              <w:rPr>
                <w:rFonts w:ascii="Times New Roman" w:hAnsi="Times New Roman" w:eastAsia="宋体" w:cs="Times New Roman"/>
                <w:b/>
                <w:sz w:val="24"/>
              </w:rPr>
            </w:pPr>
            <w:r>
              <w:rPr>
                <w:rFonts w:ascii="Times New Roman" w:hAnsi="Times New Roman" w:eastAsia="宋体" w:cs="Times New Roman"/>
                <w:b/>
                <w:sz w:val="24"/>
              </w:rPr>
              <w:t>/</w:t>
            </w:r>
          </w:p>
        </w:tc>
        <w:tc>
          <w:tcPr>
            <w:tcW w:w="832" w:type="pct"/>
            <w:gridSpan w:val="3"/>
            <w:tcBorders>
              <w:top w:val="single" w:color="auto" w:sz="4" w:space="0"/>
              <w:left w:val="single" w:color="auto" w:sz="4" w:space="0"/>
              <w:bottom w:val="single" w:color="auto" w:sz="4" w:space="0"/>
              <w:right w:val="single" w:color="auto" w:sz="4" w:space="0"/>
            </w:tcBorders>
            <w:vAlign w:val="center"/>
          </w:tcPr>
          <w:p w14:paraId="46D304E0">
            <w:pPr>
              <w:jc w:val="center"/>
              <w:rPr>
                <w:rFonts w:ascii="Times New Roman" w:hAnsi="Times New Roman" w:eastAsia="宋体" w:cs="Times New Roman"/>
                <w:b/>
                <w:sz w:val="24"/>
              </w:rPr>
            </w:pPr>
            <w:r>
              <w:rPr>
                <w:rFonts w:ascii="Times New Roman" w:hAnsi="Times New Roman" w:eastAsia="宋体" w:cs="Times New Roman"/>
                <w:b/>
                <w:sz w:val="24"/>
              </w:rPr>
              <w:t>投产日期</w:t>
            </w:r>
          </w:p>
        </w:tc>
        <w:tc>
          <w:tcPr>
            <w:tcW w:w="2528" w:type="pct"/>
            <w:gridSpan w:val="6"/>
            <w:tcBorders>
              <w:top w:val="single" w:color="auto" w:sz="4" w:space="0"/>
              <w:left w:val="single" w:color="auto" w:sz="4" w:space="0"/>
              <w:bottom w:val="single" w:color="auto" w:sz="4" w:space="0"/>
            </w:tcBorders>
            <w:vAlign w:val="center"/>
          </w:tcPr>
          <w:p w14:paraId="286EEB81">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2021年7月</w:t>
            </w:r>
          </w:p>
        </w:tc>
      </w:tr>
      <w:tr w14:paraId="38D2B5E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5000" w:type="pct"/>
            <w:gridSpan w:val="11"/>
            <w:tcBorders>
              <w:top w:val="single" w:color="auto" w:sz="4" w:space="0"/>
              <w:bottom w:val="single" w:color="auto" w:sz="4" w:space="0"/>
            </w:tcBorders>
            <w:vAlign w:val="center"/>
          </w:tcPr>
          <w:p w14:paraId="31D24021">
            <w:pPr>
              <w:spacing w:before="180" w:after="180"/>
              <w:rPr>
                <w:rFonts w:ascii="Times New Roman" w:hAnsi="Times New Roman" w:eastAsia="宋体" w:cs="Times New Roman"/>
                <w:b/>
                <w:sz w:val="30"/>
                <w:szCs w:val="30"/>
              </w:rPr>
            </w:pPr>
            <w:r>
              <w:rPr>
                <w:rFonts w:ascii="Times New Roman" w:hAnsi="Times New Roman" w:eastAsia="宋体" w:cs="Times New Roman"/>
                <w:b/>
                <w:sz w:val="30"/>
                <w:szCs w:val="30"/>
              </w:rPr>
              <w:t>项目内容及规模：</w:t>
            </w:r>
          </w:p>
          <w:p w14:paraId="69F2F0ED">
            <w:pPr>
              <w:spacing w:before="120" w:after="120"/>
              <w:rPr>
                <w:rFonts w:ascii="Times New Roman" w:hAnsi="Times New Roman" w:eastAsia="宋体" w:cs="Times New Roman"/>
                <w:b/>
                <w:sz w:val="24"/>
                <w:szCs w:val="24"/>
              </w:rPr>
            </w:pPr>
            <w:r>
              <w:rPr>
                <w:rFonts w:ascii="Times New Roman" w:hAnsi="Times New Roman" w:eastAsia="宋体" w:cs="Times New Roman"/>
                <w:b/>
                <w:sz w:val="24"/>
                <w:szCs w:val="24"/>
              </w:rPr>
              <w:t>一、建设项目的由来</w:t>
            </w:r>
          </w:p>
          <w:p w14:paraId="2811A41E">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工业硅加工成工业硅粉</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高纯晶体硅粉</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，是银灰色或暗灰色粉末，有金属光泽。因其熔点高，耐热性能好，电阻率高，具有高度抗氧化作用，是很多高科技产业如多晶硅、单晶硅不可缺少的基本原材料。</w:t>
            </w:r>
          </w:p>
          <w:p w14:paraId="47D1DB94">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现代工业规模生产硅的方法是碳热还原法，是以石英</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或硅石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、石油焦等碳质还原剂为主要原料，用电矿热电炉高温冶炼，把Si</w:t>
            </w:r>
            <w:r>
              <w:rPr>
                <w:rFonts w:ascii="Times New Roman" w:hAnsi="Times New Roman" w:eastAsia="宋体" w:cs="Times New Roman"/>
                <w:bCs/>
                <w:sz w:val="24"/>
                <w:szCs w:val="24"/>
              </w:rPr>
              <w:t>O</w:t>
            </w:r>
            <w:r>
              <w:rPr>
                <w:rFonts w:hint="eastAsia" w:ascii="Times New Roman" w:hAnsi="Times New Roman" w:eastAsia="宋体" w:cs="Times New Roman"/>
                <w:bCs/>
                <w:sz w:val="24"/>
                <w:szCs w:val="24"/>
                <w:vertAlign w:val="subscript"/>
              </w:rPr>
              <w:t>2</w:t>
            </w:r>
            <w:r>
              <w:rPr>
                <w:rFonts w:hint="eastAsia" w:ascii="Times New Roman" w:hAnsi="Times New Roman" w:eastAsia="宋体" w:cs="Times New Roman"/>
                <w:bCs/>
                <w:sz w:val="24"/>
                <w:szCs w:val="24"/>
              </w:rPr>
              <w:t>还原成硅。含硅97%以上的产品我国统称工业硅，含硅99%以上的产品称为99硅，在英文中称为金属硅。金属硅属高纯度的工业硅，是有机硅生产的重要原料，属国家重点鼓励发展的产业项目。高纯度的工业硅经过一系列的工艺处理以后可以生成单晶硅</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产品含硅纯度可达99.99%</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供电子工业使用，是半导体特别是电子元件芯片的关键性材料。正是由于高纯度的金属硅具有极其广泛的用途，国内外市场对金属硅产品的需求量逐年增大。随着高新技术的进步、世界经济的发展，硅的使用范围将越来越广泛，需求量也将越来越大。我国工业硅生产中，原材料以及能源成本</w:t>
            </w:r>
            <w:r>
              <w:rPr>
                <w:rFonts w:hint="eastAsia" w:ascii="Times New Roman" w:hAnsi="Times New Roman" w:eastAsia="宋体" w:cs="Times New Roman"/>
                <w:bCs/>
                <w:sz w:val="24"/>
                <w:szCs w:val="24"/>
                <w:lang w:eastAsia="zh-CN"/>
              </w:rPr>
              <w:t>占</w:t>
            </w:r>
            <w:r>
              <w:rPr>
                <w:rFonts w:hint="eastAsia" w:ascii="Times New Roman" w:hAnsi="Times New Roman" w:eastAsia="宋体" w:cs="Times New Roman"/>
                <w:bCs/>
                <w:sz w:val="24"/>
                <w:szCs w:val="24"/>
              </w:rPr>
              <w:t>总成本的90%左右，其中原材料成本占50%左右，能源成本占40%。而其他的费用成本仅为总成本的10%左右。</w:t>
            </w:r>
          </w:p>
          <w:p w14:paraId="58E19DF2">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四川林河集团，成立于</w:t>
            </w:r>
            <w:r>
              <w:rPr>
                <w:rFonts w:hint="eastAsia" w:ascii="Times New Roman" w:hAnsi="Times New Roman" w:eastAsia="宋体" w:cs="Times New Roman"/>
                <w:bCs/>
                <w:sz w:val="24"/>
                <w:szCs w:val="24"/>
              </w:rPr>
              <w:t>2002</w:t>
            </w:r>
            <w:r>
              <w:rPr>
                <w:rFonts w:ascii="Times New Roman" w:hAnsi="Times New Roman" w:eastAsia="宋体" w:cs="Times New Roman"/>
                <w:bCs/>
                <w:sz w:val="24"/>
                <w:szCs w:val="24"/>
              </w:rPr>
              <w:t>年</w:t>
            </w:r>
            <w:r>
              <w:rPr>
                <w:rFonts w:hint="eastAsia" w:ascii="Times New Roman" w:hAnsi="Times New Roman" w:eastAsia="宋体" w:cs="Times New Roman"/>
                <w:bCs/>
                <w:sz w:val="24"/>
                <w:szCs w:val="24"/>
              </w:rPr>
              <w:t>4</w:t>
            </w:r>
            <w:r>
              <w:rPr>
                <w:rFonts w:ascii="Times New Roman" w:hAnsi="Times New Roman" w:eastAsia="宋体" w:cs="Times New Roman"/>
                <w:bCs/>
                <w:sz w:val="24"/>
                <w:szCs w:val="24"/>
              </w:rPr>
              <w:t>月，位于四川省乐山市，公司从事电力开发、工业硅生产和销售多年，具备成熟的工业硅生产冶炼技术及先进的生产工艺，现主要生产销售工业硅系列产品。</w:t>
            </w:r>
            <w:r>
              <w:rPr>
                <w:rFonts w:hint="eastAsia" w:ascii="Times New Roman" w:hAnsi="Times New Roman" w:eastAsia="宋体" w:cs="Times New Roman"/>
                <w:bCs/>
                <w:sz w:val="24"/>
                <w:szCs w:val="24"/>
              </w:rPr>
              <w:t>项目硅粉加工是依托公司现有的4万吨的工业硅生产量为原料，是对工业硅产品的再次深加工。</w:t>
            </w:r>
          </w:p>
          <w:p w14:paraId="70F17330">
            <w:pPr>
              <w:spacing w:line="360" w:lineRule="auto"/>
              <w:ind w:firstLine="480" w:firstLineChars="200"/>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项目所在地原为四川峨边林河电力有限公司新场2</w:t>
            </w:r>
            <w:r>
              <w:rPr>
                <w:rFonts w:ascii="Times New Roman" w:hAnsi="Times New Roman" w:eastAsia="宋体" w:cs="Times New Roman"/>
                <w:bCs/>
                <w:color w:val="FF0000"/>
                <w:sz w:val="24"/>
                <w:szCs w:val="24"/>
              </w:rPr>
              <w:t>000</w:t>
            </w:r>
            <w:r>
              <w:rPr>
                <w:rFonts w:hint="eastAsia" w:ascii="Times New Roman" w:hAnsi="Times New Roman" w:eastAsia="宋体" w:cs="Times New Roman"/>
                <w:bCs/>
                <w:color w:val="FF0000"/>
                <w:sz w:val="24"/>
                <w:szCs w:val="24"/>
              </w:rPr>
              <w:t>吨/年磷化厂项目建设地。原黄磷厂收购峨边海乐磷化厂进行黄磷生产，生产规模为年产黄磷2</w:t>
            </w:r>
            <w:r>
              <w:rPr>
                <w:rFonts w:ascii="Times New Roman" w:hAnsi="Times New Roman" w:eastAsia="宋体" w:cs="Times New Roman"/>
                <w:bCs/>
                <w:color w:val="FF0000"/>
                <w:sz w:val="24"/>
                <w:szCs w:val="24"/>
              </w:rPr>
              <w:t>000</w:t>
            </w:r>
            <w:r>
              <w:rPr>
                <w:rFonts w:hint="eastAsia" w:ascii="Times New Roman" w:hAnsi="Times New Roman" w:eastAsia="宋体" w:cs="Times New Roman"/>
                <w:bCs/>
                <w:color w:val="FF0000"/>
                <w:sz w:val="24"/>
                <w:szCs w:val="24"/>
              </w:rPr>
              <w:t>吨。</w:t>
            </w:r>
          </w:p>
          <w:p w14:paraId="62753D4E">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本项目的发展有助于创造就业机会，增加地方财政收入，促进</w:t>
            </w:r>
            <w:r>
              <w:rPr>
                <w:rFonts w:hint="eastAsia" w:ascii="Times New Roman" w:hAnsi="Times New Roman" w:eastAsia="宋体" w:cs="Times New Roman"/>
                <w:bCs/>
                <w:sz w:val="24"/>
                <w:szCs w:val="24"/>
                <w:lang w:eastAsia="zh-CN"/>
              </w:rPr>
              <w:t>峨边彝族自治县</w:t>
            </w:r>
            <w:r>
              <w:rPr>
                <w:rFonts w:hint="eastAsia" w:ascii="Times New Roman" w:hAnsi="Times New Roman" w:eastAsia="宋体" w:cs="Times New Roman"/>
                <w:bCs/>
                <w:sz w:val="24"/>
                <w:szCs w:val="24"/>
              </w:rPr>
              <w:t>域经济的发展。同时，乐山区域内</w:t>
            </w:r>
            <w:r>
              <w:rPr>
                <w:rFonts w:hint="eastAsia" w:ascii="Times New Roman" w:hAnsi="Times New Roman" w:eastAsia="宋体" w:cs="Times New Roman"/>
                <w:bCs/>
                <w:sz w:val="24"/>
                <w:szCs w:val="24"/>
                <w:lang w:eastAsia="zh-CN"/>
              </w:rPr>
              <w:t>有</w:t>
            </w:r>
            <w:r>
              <w:rPr>
                <w:rFonts w:hint="eastAsia" w:ascii="Times New Roman" w:hAnsi="Times New Roman" w:eastAsia="宋体" w:cs="Times New Roman"/>
                <w:bCs/>
                <w:sz w:val="24"/>
                <w:szCs w:val="24"/>
              </w:rPr>
              <w:t>永祥硅业和协鑫硅业两家大型单晶硅和有机硅企业</w:t>
            </w:r>
            <w:r>
              <w:rPr>
                <w:rFonts w:ascii="Times New Roman" w:hAnsi="Times New Roman" w:eastAsia="宋体" w:cs="Times New Roman"/>
                <w:bCs/>
                <w:sz w:val="24"/>
                <w:szCs w:val="24"/>
              </w:rPr>
              <w:t>，</w:t>
            </w:r>
            <w:r>
              <w:rPr>
                <w:rFonts w:hint="eastAsia" w:ascii="Times New Roman" w:hAnsi="Times New Roman" w:eastAsia="宋体" w:cs="Times New Roman"/>
                <w:bCs/>
                <w:sz w:val="24"/>
                <w:szCs w:val="24"/>
              </w:rPr>
              <w:t>项目对粗加工产品</w:t>
            </w:r>
            <w:r>
              <w:rPr>
                <w:rFonts w:ascii="Times New Roman" w:hAnsi="Times New Roman" w:eastAsia="宋体" w:cs="Times New Roman"/>
                <w:bCs/>
                <w:sz w:val="24"/>
                <w:szCs w:val="24"/>
              </w:rPr>
              <w:t>进行产业优化调整，提高自身经济效益。</w:t>
            </w:r>
            <w:r>
              <w:rPr>
                <w:rFonts w:hint="eastAsia" w:ascii="Times New Roman" w:hAnsi="Times New Roman" w:eastAsia="宋体" w:cs="Times New Roman"/>
                <w:bCs/>
                <w:sz w:val="24"/>
                <w:szCs w:val="24"/>
              </w:rPr>
              <w:t>项目拟在乐山市峨边彝族自治县峨边新场工业园区（原林河集团黄磷厂厂区）范围内改建2×1500硅粉车间990平方米，综合楼260平方米，硅块中转库1012.5平方米，产品粉散装罐区843.5平方米，机修车间60.225平方米。新增硅块料仓3台、细碎料仓3台、除尘器料仓3台、电机振动给料3台、颚式破碎机3台、分级机前料仓1台、板链式斗提</w:t>
            </w:r>
            <w:r>
              <w:rPr>
                <w:rFonts w:hint="eastAsia" w:ascii="Times New Roman" w:hAnsi="Times New Roman" w:eastAsia="宋体" w:cs="Times New Roman"/>
                <w:bCs/>
                <w:sz w:val="24"/>
                <w:szCs w:val="24"/>
                <w:lang w:eastAsia="zh-CN"/>
              </w:rPr>
              <w:t>机</w:t>
            </w:r>
            <w:r>
              <w:rPr>
                <w:rFonts w:hint="eastAsia" w:ascii="Times New Roman" w:hAnsi="Times New Roman" w:eastAsia="宋体" w:cs="Times New Roman"/>
                <w:bCs/>
                <w:sz w:val="24"/>
                <w:szCs w:val="24"/>
              </w:rPr>
              <w:t>3台、永磁除铁器3台、轴流风机2台、密封型电机振动给料机3台、DCS控制系统3套等。达到年产工业硅粉4万吨的生产能力。</w:t>
            </w:r>
          </w:p>
          <w:p w14:paraId="46BDC4DC">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2020年5月29日，</w:t>
            </w:r>
            <w:r>
              <w:rPr>
                <w:rFonts w:hint="eastAsia" w:ascii="Times New Roman" w:hAnsi="Times New Roman" w:eastAsia="宋体" w:cs="Times New Roman"/>
                <w:bCs/>
                <w:sz w:val="24"/>
                <w:szCs w:val="24"/>
              </w:rPr>
              <w:t>峨边彝族自治县</w:t>
            </w:r>
            <w:r>
              <w:rPr>
                <w:rFonts w:ascii="Times New Roman" w:hAnsi="Times New Roman" w:eastAsia="宋体" w:cs="Times New Roman"/>
                <w:bCs/>
                <w:sz w:val="24"/>
                <w:szCs w:val="24"/>
              </w:rPr>
              <w:t>经济和信息化局对本项目进行了立项</w:t>
            </w:r>
            <w:r>
              <w:rPr>
                <w:rFonts w:ascii="Times New Roman" w:hAnsi="Times New Roman" w:eastAsia="宋体" w:cs="Times New Roman"/>
                <w:sz w:val="24"/>
                <w:szCs w:val="24"/>
              </w:rPr>
              <w:t>《四川省技术改造投资项目备案表》，备案号：</w:t>
            </w:r>
            <w:r>
              <w:rPr>
                <w:rFonts w:hint="eastAsia" w:ascii="Times New Roman" w:hAnsi="Times New Roman" w:eastAsia="宋体" w:cs="Times New Roman"/>
                <w:sz w:val="24"/>
                <w:szCs w:val="24"/>
              </w:rPr>
              <w:t>川投资备【2020-511132-32-03-465878】JXQB-0052号</w:t>
            </w:r>
            <w:r>
              <w:rPr>
                <w:rFonts w:ascii="Times New Roman" w:hAnsi="Times New Roman" w:eastAsia="宋体" w:cs="Times New Roman"/>
                <w:sz w:val="24"/>
                <w:szCs w:val="24"/>
              </w:rPr>
              <w:t>，同意本项目建设。</w:t>
            </w:r>
          </w:p>
          <w:p w14:paraId="7935F87F">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根据《中华人民共和国环境保护法</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关于修改</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建设项目环境保护管理条例</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的决定》（中华人民共和国国务院令 第682号）、《中华人民共和国环境影响评价法》及国务院253号令的要求，本项目应进行环境影响评价工作，故于2020年7月，建设单位委托我单位承担“</w:t>
            </w:r>
            <w:r>
              <w:rPr>
                <w:rFonts w:hint="eastAsia" w:ascii="Times New Roman" w:hAnsi="Times New Roman" w:eastAsia="宋体" w:cs="Times New Roman"/>
                <w:bCs/>
                <w:sz w:val="24"/>
                <w:szCs w:val="24"/>
              </w:rPr>
              <w:t>乐山艺源有机硅材料有限公司硅粉加工技改项目</w:t>
            </w:r>
            <w:r>
              <w:rPr>
                <w:rFonts w:ascii="Times New Roman" w:hAnsi="Times New Roman" w:eastAsia="宋体" w:cs="Times New Roman"/>
                <w:bCs/>
                <w:sz w:val="24"/>
                <w:szCs w:val="24"/>
              </w:rPr>
              <w:t>”环保手续。</w:t>
            </w:r>
          </w:p>
          <w:p w14:paraId="268B1267">
            <w:pPr>
              <w:spacing w:line="360" w:lineRule="auto"/>
              <w:ind w:firstLine="504" w:firstLineChars="210"/>
              <w:rPr>
                <w:rFonts w:ascii="Times New Roman" w:hAnsi="Times New Roman" w:eastAsia="宋体" w:cs="Times New Roman"/>
                <w:bCs/>
                <w:sz w:val="24"/>
                <w:u w:val="single"/>
              </w:rPr>
            </w:pPr>
            <w:r>
              <w:rPr>
                <w:rFonts w:ascii="Times New Roman" w:hAnsi="Times New Roman" w:eastAsia="宋体" w:cs="Times New Roman"/>
                <w:bCs/>
                <w:sz w:val="24"/>
                <w:szCs w:val="24"/>
              </w:rPr>
              <w:t>接受委托后，我单位根据相关法律法规并查阅《建设项目环境影响评价分类管理名录》（部令第44号及部令第1号），本项目属于“</w:t>
            </w:r>
            <w:r>
              <w:rPr>
                <w:rFonts w:hint="eastAsia" w:ascii="Times New Roman" w:hAnsi="Times New Roman" w:eastAsia="宋体" w:cs="Times New Roman"/>
                <w:b/>
                <w:bCs/>
                <w:sz w:val="24"/>
                <w:szCs w:val="24"/>
              </w:rPr>
              <w:t>十九</w:t>
            </w:r>
            <w:r>
              <w:rPr>
                <w:rFonts w:ascii="Times New Roman" w:hAnsi="Times New Roman" w:eastAsia="宋体" w:cs="Times New Roman"/>
                <w:b/>
                <w:bCs/>
                <w:sz w:val="24"/>
                <w:szCs w:val="24"/>
              </w:rPr>
              <w:t>、</w:t>
            </w:r>
            <w:r>
              <w:rPr>
                <w:rFonts w:hint="eastAsia" w:ascii="Times New Roman" w:hAnsi="Times New Roman" w:eastAsia="宋体" w:cs="Times New Roman"/>
                <w:b/>
                <w:bCs/>
                <w:sz w:val="24"/>
                <w:szCs w:val="24"/>
              </w:rPr>
              <w:t>非金属矿物制品业</w:t>
            </w:r>
            <w:r>
              <w:rPr>
                <w:rFonts w:ascii="Times New Roman" w:hAnsi="Times New Roman" w:eastAsia="宋体" w:cs="Times New Roman"/>
                <w:bCs/>
                <w:sz w:val="24"/>
                <w:szCs w:val="24"/>
              </w:rPr>
              <w:t>”中的“</w:t>
            </w:r>
            <w:r>
              <w:rPr>
                <w:rFonts w:ascii="Times New Roman" w:hAnsi="Times New Roman" w:eastAsia="宋体" w:cs="Times New Roman"/>
                <w:b/>
                <w:bCs/>
                <w:sz w:val="24"/>
                <w:szCs w:val="24"/>
              </w:rPr>
              <w:t xml:space="preserve">56 </w:t>
            </w:r>
            <w:r>
              <w:rPr>
                <w:rFonts w:hint="eastAsia" w:ascii="Times New Roman" w:hAnsi="Times New Roman" w:eastAsia="宋体" w:cs="Times New Roman"/>
                <w:b/>
                <w:bCs/>
                <w:sz w:val="24"/>
                <w:szCs w:val="24"/>
              </w:rPr>
              <w:t>石墨及其他非金属矿物制品 其他</w:t>
            </w:r>
            <w:r>
              <w:rPr>
                <w:rFonts w:ascii="Times New Roman" w:hAnsi="Times New Roman" w:eastAsia="宋体" w:cs="Times New Roman"/>
                <w:bCs/>
                <w:sz w:val="24"/>
                <w:szCs w:val="24"/>
              </w:rPr>
              <w:t>”，</w:t>
            </w:r>
            <w:r>
              <w:rPr>
                <w:rFonts w:ascii="Times New Roman" w:hAnsi="Times New Roman" w:eastAsia="宋体" w:cs="Times New Roman"/>
                <w:bCs/>
                <w:sz w:val="24"/>
              </w:rPr>
              <w:t>均应编制环境影响报告表。</w:t>
            </w:r>
            <w:r>
              <w:rPr>
                <w:rFonts w:ascii="Times New Roman" w:hAnsi="Times New Roman" w:eastAsia="宋体" w:cs="Times New Roman"/>
                <w:bCs/>
                <w:sz w:val="24"/>
                <w:szCs w:val="24"/>
              </w:rPr>
              <w:t>通过现场勘察、收集资料等工作，结合本项目的特点，按照国家有关技术规范要求，编制完成了《</w:t>
            </w:r>
            <w:r>
              <w:rPr>
                <w:rFonts w:hint="eastAsia" w:ascii="Times New Roman" w:hAnsi="Times New Roman" w:eastAsia="宋体" w:cs="Times New Roman"/>
                <w:bCs/>
                <w:sz w:val="24"/>
                <w:szCs w:val="24"/>
              </w:rPr>
              <w:t>乐山艺源有机硅材料有限公司硅粉加工技改项目</w:t>
            </w:r>
            <w:r>
              <w:rPr>
                <w:rFonts w:ascii="Times New Roman" w:hAnsi="Times New Roman" w:eastAsia="宋体" w:cs="Times New Roman"/>
                <w:bCs/>
                <w:sz w:val="24"/>
                <w:szCs w:val="24"/>
              </w:rPr>
              <w:t>》，现呈报审查，待审批后作为开展项目建设环保设计及主管部门环境管理工作的依据。</w:t>
            </w:r>
          </w:p>
          <w:p w14:paraId="404DD368">
            <w:pPr>
              <w:spacing w:before="120" w:after="120" w:line="276" w:lineRule="auto"/>
              <w:rPr>
                <w:rFonts w:ascii="Times New Roman" w:hAnsi="Times New Roman" w:eastAsia="宋体" w:cs="Times New Roman"/>
                <w:b/>
                <w:sz w:val="24"/>
                <w:szCs w:val="24"/>
              </w:rPr>
            </w:pPr>
            <w:r>
              <w:rPr>
                <w:rFonts w:ascii="Times New Roman" w:hAnsi="Times New Roman" w:eastAsia="宋体" w:cs="Times New Roman"/>
                <w:b/>
                <w:sz w:val="24"/>
                <w:szCs w:val="24"/>
              </w:rPr>
              <w:t>二、分析判定相关情况分析</w:t>
            </w:r>
          </w:p>
          <w:p w14:paraId="04B41C65">
            <w:pPr>
              <w:spacing w:before="120" w:after="120" w:line="276"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（1）产业政策符合性分析</w:t>
            </w:r>
          </w:p>
          <w:p w14:paraId="0CB1F97B">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根据国民经济行业分类与代码（GB/T4754－2017），本项目属于“</w:t>
            </w:r>
            <w:r>
              <w:rPr>
                <w:rFonts w:hint="eastAsia" w:ascii="Times New Roman" w:hAnsi="Times New Roman" w:eastAsia="宋体" w:cs="Times New Roman"/>
                <w:sz w:val="24"/>
                <w:szCs w:val="24"/>
              </w:rPr>
              <w:t>C3099 非金属矿物制品制造</w:t>
            </w:r>
            <w:r>
              <w:rPr>
                <w:rFonts w:ascii="Times New Roman" w:hAnsi="Times New Roman" w:eastAsia="宋体" w:cs="Times New Roman"/>
                <w:sz w:val="24"/>
                <w:szCs w:val="24"/>
              </w:rPr>
              <w:t>”</w:t>
            </w:r>
            <w:r>
              <w:rPr>
                <w:rFonts w:ascii="Times New Roman" w:hAnsi="Times New Roman" w:eastAsia="宋体" w:cs="Times New Roman"/>
                <w:kern w:val="44"/>
                <w:sz w:val="24"/>
              </w:rPr>
              <w:t>，中华人民共和国国家发展和改革委员会令第29号《产业结构调整指导目录（2019年本）</w:t>
            </w:r>
            <w:r>
              <w:rPr>
                <w:rFonts w:ascii="Times New Roman" w:hAnsi="Times New Roman" w:eastAsia="宋体" w:cs="Times New Roman"/>
                <w:sz w:val="24"/>
                <w:szCs w:val="24"/>
              </w:rPr>
              <w:t>》，本项目</w:t>
            </w:r>
            <w:r>
              <w:rPr>
                <w:rFonts w:hint="eastAsia" w:ascii="Times New Roman" w:hAnsi="Times New Roman" w:eastAsia="宋体" w:cs="Times New Roman"/>
                <w:sz w:val="24"/>
                <w:szCs w:val="24"/>
              </w:rPr>
              <w:t>为工业硅粉生产项目，是单、多高纯晶硅的上游工序，项目生</w:t>
            </w:r>
            <w:r>
              <w:rPr>
                <w:rFonts w:hint="eastAsia" w:ascii="Times New Roman" w:hAnsi="Times New Roman" w:eastAsia="宋体" w:cs="Times New Roman"/>
                <w:sz w:val="24"/>
                <w:szCs w:val="24"/>
                <w:lang w:eastAsia="zh-CN"/>
              </w:rPr>
              <w:t>产的</w:t>
            </w:r>
            <w:r>
              <w:rPr>
                <w:rFonts w:hint="eastAsia" w:ascii="Times New Roman" w:hAnsi="Times New Roman" w:eastAsia="宋体" w:cs="Times New Roman"/>
                <w:sz w:val="24"/>
                <w:szCs w:val="24"/>
              </w:rPr>
              <w:t>硅粉运至公司下游高纯工业硅再加工，</w:t>
            </w:r>
            <w:r>
              <w:rPr>
                <w:rFonts w:ascii="Times New Roman" w:hAnsi="Times New Roman" w:eastAsia="宋体" w:cs="Times New Roman"/>
                <w:sz w:val="24"/>
                <w:szCs w:val="24"/>
              </w:rPr>
              <w:t>属于</w:t>
            </w:r>
            <w:r>
              <w:rPr>
                <w:rFonts w:hint="eastAsia" w:ascii="Times New Roman" w:hAnsi="Times New Roman" w:eastAsia="宋体" w:cs="Times New Roman"/>
                <w:sz w:val="24"/>
                <w:szCs w:val="24"/>
              </w:rPr>
              <w:t xml:space="preserve">“第一类 鼓励类”中的“十二、建材 </w:t>
            </w:r>
            <w:r>
              <w:rPr>
                <w:rFonts w:ascii="Times New Roman" w:hAnsi="Times New Roman" w:eastAsia="宋体" w:cs="Times New Roman"/>
                <w:sz w:val="24"/>
                <w:szCs w:val="24"/>
              </w:rPr>
              <w:t>8</w:t>
            </w:r>
            <w:r>
              <w:rPr>
                <w:rFonts w:hint="eastAsia" w:ascii="Times New Roman" w:hAnsi="Times New Roman" w:eastAsia="宋体" w:cs="Times New Roman"/>
                <w:sz w:val="24"/>
                <w:szCs w:val="24"/>
              </w:rPr>
              <w:t>、高纯纳米级球形硅微粉与</w:t>
            </w:r>
            <w:r>
              <w:rPr>
                <w:rFonts w:hint="eastAsia" w:ascii="Times New Roman" w:hAnsi="Times New Roman" w:eastAsia="宋体" w:cs="Times New Roman"/>
                <w:b/>
                <w:bCs/>
                <w:sz w:val="24"/>
                <w:szCs w:val="24"/>
              </w:rPr>
              <w:t>高纯工业硅的生产</w:t>
            </w:r>
            <w:r>
              <w:rPr>
                <w:rFonts w:hint="eastAsia" w:ascii="Times New Roman" w:hAnsi="Times New Roman" w:eastAsia="宋体" w:cs="Times New Roman"/>
                <w:sz w:val="24"/>
                <w:szCs w:val="24"/>
              </w:rPr>
              <w:t>、应用及其技术装备开发与应用”，</w:t>
            </w:r>
            <w:r>
              <w:rPr>
                <w:rFonts w:ascii="Times New Roman" w:hAnsi="Times New Roman" w:eastAsia="宋体" w:cs="Times New Roman"/>
                <w:sz w:val="24"/>
                <w:szCs w:val="24"/>
              </w:rPr>
              <w:t>且符合国家有关</w:t>
            </w:r>
            <w:r>
              <w:rPr>
                <w:rFonts w:hint="eastAsia" w:ascii="Times New Roman" w:hAnsi="Times New Roman" w:eastAsia="宋体" w:cs="Times New Roman"/>
                <w:sz w:val="24"/>
                <w:szCs w:val="24"/>
                <w:lang w:eastAsia="zh-CN"/>
              </w:rPr>
              <w:t>法律法规</w:t>
            </w:r>
            <w:r>
              <w:rPr>
                <w:rFonts w:ascii="Times New Roman" w:hAnsi="Times New Roman" w:eastAsia="宋体" w:cs="Times New Roman"/>
                <w:sz w:val="24"/>
                <w:szCs w:val="24"/>
              </w:rPr>
              <w:t>和政策规定，为</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w:t>
            </w:r>
            <w:r>
              <w:rPr>
                <w:rFonts w:hint="eastAsia" w:ascii="Times New Roman" w:hAnsi="Times New Roman" w:eastAsia="宋体" w:cs="Times New Roman"/>
                <w:sz w:val="24"/>
                <w:szCs w:val="24"/>
              </w:rPr>
              <w:t>。</w:t>
            </w:r>
            <w:r>
              <w:rPr>
                <w:rFonts w:ascii="Times New Roman" w:hAnsi="Times New Roman" w:eastAsia="宋体" w:cs="Times New Roman"/>
                <w:sz w:val="24"/>
                <w:szCs w:val="24"/>
              </w:rPr>
              <w:t>因此，本项目属于</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类，符合相关法律法规和相关政策规定。</w:t>
            </w:r>
          </w:p>
          <w:p w14:paraId="22BC8C4C">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szCs w:val="24"/>
              </w:rPr>
              <w:t>同时，</w:t>
            </w:r>
            <w:r>
              <w:rPr>
                <w:rFonts w:hint="eastAsia" w:ascii="Times New Roman" w:hAnsi="Times New Roman" w:eastAsia="宋体" w:cs="Times New Roman"/>
                <w:bCs/>
                <w:sz w:val="24"/>
                <w:szCs w:val="24"/>
              </w:rPr>
              <w:t>峨边彝族自治县</w:t>
            </w:r>
            <w:r>
              <w:rPr>
                <w:rFonts w:ascii="Times New Roman" w:hAnsi="Times New Roman" w:eastAsia="宋体" w:cs="Times New Roman"/>
                <w:bCs/>
                <w:sz w:val="24"/>
                <w:szCs w:val="24"/>
              </w:rPr>
              <w:t>经济和信息化局</w:t>
            </w:r>
            <w:r>
              <w:rPr>
                <w:rFonts w:ascii="Times New Roman" w:hAnsi="Times New Roman" w:eastAsia="宋体" w:cs="Times New Roman"/>
                <w:sz w:val="24"/>
              </w:rPr>
              <w:t>以</w:t>
            </w:r>
            <w:r>
              <w:rPr>
                <w:rFonts w:ascii="Times New Roman" w:hAnsi="Times New Roman" w:eastAsia="宋体" w:cs="Times New Roman"/>
                <w:sz w:val="24"/>
                <w:szCs w:val="24"/>
              </w:rPr>
              <w:t>《四川省技术改造投资项目备案表》</w:t>
            </w:r>
            <w:r>
              <w:rPr>
                <w:rFonts w:ascii="Times New Roman" w:hAnsi="Times New Roman" w:eastAsia="宋体" w:cs="Times New Roman"/>
                <w:sz w:val="24"/>
              </w:rPr>
              <w:t>（</w:t>
            </w:r>
            <w:r>
              <w:rPr>
                <w:rFonts w:hint="eastAsia" w:ascii="Times New Roman" w:hAnsi="Times New Roman" w:eastAsia="宋体" w:cs="Times New Roman"/>
                <w:sz w:val="24"/>
                <w:szCs w:val="24"/>
              </w:rPr>
              <w:t>川投资备【2020-511132-32-03-465878】JXQB-0052号</w:t>
            </w:r>
            <w:r>
              <w:rPr>
                <w:rFonts w:ascii="Times New Roman" w:hAnsi="Times New Roman" w:eastAsia="宋体" w:cs="Times New Roman"/>
                <w:sz w:val="24"/>
              </w:rPr>
              <w:t>）予以备案，同意实施。</w:t>
            </w:r>
          </w:p>
          <w:p w14:paraId="365F0452">
            <w:pPr>
              <w:widowControl/>
              <w:spacing w:line="480" w:lineRule="exact"/>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综上所述，本项目的建设符合国家现行的产业政策。</w:t>
            </w:r>
          </w:p>
          <w:p w14:paraId="763586EB">
            <w:pPr>
              <w:spacing w:before="120" w:after="120" w:line="480" w:lineRule="exact"/>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（2）“三线一单”符合性分析</w:t>
            </w:r>
          </w:p>
          <w:p w14:paraId="7E85C9FF">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为更好</w:t>
            </w:r>
            <w:r>
              <w:rPr>
                <w:rFonts w:hint="eastAsia" w:ascii="Times New Roman" w:hAnsi="Times New Roman" w:eastAsia="宋体" w:cs="Times New Roman"/>
                <w:sz w:val="24"/>
                <w:szCs w:val="24"/>
                <w:lang w:eastAsia="zh-CN"/>
              </w:rPr>
              <w:t>地</w:t>
            </w:r>
            <w:r>
              <w:rPr>
                <w:rFonts w:ascii="Times New Roman" w:hAnsi="Times New Roman" w:eastAsia="宋体" w:cs="Times New Roman"/>
                <w:sz w:val="24"/>
                <w:szCs w:val="24"/>
              </w:rPr>
              <w:t>建立项目环评审批与规划环评、现有项目环境管理、区域环境质量联动机制，更好地发挥环评制度从源头防范环境污染和生态破坏的作用，加快推进改善环境质量，环保部于 2016 年 10 月 27 日印发了《关于以改善环境质量为核心加强环境影响评价管理的通知》（环环评【2016】150 号），该《通知》明确环境影响评价需要落实“生态保护红线、环境质量底线、资源利用上限和环境准入负面清单”（简称“三线一单”）约束。本项目与《通知》的符合性分析见下表：</w:t>
            </w:r>
          </w:p>
          <w:p w14:paraId="6DA339BD">
            <w:pPr>
              <w:widowControl/>
              <w:adjustRightInd w:val="0"/>
              <w:snapToGrid w:val="0"/>
              <w:spacing w:line="480" w:lineRule="exact"/>
              <w:ind w:right="92" w:rightChars="44"/>
              <w:jc w:val="center"/>
              <w:rPr>
                <w:rFonts w:ascii="黑体" w:hAnsi="黑体" w:eastAsia="黑体" w:cs="Times New Roman"/>
                <w:snapToGrid w:val="0"/>
                <w:kern w:val="0"/>
                <w:sz w:val="24"/>
                <w:szCs w:val="24"/>
              </w:rPr>
            </w:pPr>
            <w:r>
              <w:rPr>
                <w:rFonts w:ascii="黑体" w:hAnsi="黑体" w:eastAsia="黑体" w:cs="Times New Roman"/>
                <w:snapToGrid w:val="0"/>
                <w:kern w:val="0"/>
                <w:sz w:val="24"/>
                <w:szCs w:val="24"/>
              </w:rPr>
              <w:t>表1-1  项目“三线一单”符合性分析表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18"/>
              <w:gridCol w:w="6063"/>
              <w:gridCol w:w="747"/>
            </w:tblGrid>
            <w:tr w14:paraId="1606D5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29EAFC7A">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“三线一单”</w:t>
                  </w:r>
                </w:p>
              </w:tc>
              <w:tc>
                <w:tcPr>
                  <w:tcW w:w="6073" w:type="dxa"/>
                  <w:vAlign w:val="center"/>
                </w:tcPr>
                <w:p w14:paraId="36E48EB1">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符合性</w:t>
                  </w:r>
                </w:p>
              </w:tc>
              <w:tc>
                <w:tcPr>
                  <w:tcW w:w="748" w:type="dxa"/>
                  <w:vAlign w:val="center"/>
                </w:tcPr>
                <w:p w14:paraId="7942E2E1">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备注</w:t>
                  </w:r>
                </w:p>
              </w:tc>
            </w:tr>
            <w:tr w14:paraId="123769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1F4C1551">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生态保护红线</w:t>
                  </w:r>
                </w:p>
              </w:tc>
              <w:tc>
                <w:tcPr>
                  <w:tcW w:w="6073" w:type="dxa"/>
                  <w:vAlign w:val="center"/>
                </w:tcPr>
                <w:p w14:paraId="44DA8610">
                  <w:pPr>
                    <w:widowControl/>
                    <w:jc w:val="left"/>
                    <w:rPr>
                      <w:rFonts w:ascii="Times New Roman" w:hAnsi="Times New Roman" w:eastAsia="宋体" w:cs="Times New Roman"/>
                      <w:snapToGrid w:val="0"/>
                      <w:kern w:val="0"/>
                      <w:szCs w:val="21"/>
                    </w:rPr>
                  </w:pPr>
                  <w:r>
                    <w:rPr>
                      <w:rFonts w:hint="eastAsia" w:ascii="Times New Roman" w:hAnsi="Times New Roman" w:eastAsia="宋体" w:cs="Times New Roman"/>
                      <w:snapToGrid w:val="0"/>
                      <w:kern w:val="0"/>
                      <w:szCs w:val="21"/>
                    </w:rPr>
                    <w:t>乐山市峨边彝族自治县峨边新场工业园区（原林河集团黄磷厂厂区）（E103.2732°，N29.3078°）</w:t>
                  </w:r>
                  <w:r>
                    <w:rPr>
                      <w:rFonts w:ascii="Times New Roman" w:hAnsi="Times New Roman" w:eastAsia="宋体" w:cs="Times New Roman"/>
                      <w:snapToGrid w:val="0"/>
                      <w:kern w:val="0"/>
                      <w:szCs w:val="21"/>
                    </w:rPr>
                    <w:t>，详见附图1，系利用现有场地</w:t>
                  </w:r>
                  <w:r>
                    <w:rPr>
                      <w:rFonts w:hint="eastAsia" w:ascii="Times New Roman" w:hAnsi="Times New Roman" w:eastAsia="宋体" w:cs="Times New Roman"/>
                      <w:snapToGrid w:val="0"/>
                      <w:kern w:val="0"/>
                      <w:szCs w:val="21"/>
                      <w:lang w:eastAsia="zh-CN"/>
                    </w:rPr>
                    <w:t>实施</w:t>
                  </w:r>
                  <w:r>
                    <w:rPr>
                      <w:rFonts w:ascii="Times New Roman" w:hAnsi="Times New Roman" w:eastAsia="宋体" w:cs="Times New Roman"/>
                      <w:snapToGrid w:val="0"/>
                      <w:kern w:val="0"/>
                      <w:szCs w:val="21"/>
                    </w:rPr>
                    <w:t>，属于</w:t>
                  </w:r>
                  <w:r>
                    <w:rPr>
                      <w:rFonts w:hint="eastAsia" w:ascii="Times New Roman" w:hAnsi="Times New Roman" w:eastAsia="宋体" w:cs="Times New Roman"/>
                      <w:snapToGrid w:val="0"/>
                      <w:kern w:val="0"/>
                      <w:szCs w:val="21"/>
                    </w:rPr>
                    <w:t>工业用</w:t>
                  </w:r>
                  <w:r>
                    <w:rPr>
                      <w:rFonts w:ascii="Times New Roman" w:hAnsi="Times New Roman" w:eastAsia="宋体" w:cs="Times New Roman"/>
                      <w:snapToGrid w:val="0"/>
                      <w:kern w:val="0"/>
                      <w:szCs w:val="21"/>
                    </w:rPr>
                    <w:t>地，根据《四川省生态保护红线实施意见》，项目建设不涉及《四川省生态保护红线实施意见》划定的生态红线区域，项目建设符合四川省生态保护红线实施意见的相关要求。</w:t>
                  </w:r>
                </w:p>
              </w:tc>
              <w:tc>
                <w:tcPr>
                  <w:tcW w:w="748" w:type="dxa"/>
                  <w:vAlign w:val="center"/>
                </w:tcPr>
                <w:p w14:paraId="0E55F227">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23E94B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72DA416F">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环境质量底线</w:t>
                  </w:r>
                </w:p>
              </w:tc>
              <w:tc>
                <w:tcPr>
                  <w:tcW w:w="6073" w:type="dxa"/>
                  <w:vAlign w:val="center"/>
                </w:tcPr>
                <w:p w14:paraId="3A0D2407">
                  <w:pPr>
                    <w:widowControl/>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根据《乐山市2019年环境质量公报》，项目所在区域为不达标区，</w:t>
                  </w:r>
                  <w:r>
                    <w:rPr>
                      <w:rFonts w:hint="eastAsia" w:ascii="Times New Roman" w:hAnsi="Times New Roman" w:eastAsia="宋体" w:cs="Times New Roman"/>
                      <w:snapToGrid w:val="0"/>
                      <w:kern w:val="0"/>
                      <w:szCs w:val="21"/>
                    </w:rPr>
                    <w:t>由《峨边彝族自治县环境空气质量限期达标规划（2018年</w:t>
                  </w:r>
                  <w:r>
                    <w:rPr>
                      <w:rFonts w:hint="eastAsia" w:ascii="Times New Roman" w:hAnsi="Times New Roman" w:eastAsia="宋体" w:cs="Times New Roman"/>
                      <w:snapToGrid w:val="0"/>
                      <w:kern w:val="0"/>
                      <w:szCs w:val="21"/>
                      <w:lang w:eastAsia="zh-CN"/>
                    </w:rPr>
                    <w:t>—</w:t>
                  </w:r>
                  <w:r>
                    <w:rPr>
                      <w:rFonts w:hint="eastAsia" w:ascii="Times New Roman" w:hAnsi="Times New Roman" w:eastAsia="宋体" w:cs="Times New Roman"/>
                      <w:snapToGrid w:val="0"/>
                      <w:kern w:val="0"/>
                      <w:szCs w:val="21"/>
                    </w:rPr>
                    <w:t>2025年）》，力争到2025年，PM</w:t>
                  </w:r>
                  <w:r>
                    <w:rPr>
                      <w:rFonts w:hint="eastAsia" w:ascii="Times New Roman" w:hAnsi="Times New Roman" w:eastAsia="宋体" w:cs="Times New Roman"/>
                      <w:snapToGrid w:val="0"/>
                      <w:kern w:val="0"/>
                      <w:szCs w:val="21"/>
                      <w:vertAlign w:val="subscript"/>
                    </w:rPr>
                    <w:t>10</w:t>
                  </w:r>
                  <w:r>
                    <w:rPr>
                      <w:rFonts w:hint="eastAsia" w:ascii="Times New Roman" w:hAnsi="Times New Roman" w:eastAsia="宋体" w:cs="Times New Roman"/>
                      <w:snapToGrid w:val="0"/>
                      <w:kern w:val="0"/>
                      <w:szCs w:val="21"/>
                    </w:rPr>
                    <w:t>控制在70μg/m</w:t>
                  </w:r>
                  <w:r>
                    <w:rPr>
                      <w:rFonts w:hint="eastAsia" w:ascii="Times New Roman" w:hAnsi="Times New Roman" w:eastAsia="宋体" w:cs="Times New Roman"/>
                      <w:snapToGrid w:val="0"/>
                      <w:kern w:val="0"/>
                      <w:szCs w:val="21"/>
                      <w:vertAlign w:val="superscript"/>
                    </w:rPr>
                    <w:t>3</w:t>
                  </w:r>
                  <w:r>
                    <w:rPr>
                      <w:rFonts w:hint="eastAsia" w:ascii="Times New Roman" w:hAnsi="Times New Roman" w:eastAsia="宋体" w:cs="Times New Roman"/>
                      <w:snapToGrid w:val="0"/>
                      <w:kern w:val="0"/>
                      <w:szCs w:val="21"/>
                    </w:rPr>
                    <w:t>以内，PM</w:t>
                  </w:r>
                  <w:r>
                    <w:rPr>
                      <w:rFonts w:hint="eastAsia" w:ascii="Times New Roman" w:hAnsi="Times New Roman" w:eastAsia="宋体" w:cs="Times New Roman"/>
                      <w:snapToGrid w:val="0"/>
                      <w:kern w:val="0"/>
                      <w:szCs w:val="21"/>
                      <w:vertAlign w:val="subscript"/>
                    </w:rPr>
                    <w:t>2.5</w:t>
                  </w:r>
                  <w:r>
                    <w:rPr>
                      <w:rFonts w:hint="eastAsia" w:ascii="Times New Roman" w:hAnsi="Times New Roman" w:eastAsia="宋体" w:cs="Times New Roman"/>
                      <w:snapToGrid w:val="0"/>
                      <w:kern w:val="0"/>
                      <w:szCs w:val="21"/>
                    </w:rPr>
                    <w:t>控制在35μg/m</w:t>
                  </w:r>
                  <w:r>
                    <w:rPr>
                      <w:rFonts w:hint="eastAsia" w:ascii="Times New Roman" w:hAnsi="Times New Roman" w:eastAsia="宋体" w:cs="Times New Roman"/>
                      <w:snapToGrid w:val="0"/>
                      <w:kern w:val="0"/>
                      <w:szCs w:val="21"/>
                      <w:vertAlign w:val="superscript"/>
                    </w:rPr>
                    <w:t>3</w:t>
                  </w:r>
                  <w:r>
                    <w:rPr>
                      <w:rFonts w:hint="eastAsia" w:ascii="Times New Roman" w:hAnsi="Times New Roman" w:eastAsia="宋体" w:cs="Times New Roman"/>
                      <w:snapToGrid w:val="0"/>
                      <w:kern w:val="0"/>
                      <w:szCs w:val="21"/>
                    </w:rPr>
                    <w:t>以内，达到国家二级标准要求；</w:t>
                  </w:r>
                  <w:r>
                    <w:rPr>
                      <w:rFonts w:ascii="Times New Roman" w:hAnsi="Times New Roman" w:eastAsia="宋体" w:cs="Times New Roman"/>
                      <w:snapToGrid w:val="0"/>
                      <w:kern w:val="0"/>
                      <w:szCs w:val="21"/>
                    </w:rPr>
                    <w:t>根据现状监测区域声环境质量满足《声环境质量标准》（GB3096-2008）中的3类标准限值；项目为</w:t>
                  </w:r>
                  <w:r>
                    <w:rPr>
                      <w:rFonts w:hint="eastAsia" w:ascii="Times New Roman" w:hAnsi="Times New Roman" w:eastAsia="宋体" w:cs="Times New Roman"/>
                      <w:snapToGrid w:val="0"/>
                      <w:kern w:val="0"/>
                      <w:szCs w:val="21"/>
                    </w:rPr>
                    <w:t>非金属矿物制品制造</w:t>
                  </w:r>
                  <w:r>
                    <w:rPr>
                      <w:rFonts w:ascii="Times New Roman" w:hAnsi="Times New Roman" w:eastAsia="宋体" w:cs="Times New Roman"/>
                      <w:snapToGrid w:val="0"/>
                      <w:kern w:val="0"/>
                      <w:szCs w:val="21"/>
                    </w:rPr>
                    <w:t>，无废水外排；固废均得到合理处置，处置率为100%。项目的建设不触及环境质量底线。</w:t>
                  </w:r>
                </w:p>
              </w:tc>
              <w:tc>
                <w:tcPr>
                  <w:tcW w:w="748" w:type="dxa"/>
                  <w:vAlign w:val="center"/>
                </w:tcPr>
                <w:p w14:paraId="252BFF2E">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3D1F73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47EEF6D2">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资源利用上线</w:t>
                  </w:r>
                </w:p>
              </w:tc>
              <w:tc>
                <w:tcPr>
                  <w:tcW w:w="6073" w:type="dxa"/>
                  <w:vAlign w:val="center"/>
                </w:tcPr>
                <w:p w14:paraId="357FBC7E">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本项目能源消耗合理分配，不触及资源利用</w:t>
                  </w:r>
                  <w:r>
                    <w:rPr>
                      <w:rFonts w:hint="eastAsia" w:ascii="Times New Roman" w:hAnsi="Times New Roman" w:eastAsia="宋体" w:cs="Times New Roman"/>
                      <w:snapToGrid w:val="0"/>
                      <w:kern w:val="0"/>
                      <w:szCs w:val="21"/>
                      <w:lang w:eastAsia="zh-CN"/>
                    </w:rPr>
                    <w:t>上限</w:t>
                  </w:r>
                  <w:r>
                    <w:rPr>
                      <w:rFonts w:ascii="Times New Roman" w:hAnsi="Times New Roman" w:eastAsia="宋体" w:cs="Times New Roman"/>
                      <w:snapToGrid w:val="0"/>
                      <w:kern w:val="0"/>
                      <w:szCs w:val="21"/>
                    </w:rPr>
                    <w:t>。</w:t>
                  </w:r>
                </w:p>
              </w:tc>
              <w:tc>
                <w:tcPr>
                  <w:tcW w:w="748" w:type="dxa"/>
                  <w:vAlign w:val="center"/>
                </w:tcPr>
                <w:p w14:paraId="006EFE53">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2E030E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7AA825B3">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负面清单</w:t>
                  </w:r>
                </w:p>
              </w:tc>
              <w:tc>
                <w:tcPr>
                  <w:tcW w:w="6073" w:type="dxa"/>
                  <w:vAlign w:val="center"/>
                </w:tcPr>
                <w:p w14:paraId="1FBB3BFD">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本项目属于其他建筑材料制造项目，符合《四川省长江经济带发展负面清单实施细则（试行）》。</w:t>
                  </w:r>
                </w:p>
              </w:tc>
              <w:tc>
                <w:tcPr>
                  <w:tcW w:w="748" w:type="dxa"/>
                  <w:vAlign w:val="center"/>
                </w:tcPr>
                <w:p w14:paraId="6CF92B67">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bl>
          <w:p w14:paraId="46409C57">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（3）</w:t>
            </w:r>
            <w:r>
              <w:rPr>
                <w:rFonts w:hint="eastAsia" w:ascii="Times New Roman" w:hAnsi="Times New Roman" w:eastAsia="宋体" w:cs="Times New Roman"/>
                <w:b/>
                <w:sz w:val="24"/>
                <w:szCs w:val="24"/>
              </w:rPr>
              <w:t>与峨边彝族自治县工业集中区B区规划符合性分析</w:t>
            </w:r>
          </w:p>
          <w:p w14:paraId="37BA857B">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本项目位于乐山市峨边彝族自治县峨边新场工业园区，属于规划峨边彝族自治县工业集中区B区中庞沟村规划用地。该工业区主要产业定位为：庞沟村主要发展（工业硅、铁合金等），本项目为工业硅加工项目符合规划区域产业定位。同时，本项目为硅粉加工项目，属于规划中鼓励类，为（1）符合园区主导产业和功能分区的项目；（2）主导产业或重要项目的上下游企业，或有利于区域实现循环经济和可持续发展的项目。</w:t>
            </w:r>
          </w:p>
          <w:p w14:paraId="099F8B4A">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综上，本项目的建设符合峨边彝族自治县工业集中区B区规划。</w:t>
            </w:r>
          </w:p>
          <w:p w14:paraId="48AF53EC">
            <w:pPr>
              <w:spacing w:line="360"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（4）</w:t>
            </w:r>
            <w:r>
              <w:rPr>
                <w:rFonts w:ascii="Times New Roman" w:hAnsi="Times New Roman" w:eastAsia="宋体" w:cs="Times New Roman"/>
                <w:b/>
                <w:sz w:val="24"/>
                <w:szCs w:val="24"/>
              </w:rPr>
              <w:t>规划选址符合性分析</w:t>
            </w:r>
          </w:p>
          <w:p w14:paraId="09336DDD">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bCs/>
                <w:sz w:val="24"/>
                <w:szCs w:val="24"/>
              </w:rPr>
              <w:fldChar w:fldCharType="begin"/>
            </w:r>
            <w:r>
              <w:rPr>
                <w:rFonts w:ascii="Times New Roman" w:hAnsi="Times New Roman" w:eastAsia="宋体" w:cs="Times New Roman"/>
                <w:bCs/>
                <w:sz w:val="24"/>
                <w:szCs w:val="24"/>
              </w:rPr>
              <w:instrText xml:space="preserve"> = 1 \* GB3 </w:instrText>
            </w:r>
            <w:r>
              <w:rPr>
                <w:rFonts w:ascii="Times New Roman" w:hAnsi="Times New Roman" w:eastAsia="宋体" w:cs="Times New Roman"/>
                <w:bCs/>
                <w:sz w:val="24"/>
                <w:szCs w:val="24"/>
              </w:rPr>
              <w:fldChar w:fldCharType="separate"/>
            </w:r>
            <w:r>
              <w:rPr>
                <w:rFonts w:hint="eastAsia" w:ascii="宋体" w:hAnsi="宋体" w:eastAsia="宋体" w:cs="宋体"/>
                <w:bCs/>
                <w:sz w:val="24"/>
                <w:szCs w:val="24"/>
              </w:rPr>
              <w:t>①</w:t>
            </w:r>
            <w:r>
              <w:rPr>
                <w:rFonts w:ascii="Times New Roman" w:hAnsi="Times New Roman" w:eastAsia="宋体" w:cs="Times New Roman"/>
                <w:bCs/>
                <w:sz w:val="24"/>
                <w:szCs w:val="24"/>
              </w:rPr>
              <w:fldChar w:fldCharType="end"/>
            </w:r>
            <w:r>
              <w:rPr>
                <w:rFonts w:ascii="Times New Roman" w:hAnsi="Times New Roman" w:eastAsia="宋体" w:cs="Times New Roman"/>
                <w:bCs/>
                <w:sz w:val="24"/>
                <w:szCs w:val="24"/>
              </w:rPr>
              <w:t>与</w:t>
            </w:r>
            <w:r>
              <w:rPr>
                <w:rFonts w:ascii="Times New Roman" w:hAnsi="Times New Roman" w:eastAsia="宋体" w:cs="Times New Roman"/>
                <w:sz w:val="24"/>
                <w:szCs w:val="24"/>
              </w:rPr>
              <w:t>乐山市打赢蓝天保卫战等九个实施方案符合性分析</w:t>
            </w:r>
          </w:p>
          <w:p w14:paraId="150A64B2">
            <w:pPr>
              <w:spacing w:line="480" w:lineRule="exact"/>
              <w:ind w:firstLine="480" w:firstLineChars="200"/>
              <w:rPr>
                <w:rFonts w:ascii="Times New Roman" w:hAnsi="Times New Roman" w:eastAsia="宋体" w:cs="Times New Roman"/>
                <w:sz w:val="24"/>
                <w:u w:val="single"/>
              </w:rPr>
            </w:pPr>
            <w:r>
              <w:rPr>
                <w:rFonts w:ascii="Times New Roman" w:hAnsi="Times New Roman" w:eastAsia="宋体" w:cs="Times New Roman"/>
                <w:sz w:val="24"/>
              </w:rPr>
              <w:t>根据乐山市打赢蓝天保卫战等九个实施方案中乐山市打赢蓝天保卫战实施方案中：“（六）深化扬尘污染治理</w:t>
            </w:r>
            <w:r>
              <w:rPr>
                <w:rFonts w:hint="eastAsia" w:ascii="Times New Roman" w:hAnsi="Times New Roman" w:eastAsia="宋体" w:cs="Times New Roman"/>
                <w:sz w:val="24"/>
              </w:rPr>
              <w:t>“严格施工扬尘监管……</w:t>
            </w:r>
            <w:r>
              <w:rPr>
                <w:rFonts w:ascii="Times New Roman" w:hAnsi="Times New Roman" w:eastAsia="宋体" w:cs="Times New Roman"/>
                <w:sz w:val="24"/>
              </w:rPr>
              <w:t>强化堆场扬尘管控</w:t>
            </w:r>
            <w:r>
              <w:rPr>
                <w:rFonts w:hint="eastAsia" w:ascii="Times New Roman" w:hAnsi="Times New Roman" w:eastAsia="宋体" w:cs="Times New Roman"/>
                <w:sz w:val="24"/>
              </w:rPr>
              <w:t>……加强道路扬尘治理……”</w:t>
            </w:r>
            <w:r>
              <w:rPr>
                <w:rFonts w:ascii="Times New Roman" w:hAnsi="Times New Roman" w:eastAsia="宋体" w:cs="Times New Roman"/>
                <w:sz w:val="24"/>
              </w:rPr>
              <w:t>。要求，</w:t>
            </w:r>
            <w:r>
              <w:rPr>
                <w:rFonts w:ascii="Times New Roman" w:hAnsi="Times New Roman" w:eastAsia="宋体" w:cs="Times New Roman"/>
                <w:sz w:val="24"/>
                <w:u w:val="single"/>
              </w:rPr>
              <w:t>本次技改将按照《</w:t>
            </w:r>
            <w:r>
              <w:rPr>
                <w:rFonts w:hint="eastAsia" w:ascii="Times New Roman" w:hAnsi="Times New Roman" w:eastAsia="宋体" w:cs="Times New Roman"/>
                <w:sz w:val="24"/>
                <w:u w:val="single"/>
              </w:rPr>
              <w:t>乐山市打赢蓝天保卫战等九个实施方案</w:t>
            </w:r>
            <w:r>
              <w:rPr>
                <w:rFonts w:ascii="Times New Roman" w:hAnsi="Times New Roman" w:eastAsia="宋体" w:cs="Times New Roman"/>
                <w:sz w:val="24"/>
                <w:u w:val="single"/>
              </w:rPr>
              <w:t>》要求，即：将厂房全封闭，生产设备均设置于车间内且易起尘的</w:t>
            </w:r>
            <w:r>
              <w:rPr>
                <w:rFonts w:hint="eastAsia" w:ascii="Times New Roman" w:hAnsi="Times New Roman" w:eastAsia="宋体" w:cs="Times New Roman"/>
                <w:sz w:val="24"/>
                <w:u w:val="single"/>
              </w:rPr>
              <w:t>设备</w:t>
            </w:r>
            <w:r>
              <w:rPr>
                <w:rFonts w:ascii="Times New Roman" w:hAnsi="Times New Roman" w:eastAsia="宋体" w:cs="Times New Roman"/>
                <w:sz w:val="24"/>
                <w:u w:val="single"/>
              </w:rPr>
              <w:t>均设置于车间内，成品料暂存</w:t>
            </w:r>
            <w:r>
              <w:rPr>
                <w:rFonts w:hint="eastAsia" w:ascii="Times New Roman" w:hAnsi="Times New Roman" w:eastAsia="宋体" w:cs="Times New Roman"/>
                <w:sz w:val="24"/>
                <w:u w:val="single"/>
              </w:rPr>
              <w:t>于料仓内</w:t>
            </w:r>
            <w:r>
              <w:rPr>
                <w:rFonts w:ascii="Times New Roman" w:hAnsi="Times New Roman" w:eastAsia="宋体" w:cs="Times New Roman"/>
                <w:sz w:val="24"/>
                <w:u w:val="single"/>
              </w:rPr>
              <w:t>；运输车辆实施</w:t>
            </w:r>
            <w:r>
              <w:rPr>
                <w:rFonts w:hint="eastAsia" w:ascii="Times New Roman" w:hAnsi="Times New Roman" w:eastAsia="宋体" w:cs="Times New Roman"/>
                <w:sz w:val="24"/>
                <w:u w:val="single"/>
              </w:rPr>
              <w:t>为槽罐车</w:t>
            </w:r>
            <w:r>
              <w:rPr>
                <w:rFonts w:ascii="Times New Roman" w:hAnsi="Times New Roman" w:eastAsia="宋体" w:cs="Times New Roman"/>
                <w:sz w:val="24"/>
                <w:u w:val="single"/>
              </w:rPr>
              <w:t>，及时收集清理堆场外道路上撒落的物料，符合乐山市打赢蓝天保卫战实施方案要求。</w:t>
            </w:r>
          </w:p>
          <w:p w14:paraId="4AC5B6FD">
            <w:pPr>
              <w:spacing w:line="480" w:lineRule="exact"/>
              <w:ind w:firstLine="480" w:firstLineChars="200"/>
              <w:rPr>
                <w:rFonts w:ascii="Times New Roman" w:hAnsi="Times New Roman" w:eastAsia="宋体" w:cs="Times New Roman"/>
                <w:bCs/>
                <w:sz w:val="24"/>
                <w:szCs w:val="24"/>
              </w:rPr>
            </w:pPr>
            <w:r>
              <w:rPr>
                <w:rFonts w:hint="eastAsia" w:ascii="宋体" w:hAnsi="宋体" w:eastAsia="宋体" w:cs="宋体"/>
                <w:bCs/>
                <w:sz w:val="24"/>
                <w:szCs w:val="24"/>
              </w:rPr>
              <w:t>②</w:t>
            </w:r>
            <w:r>
              <w:rPr>
                <w:rFonts w:ascii="Times New Roman" w:hAnsi="Times New Roman" w:eastAsia="宋体" w:cs="Times New Roman"/>
                <w:bCs/>
                <w:sz w:val="24"/>
                <w:szCs w:val="24"/>
              </w:rPr>
              <w:t>外环相容性分析</w:t>
            </w:r>
          </w:p>
          <w:p w14:paraId="1E09D5D7">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经现场勘，项目四至情况为：项目厂区位于</w:t>
            </w:r>
            <w:r>
              <w:rPr>
                <w:rFonts w:hint="eastAsia" w:ascii="Times New Roman" w:hAnsi="Times New Roman" w:eastAsia="宋体" w:cs="Times New Roman"/>
                <w:sz w:val="24"/>
              </w:rPr>
              <w:t>乐山市峨边彝族自治县峨边新场工业园区（原林河集团黄磷厂厂区）</w:t>
            </w:r>
            <w:r>
              <w:rPr>
                <w:rFonts w:ascii="Times New Roman" w:hAnsi="Times New Roman" w:eastAsia="宋体" w:cs="Times New Roman"/>
                <w:sz w:val="24"/>
              </w:rPr>
              <w:t>，</w:t>
            </w:r>
            <w:r>
              <w:rPr>
                <w:rFonts w:hint="eastAsia" w:ascii="Times New Roman" w:hAnsi="Times New Roman" w:eastAsia="宋体" w:cs="Times New Roman"/>
                <w:sz w:val="24"/>
              </w:rPr>
              <w:t>厂区</w:t>
            </w:r>
            <w:r>
              <w:rPr>
                <w:rFonts w:hint="eastAsia" w:ascii="Times New Roman" w:hAnsi="Times New Roman" w:eastAsia="宋体" w:cs="Times New Roman"/>
                <w:b/>
                <w:bCs/>
                <w:sz w:val="24"/>
              </w:rPr>
              <w:t>北侧</w:t>
            </w:r>
            <w:r>
              <w:rPr>
                <w:rFonts w:hint="eastAsia" w:ascii="Times New Roman" w:hAnsi="Times New Roman" w:eastAsia="宋体" w:cs="Times New Roman"/>
                <w:sz w:val="24"/>
              </w:rPr>
              <w:t>距离厂界约1</w:t>
            </w:r>
            <w:r>
              <w:rPr>
                <w:rFonts w:ascii="Times New Roman" w:hAnsi="Times New Roman" w:eastAsia="宋体" w:cs="Times New Roman"/>
                <w:sz w:val="24"/>
              </w:rPr>
              <w:t>0</w:t>
            </w:r>
            <w:r>
              <w:rPr>
                <w:rFonts w:hint="eastAsia" w:ascii="Times New Roman" w:hAnsi="Times New Roman" w:eastAsia="宋体" w:cs="Times New Roman"/>
                <w:sz w:val="24"/>
              </w:rPr>
              <w:t>m（距离车间最近约3</w:t>
            </w:r>
            <w:r>
              <w:rPr>
                <w:rFonts w:ascii="Times New Roman" w:hAnsi="Times New Roman" w:eastAsia="宋体" w:cs="Times New Roman"/>
                <w:sz w:val="24"/>
              </w:rPr>
              <w:t>8</w:t>
            </w:r>
            <w:r>
              <w:rPr>
                <w:rFonts w:hint="eastAsia" w:ascii="Times New Roman" w:hAnsi="Times New Roman" w:eastAsia="宋体" w:cs="Times New Roman"/>
                <w:sz w:val="24"/>
              </w:rPr>
              <w:t>m）为周边散居居民约7户，北侧约1</w:t>
            </w:r>
            <w:r>
              <w:rPr>
                <w:rFonts w:ascii="Times New Roman" w:hAnsi="Times New Roman" w:eastAsia="宋体" w:cs="Times New Roman"/>
                <w:sz w:val="24"/>
              </w:rPr>
              <w:t>69</w:t>
            </w:r>
            <w:r>
              <w:rPr>
                <w:rFonts w:hint="eastAsia" w:ascii="Times New Roman" w:hAnsi="Times New Roman" w:eastAsia="宋体" w:cs="Times New Roman"/>
                <w:sz w:val="24"/>
              </w:rPr>
              <w:t>m为庞沟村散居居民；</w:t>
            </w:r>
            <w:r>
              <w:rPr>
                <w:rFonts w:hint="eastAsia" w:ascii="Times New Roman" w:hAnsi="Times New Roman" w:eastAsia="宋体" w:cs="Times New Roman"/>
                <w:b/>
                <w:bCs/>
                <w:sz w:val="24"/>
              </w:rPr>
              <w:t>东侧</w:t>
            </w:r>
            <w:r>
              <w:rPr>
                <w:rFonts w:hint="eastAsia" w:ascii="Times New Roman" w:hAnsi="Times New Roman" w:eastAsia="宋体" w:cs="Times New Roman"/>
                <w:sz w:val="24"/>
              </w:rPr>
              <w:t>上坡约1</w:t>
            </w:r>
            <w:r>
              <w:rPr>
                <w:rFonts w:ascii="Times New Roman" w:hAnsi="Times New Roman" w:eastAsia="宋体" w:cs="Times New Roman"/>
                <w:sz w:val="24"/>
              </w:rPr>
              <w:t>0</w:t>
            </w:r>
            <w:r>
              <w:rPr>
                <w:rFonts w:hint="eastAsia" w:ascii="Times New Roman" w:hAnsi="Times New Roman" w:eastAsia="宋体" w:cs="Times New Roman"/>
                <w:sz w:val="24"/>
              </w:rPr>
              <w:t>m紧邻为闲置车间，厂界外皆为生产防护绿地；</w:t>
            </w:r>
            <w:r>
              <w:rPr>
                <w:rFonts w:hint="eastAsia" w:ascii="Times New Roman" w:hAnsi="Times New Roman" w:eastAsia="宋体" w:cs="Times New Roman"/>
                <w:b/>
                <w:bCs/>
                <w:sz w:val="24"/>
              </w:rPr>
              <w:t>南侧</w:t>
            </w:r>
            <w:r>
              <w:rPr>
                <w:rFonts w:hint="eastAsia" w:ascii="Times New Roman" w:hAnsi="Times New Roman" w:eastAsia="宋体" w:cs="Times New Roman"/>
                <w:sz w:val="24"/>
              </w:rPr>
              <w:t>距离厂界约7m（距离车间约1</w:t>
            </w:r>
            <w:r>
              <w:rPr>
                <w:rFonts w:ascii="Times New Roman" w:hAnsi="Times New Roman" w:eastAsia="宋体" w:cs="Times New Roman"/>
                <w:sz w:val="24"/>
              </w:rPr>
              <w:t>01</w:t>
            </w:r>
            <w:r>
              <w:rPr>
                <w:rFonts w:hint="eastAsia" w:ascii="Times New Roman" w:hAnsi="Times New Roman" w:eastAsia="宋体" w:cs="Times New Roman"/>
                <w:sz w:val="24"/>
              </w:rPr>
              <w:t>m）为散居居民约3户；</w:t>
            </w:r>
            <w:r>
              <w:rPr>
                <w:rFonts w:hint="eastAsia" w:ascii="Times New Roman" w:hAnsi="Times New Roman" w:eastAsia="宋体" w:cs="Times New Roman"/>
                <w:b/>
                <w:bCs/>
                <w:sz w:val="24"/>
              </w:rPr>
              <w:t>西南侧</w:t>
            </w:r>
            <w:r>
              <w:rPr>
                <w:rFonts w:hint="eastAsia" w:ascii="Times New Roman" w:hAnsi="Times New Roman" w:eastAsia="宋体" w:cs="Times New Roman"/>
                <w:sz w:val="24"/>
              </w:rPr>
              <w:t>距离厂界约1</w:t>
            </w:r>
            <w:r>
              <w:rPr>
                <w:rFonts w:ascii="Times New Roman" w:hAnsi="Times New Roman" w:eastAsia="宋体" w:cs="Times New Roman"/>
                <w:sz w:val="24"/>
              </w:rPr>
              <w:t>09</w:t>
            </w:r>
            <w:r>
              <w:rPr>
                <w:rFonts w:hint="eastAsia" w:ascii="Times New Roman" w:hAnsi="Times New Roman" w:eastAsia="宋体" w:cs="Times New Roman"/>
                <w:sz w:val="24"/>
              </w:rPr>
              <w:t>m分布有3户散居居民；</w:t>
            </w:r>
            <w:r>
              <w:rPr>
                <w:rFonts w:hint="eastAsia" w:ascii="Times New Roman" w:hAnsi="Times New Roman" w:eastAsia="宋体" w:cs="Times New Roman"/>
                <w:b/>
                <w:bCs/>
                <w:sz w:val="24"/>
              </w:rPr>
              <w:t>西侧</w:t>
            </w:r>
            <w:r>
              <w:rPr>
                <w:rFonts w:hint="eastAsia" w:ascii="Times New Roman" w:hAnsi="Times New Roman" w:eastAsia="宋体" w:cs="Times New Roman"/>
                <w:sz w:val="24"/>
              </w:rPr>
              <w:t>厂界紧邻顺河路、庞沟，间隔约7</w:t>
            </w:r>
            <w:r>
              <w:rPr>
                <w:rFonts w:ascii="Times New Roman" w:hAnsi="Times New Roman" w:eastAsia="宋体" w:cs="Times New Roman"/>
                <w:sz w:val="24"/>
              </w:rPr>
              <w:t>0</w:t>
            </w:r>
            <w:r>
              <w:rPr>
                <w:rFonts w:hint="eastAsia" w:ascii="Times New Roman" w:hAnsi="Times New Roman" w:eastAsia="宋体" w:cs="Times New Roman"/>
                <w:sz w:val="24"/>
              </w:rPr>
              <w:t>m有2户散居居民及生产防护绿地；</w:t>
            </w:r>
            <w:r>
              <w:rPr>
                <w:rFonts w:hint="eastAsia" w:ascii="Times New Roman" w:hAnsi="Times New Roman" w:eastAsia="宋体" w:cs="Times New Roman"/>
                <w:b/>
                <w:bCs/>
                <w:sz w:val="24"/>
              </w:rPr>
              <w:t>西北侧</w:t>
            </w:r>
            <w:r>
              <w:rPr>
                <w:rFonts w:hint="eastAsia" w:ascii="Times New Roman" w:hAnsi="Times New Roman" w:eastAsia="宋体" w:cs="Times New Roman"/>
                <w:sz w:val="24"/>
              </w:rPr>
              <w:t>距离厂界约2</w:t>
            </w:r>
            <w:r>
              <w:rPr>
                <w:rFonts w:ascii="Times New Roman" w:hAnsi="Times New Roman" w:eastAsia="宋体" w:cs="Times New Roman"/>
                <w:sz w:val="24"/>
              </w:rPr>
              <w:t>4</w:t>
            </w:r>
            <w:r>
              <w:rPr>
                <w:rFonts w:hint="eastAsia" w:ascii="Times New Roman" w:hAnsi="Times New Roman" w:eastAsia="宋体" w:cs="Times New Roman"/>
                <w:sz w:val="24"/>
              </w:rPr>
              <w:t>m（距离车间群约7</w:t>
            </w:r>
            <w:r>
              <w:rPr>
                <w:rFonts w:ascii="Times New Roman" w:hAnsi="Times New Roman" w:eastAsia="宋体" w:cs="Times New Roman"/>
                <w:sz w:val="24"/>
              </w:rPr>
              <w:t>5</w:t>
            </w:r>
            <w:r>
              <w:rPr>
                <w:rFonts w:hint="eastAsia" w:ascii="Times New Roman" w:hAnsi="Times New Roman" w:eastAsia="宋体" w:cs="Times New Roman"/>
                <w:sz w:val="24"/>
              </w:rPr>
              <w:t>m）为庞沟村及豆芽湾居民，</w:t>
            </w:r>
            <w:r>
              <w:rPr>
                <w:rFonts w:ascii="Times New Roman" w:hAnsi="Times New Roman" w:eastAsia="宋体" w:cs="Times New Roman"/>
                <w:sz w:val="24"/>
              </w:rPr>
              <w:t>0~200m范围内约有16户散居居民。</w:t>
            </w:r>
          </w:p>
          <w:p w14:paraId="7A5D48FB">
            <w:pPr>
              <w:spacing w:line="480" w:lineRule="exact"/>
              <w:ind w:firstLine="470" w:firstLineChars="196"/>
              <w:rPr>
                <w:rFonts w:ascii="Times New Roman" w:hAnsi="Times New Roman" w:eastAsia="宋体" w:cs="Times New Roman"/>
                <w:snapToGrid w:val="0"/>
                <w:kern w:val="0"/>
                <w:sz w:val="24"/>
                <w:szCs w:val="24"/>
              </w:rPr>
            </w:pPr>
            <w:r>
              <w:rPr>
                <w:rFonts w:ascii="Times New Roman" w:hAnsi="Times New Roman" w:eastAsia="宋体" w:cs="Times New Roman"/>
                <w:sz w:val="24"/>
                <w:szCs w:val="24"/>
              </w:rPr>
              <w:t>本项目位于</w:t>
            </w:r>
            <w:r>
              <w:rPr>
                <w:rFonts w:hint="eastAsia" w:ascii="Times New Roman" w:hAnsi="Times New Roman" w:eastAsia="宋体" w:cs="Times New Roman"/>
                <w:sz w:val="24"/>
                <w:szCs w:val="24"/>
              </w:rPr>
              <w:t>乐山市峨边彝族自治县峨边新场工业园区</w:t>
            </w: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峨边工业集中区庞沟村组团土地利用规划图</w:t>
            </w:r>
            <w:r>
              <w:rPr>
                <w:rFonts w:ascii="Times New Roman" w:hAnsi="Times New Roman" w:eastAsia="宋体" w:cs="Times New Roman"/>
                <w:sz w:val="24"/>
                <w:szCs w:val="24"/>
              </w:rPr>
              <w:t>》项目所在地属于</w:t>
            </w:r>
            <w:r>
              <w:rPr>
                <w:rFonts w:hint="eastAsia" w:ascii="Times New Roman" w:hAnsi="Times New Roman" w:eastAsia="宋体" w:cs="Times New Roman"/>
                <w:sz w:val="24"/>
                <w:szCs w:val="24"/>
              </w:rPr>
              <w:t>三类工业</w:t>
            </w:r>
            <w:r>
              <w:rPr>
                <w:rFonts w:ascii="Times New Roman" w:hAnsi="Times New Roman" w:eastAsia="宋体" w:cs="Times New Roman"/>
                <w:sz w:val="24"/>
                <w:szCs w:val="24"/>
              </w:rPr>
              <w:t>用地。</w:t>
            </w:r>
            <w:r>
              <w:rPr>
                <w:rFonts w:ascii="Times New Roman" w:hAnsi="Times New Roman" w:eastAsia="宋体" w:cs="Times New Roman"/>
                <w:snapToGrid w:val="0"/>
                <w:kern w:val="0"/>
                <w:sz w:val="24"/>
                <w:szCs w:val="24"/>
              </w:rPr>
              <w:t>系</w:t>
            </w:r>
            <w:r>
              <w:rPr>
                <w:rFonts w:ascii="Times New Roman" w:hAnsi="Times New Roman" w:eastAsia="宋体" w:cs="Times New Roman"/>
                <w:bCs/>
                <w:sz w:val="24"/>
                <w:szCs w:val="24"/>
              </w:rPr>
              <w:t>依托现有用地及配套基础设施建设项目</w:t>
            </w:r>
            <w:r>
              <w:rPr>
                <w:rFonts w:hint="eastAsia" w:ascii="Times New Roman" w:hAnsi="Times New Roman" w:eastAsia="宋体" w:cs="Times New Roman"/>
                <w:bCs/>
                <w:sz w:val="24"/>
                <w:szCs w:val="24"/>
              </w:rPr>
              <w:t>，</w:t>
            </w:r>
            <w:r>
              <w:rPr>
                <w:rFonts w:ascii="Times New Roman" w:hAnsi="Times New Roman" w:eastAsia="宋体" w:cs="Times New Roman"/>
                <w:snapToGrid w:val="0"/>
                <w:kern w:val="0"/>
                <w:sz w:val="24"/>
                <w:szCs w:val="24"/>
              </w:rPr>
              <w:t>新增厂房</w:t>
            </w:r>
            <w:r>
              <w:rPr>
                <w:rFonts w:hint="eastAsia" w:ascii="Times New Roman" w:hAnsi="Times New Roman" w:eastAsia="宋体" w:cs="Times New Roman"/>
                <w:snapToGrid w:val="0"/>
                <w:kern w:val="0"/>
                <w:sz w:val="24"/>
                <w:szCs w:val="24"/>
              </w:rPr>
              <w:t>等</w:t>
            </w:r>
            <w:r>
              <w:rPr>
                <w:rFonts w:hint="eastAsia" w:ascii="Times New Roman" w:hAnsi="Times New Roman" w:eastAsia="宋体" w:cs="Times New Roman"/>
                <w:snapToGrid w:val="0"/>
                <w:kern w:val="0"/>
                <w:sz w:val="24"/>
                <w:szCs w:val="24"/>
                <w:lang w:eastAsia="zh-CN"/>
              </w:rPr>
              <w:t>实施</w:t>
            </w:r>
            <w:r>
              <w:rPr>
                <w:rFonts w:ascii="Times New Roman" w:hAnsi="Times New Roman" w:eastAsia="宋体" w:cs="Times New Roman"/>
                <w:snapToGrid w:val="0"/>
                <w:kern w:val="0"/>
                <w:sz w:val="24"/>
                <w:szCs w:val="24"/>
              </w:rPr>
              <w:t>，本项目与周边企业相容。</w:t>
            </w:r>
          </w:p>
          <w:p w14:paraId="67C5C802">
            <w:pPr>
              <w:spacing w:line="480" w:lineRule="exact"/>
              <w:ind w:firstLine="472" w:firstLineChars="196"/>
              <w:rPr>
                <w:rFonts w:ascii="Times New Roman" w:hAnsi="Times New Roman" w:eastAsia="宋体" w:cs="Times New Roman"/>
                <w:sz w:val="24"/>
                <w:u w:val="single"/>
              </w:rPr>
            </w:pPr>
            <w:r>
              <w:rPr>
                <w:rFonts w:ascii="Times New Roman" w:hAnsi="Times New Roman" w:eastAsia="宋体" w:cs="Times New Roman"/>
                <w:b/>
                <w:sz w:val="24"/>
              </w:rPr>
              <w:t>综上，</w:t>
            </w:r>
            <w:r>
              <w:rPr>
                <w:rFonts w:ascii="Times New Roman" w:hAnsi="Times New Roman" w:eastAsia="宋体" w:cs="Times New Roman"/>
                <w:sz w:val="24"/>
                <w:u w:val="single"/>
              </w:rPr>
              <w:t>项目符合国家产业政策、符合“三线一单”、乐山市打赢蓝天保卫战实施方案</w:t>
            </w:r>
            <w:r>
              <w:rPr>
                <w:rFonts w:hint="eastAsia" w:ascii="Times New Roman" w:hAnsi="Times New Roman" w:eastAsia="宋体" w:cs="Times New Roman"/>
                <w:sz w:val="24"/>
                <w:u w:val="single"/>
              </w:rPr>
              <w:t>、峨边彝族自治县工业集中区B区规划</w:t>
            </w:r>
            <w:r>
              <w:rPr>
                <w:rFonts w:ascii="Times New Roman" w:hAnsi="Times New Roman" w:eastAsia="宋体" w:cs="Times New Roman"/>
                <w:sz w:val="24"/>
                <w:u w:val="single"/>
              </w:rPr>
              <w:t>等相关要求，项目外环境单纯，项目采取相应的污染防治措施后，污染物可达标排放，项目周围无自然保护区、风景名胜区、饮用水源等敏感区，从环保角度看该项目选址可行。</w:t>
            </w:r>
          </w:p>
          <w:p w14:paraId="2996D443">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三、总平面布置合理性分析</w:t>
            </w:r>
          </w:p>
          <w:p w14:paraId="1A59D885">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sz w:val="24"/>
                <w:szCs w:val="24"/>
              </w:rPr>
              <w:t>位于</w:t>
            </w:r>
            <w:r>
              <w:rPr>
                <w:rFonts w:hint="eastAsia" w:ascii="Times New Roman" w:hAnsi="Times New Roman" w:eastAsia="宋体" w:cs="Times New Roman"/>
                <w:sz w:val="24"/>
                <w:szCs w:val="24"/>
              </w:rPr>
              <w:t>乐山市峨边彝族自治县峨边新场工业园区（原林河集团黄磷厂厂区）</w:t>
            </w: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原黄磷厂早于2</w:t>
            </w:r>
            <w:r>
              <w:rPr>
                <w:rFonts w:ascii="Times New Roman" w:hAnsi="Times New Roman" w:eastAsia="宋体" w:cs="Times New Roman"/>
                <w:sz w:val="24"/>
                <w:szCs w:val="24"/>
              </w:rPr>
              <w:t>012</w:t>
            </w:r>
            <w:r>
              <w:rPr>
                <w:rFonts w:hint="eastAsia" w:ascii="Times New Roman" w:hAnsi="Times New Roman" w:eastAsia="宋体" w:cs="Times New Roman"/>
                <w:sz w:val="24"/>
                <w:szCs w:val="24"/>
              </w:rPr>
              <w:t>年已停产</w:t>
            </w:r>
            <w:r>
              <w:rPr>
                <w:rFonts w:ascii="Times New Roman" w:hAnsi="Times New Roman" w:eastAsia="宋体" w:cs="Times New Roman"/>
                <w:sz w:val="24"/>
                <w:szCs w:val="24"/>
              </w:rPr>
              <w:t>，</w:t>
            </w:r>
            <w:r>
              <w:rPr>
                <w:rFonts w:hint="eastAsia" w:ascii="Times New Roman" w:hAnsi="Times New Roman" w:eastAsia="宋体" w:cs="Times New Roman"/>
                <w:sz w:val="24"/>
                <w:szCs w:val="24"/>
              </w:rPr>
              <w:t>场地平整仅余破旧彩钢棚厂房待拆迁。</w:t>
            </w:r>
            <w:r>
              <w:rPr>
                <w:rFonts w:ascii="Times New Roman" w:hAnsi="Times New Roman" w:eastAsia="宋体" w:cs="Times New Roman"/>
                <w:sz w:val="24"/>
                <w:szCs w:val="24"/>
              </w:rPr>
              <w:t>本次环评在原有场地上改扩建厂房及办公附属设施，</w:t>
            </w:r>
            <w:r>
              <w:rPr>
                <w:rFonts w:hint="eastAsia" w:ascii="Times New Roman" w:hAnsi="Times New Roman" w:eastAsia="宋体" w:cs="Times New Roman"/>
                <w:bCs/>
                <w:sz w:val="24"/>
                <w:szCs w:val="24"/>
              </w:rPr>
              <w:t>改建2×1500硅粉车间990平方米，综合楼260平方米，硅块中转库1012.5平方米，产品粉散装罐区843.5平方米，机修车间60.225平方米。硅块料仓3台、细碎料仓3台、除尘器料仓3台、电机振动给料3台、颚式破碎机3台、分级机前料仓1台、板链式斗提</w:t>
            </w:r>
            <w:r>
              <w:rPr>
                <w:rFonts w:hint="eastAsia" w:ascii="Times New Roman" w:hAnsi="Times New Roman" w:eastAsia="宋体" w:cs="Times New Roman"/>
                <w:bCs/>
                <w:sz w:val="24"/>
                <w:szCs w:val="24"/>
                <w:lang w:eastAsia="zh-CN"/>
              </w:rPr>
              <w:t>机</w:t>
            </w:r>
            <w:r>
              <w:rPr>
                <w:rFonts w:hint="eastAsia" w:ascii="Times New Roman" w:hAnsi="Times New Roman" w:eastAsia="宋体" w:cs="Times New Roman"/>
                <w:bCs/>
                <w:sz w:val="24"/>
                <w:szCs w:val="24"/>
              </w:rPr>
              <w:t>3台、永磁除铁器3台、轴流风机2台、密封型电机振动给料机3台、DCS控制系统3套等。</w:t>
            </w:r>
            <w:r>
              <w:rPr>
                <w:rFonts w:ascii="Times New Roman" w:hAnsi="Times New Roman" w:eastAsia="宋体" w:cs="Times New Roman"/>
                <w:sz w:val="24"/>
              </w:rPr>
              <w:t>所依托的办公</w:t>
            </w:r>
            <w:r>
              <w:rPr>
                <w:rFonts w:hint="eastAsia" w:ascii="Times New Roman" w:hAnsi="Times New Roman" w:eastAsia="宋体" w:cs="Times New Roman"/>
                <w:sz w:val="24"/>
              </w:rPr>
              <w:t>生活</w:t>
            </w:r>
            <w:r>
              <w:rPr>
                <w:rFonts w:ascii="Times New Roman" w:hAnsi="Times New Roman" w:eastAsia="宋体" w:cs="Times New Roman"/>
                <w:sz w:val="24"/>
              </w:rPr>
              <w:t>等辅助配套设施均已建成，满足工艺流程，也满足功能分区要求及运输作业要求。</w:t>
            </w:r>
          </w:p>
          <w:p w14:paraId="03D4396A">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根据建设单位设计，项目</w:t>
            </w:r>
            <w:r>
              <w:rPr>
                <w:rFonts w:hint="eastAsia" w:ascii="Times New Roman" w:hAnsi="Times New Roman" w:eastAsia="宋体" w:cs="Times New Roman"/>
                <w:sz w:val="24"/>
              </w:rPr>
              <w:t>厂区布置简单，由东北至西南主要分布为综合楼、机修车间、硅粉车间；硅粉车间由东南至西北主要包含硅块中转库、加工生产线、散装罐区、待检修区；生活区主要依托原黄磷厂办公生活区。</w:t>
            </w:r>
            <w:r>
              <w:rPr>
                <w:rFonts w:ascii="Times New Roman" w:hAnsi="Times New Roman" w:eastAsia="宋体" w:cs="Times New Roman"/>
                <w:sz w:val="24"/>
              </w:rPr>
              <w:t>项目工程平面布置基本合理，做到了统一布置，综合平衡，功能分区明确，工艺流程合理，管线短捷，运输方便，并符合环保、消防及安全要求等。</w:t>
            </w:r>
          </w:p>
          <w:p w14:paraId="7FAB5BD7">
            <w:pPr>
              <w:spacing w:line="480" w:lineRule="exact"/>
              <w:ind w:firstLine="472" w:firstLineChars="196"/>
              <w:rPr>
                <w:rFonts w:ascii="Times New Roman" w:hAnsi="Times New Roman" w:eastAsia="宋体" w:cs="Times New Roman"/>
                <w:sz w:val="24"/>
              </w:rPr>
            </w:pPr>
            <w:r>
              <w:rPr>
                <w:rFonts w:ascii="Times New Roman" w:hAnsi="Times New Roman" w:eastAsia="宋体" w:cs="Times New Roman"/>
                <w:b/>
                <w:sz w:val="24"/>
              </w:rPr>
              <w:t>综上所述</w:t>
            </w:r>
            <w:r>
              <w:rPr>
                <w:rFonts w:ascii="Times New Roman" w:hAnsi="Times New Roman" w:eastAsia="宋体" w:cs="Times New Roman"/>
                <w:sz w:val="24"/>
              </w:rPr>
              <w:t>，本项目在总体布局上，遵循“分区合理、工艺流畅、物流短捷；突出环保与安全”的原则，结合场地的用地条件及生产工艺，综合考虑环保、消防、劳动卫生等要求，进行了平面布置统筹安排，总图布置从环保角度合理</w:t>
            </w:r>
            <w:r>
              <w:rPr>
                <w:rFonts w:ascii="Times New Roman" w:hAnsi="Times New Roman" w:eastAsia="宋体" w:cs="Times New Roman"/>
                <w:bCs/>
                <w:sz w:val="24"/>
              </w:rPr>
              <w:t>。详见</w:t>
            </w:r>
            <w:r>
              <w:rPr>
                <w:rFonts w:ascii="Times New Roman" w:hAnsi="Times New Roman" w:eastAsia="宋体" w:cs="Times New Roman"/>
                <w:sz w:val="24"/>
              </w:rPr>
              <w:t>附图2项目平面布置图。</w:t>
            </w:r>
          </w:p>
          <w:p w14:paraId="6BEF3A1E">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四、项目概况</w:t>
            </w:r>
          </w:p>
          <w:p w14:paraId="53958A35">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（1）项目基本情况</w:t>
            </w:r>
          </w:p>
          <w:p w14:paraId="2AE3F017">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项目名称：</w:t>
            </w:r>
            <w:r>
              <w:rPr>
                <w:rFonts w:hint="eastAsia" w:ascii="Times New Roman" w:hAnsi="Times New Roman" w:eastAsia="宋体" w:cs="Times New Roman"/>
                <w:sz w:val="24"/>
                <w:szCs w:val="24"/>
              </w:rPr>
              <w:t>乐山艺源有机硅材料有限公司硅粉加工技改项目</w:t>
            </w:r>
          </w:p>
          <w:p w14:paraId="057E7E39">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建设单位：</w:t>
            </w:r>
            <w:r>
              <w:rPr>
                <w:rFonts w:hint="eastAsia" w:ascii="Times New Roman" w:hAnsi="Times New Roman" w:eastAsia="宋体" w:cs="Times New Roman"/>
                <w:sz w:val="24"/>
                <w:szCs w:val="24"/>
              </w:rPr>
              <w:t>四川林河实业集团有限公司</w:t>
            </w:r>
          </w:p>
          <w:p w14:paraId="60BCF858">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建设地点：</w:t>
            </w:r>
            <w:r>
              <w:rPr>
                <w:rFonts w:hint="eastAsia" w:ascii="Times New Roman" w:hAnsi="Times New Roman" w:eastAsia="宋体" w:cs="Times New Roman"/>
                <w:sz w:val="24"/>
                <w:szCs w:val="24"/>
              </w:rPr>
              <w:t>乐山市峨边彝族自治县峨边新场工业园区（原林河集团黄磷厂厂区）（E103.2732°，N29.3078°）</w:t>
            </w:r>
          </w:p>
          <w:p w14:paraId="4C90252E">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建设性质：改建</w:t>
            </w:r>
          </w:p>
          <w:p w14:paraId="50EF2E0D">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工作制度及劳动定员：项目劳动定员20人，采用一班制，单班8小时工作制，全年工作日为300天。</w:t>
            </w:r>
          </w:p>
          <w:p w14:paraId="02C6887C">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项目总投资：项目总投资1920万元，企业自筹1920万元。</w:t>
            </w:r>
          </w:p>
          <w:p w14:paraId="156EB5C5">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建设主要内容及规模：</w:t>
            </w:r>
          </w:p>
          <w:p w14:paraId="53400D4D">
            <w:pPr>
              <w:spacing w:line="480" w:lineRule="exact"/>
              <w:ind w:firstLine="470" w:firstLineChars="196"/>
              <w:rPr>
                <w:rFonts w:ascii="Times New Roman" w:hAnsi="Times New Roman" w:eastAsia="宋体" w:cs="Times New Roman"/>
                <w:bCs/>
                <w:sz w:val="24"/>
                <w:szCs w:val="24"/>
              </w:rPr>
            </w:pPr>
            <w:r>
              <w:rPr>
                <w:rFonts w:hint="eastAsia" w:ascii="Times New Roman" w:hAnsi="Times New Roman" w:eastAsia="宋体" w:cs="Times New Roman"/>
                <w:bCs/>
                <w:sz w:val="24"/>
                <w:szCs w:val="24"/>
              </w:rPr>
              <w:t>2×1500硅粉车间990平方米，综合楼260平方米，硅块中转库1012.5平方米，产品粉散装罐区843.5平方米，机修车间60.225平方米。硅块料仓3台、细碎料仓3台、除尘器料仓3台、电机振动给料3台、颚式破碎机3台、分级机前料仓1台、板链式斗提</w:t>
            </w:r>
            <w:r>
              <w:rPr>
                <w:rFonts w:hint="eastAsia" w:ascii="Times New Roman" w:hAnsi="Times New Roman" w:eastAsia="宋体" w:cs="Times New Roman"/>
                <w:bCs/>
                <w:sz w:val="24"/>
                <w:szCs w:val="24"/>
                <w:lang w:eastAsia="zh-CN"/>
              </w:rPr>
              <w:t>机</w:t>
            </w:r>
            <w:r>
              <w:rPr>
                <w:rFonts w:hint="eastAsia" w:ascii="Times New Roman" w:hAnsi="Times New Roman" w:eastAsia="宋体" w:cs="Times New Roman"/>
                <w:bCs/>
                <w:sz w:val="24"/>
                <w:szCs w:val="24"/>
              </w:rPr>
              <w:t>3台、永磁除铁器3台、轴流风机2台、密封型电机振动给料机3台、DCS控制系统3套等。</w:t>
            </w:r>
          </w:p>
          <w:p w14:paraId="5B4B1F6F">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（2）产品方案</w:t>
            </w:r>
          </w:p>
          <w:p w14:paraId="6C01C4B5">
            <w:pPr>
              <w:widowControl/>
              <w:adjustRightInd w:val="0"/>
              <w:snapToGrid w:val="0"/>
              <w:spacing w:line="480" w:lineRule="exact"/>
              <w:ind w:right="92" w:rightChars="44"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本项目主要产品为</w:t>
            </w:r>
            <w:r>
              <w:rPr>
                <w:rFonts w:hint="eastAsia" w:ascii="Times New Roman" w:hAnsi="Times New Roman" w:eastAsia="宋体" w:cs="Times New Roman"/>
                <w:sz w:val="24"/>
              </w:rPr>
              <w:t>工业硅粉</w:t>
            </w:r>
            <w:r>
              <w:rPr>
                <w:rFonts w:ascii="Times New Roman" w:hAnsi="Times New Roman" w:eastAsia="宋体" w:cs="Times New Roman"/>
                <w:sz w:val="24"/>
              </w:rPr>
              <w:t>，项目产品方案见表1-2：</w:t>
            </w:r>
          </w:p>
          <w:p w14:paraId="1AE4365D">
            <w:pPr>
              <w:spacing w:line="500" w:lineRule="exact"/>
              <w:ind w:firstLine="480" w:firstLineChars="200"/>
              <w:jc w:val="center"/>
              <w:rPr>
                <w:rFonts w:ascii="Times New Roman" w:hAnsi="Times New Roman" w:eastAsia="宋体" w:cs="Times New Roman"/>
                <w:sz w:val="24"/>
                <w:szCs w:val="24"/>
                <w:u w:val="single"/>
              </w:rPr>
            </w:pPr>
            <w:r>
              <w:rPr>
                <w:rFonts w:ascii="Times New Roman" w:hAnsi="Times New Roman" w:eastAsia="宋体" w:cs="Times New Roman"/>
                <w:snapToGrid w:val="0"/>
                <w:kern w:val="0"/>
                <w:sz w:val="24"/>
                <w:szCs w:val="24"/>
              </w:rPr>
              <w:t>表1-2  项目产品方案一览表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703"/>
              <w:gridCol w:w="1135"/>
              <w:gridCol w:w="709"/>
              <w:gridCol w:w="850"/>
              <w:gridCol w:w="1843"/>
              <w:gridCol w:w="852"/>
              <w:gridCol w:w="2856"/>
            </w:tblGrid>
            <w:tr w14:paraId="4250C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13" w:hRule="atLeast"/>
                <w:jc w:val="center"/>
              </w:trPr>
              <w:tc>
                <w:tcPr>
                  <w:tcW w:w="393" w:type="pct"/>
                  <w:tcBorders>
                    <w:top w:val="single" w:color="auto" w:sz="12" w:space="0"/>
                    <w:left w:val="single" w:color="auto" w:sz="12" w:space="0"/>
                  </w:tcBorders>
                  <w:shd w:val="clear" w:color="auto" w:fill="FFFFFF"/>
                  <w:vAlign w:val="center"/>
                </w:tcPr>
                <w:p w14:paraId="400642C3">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634" w:type="pct"/>
                  <w:tcBorders>
                    <w:top w:val="single" w:color="auto" w:sz="12" w:space="0"/>
                  </w:tcBorders>
                  <w:shd w:val="clear" w:color="auto" w:fill="FFFFFF"/>
                  <w:vAlign w:val="center"/>
                </w:tcPr>
                <w:p w14:paraId="4B3BF66D">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396" w:type="pct"/>
                  <w:tcBorders>
                    <w:top w:val="single" w:color="auto" w:sz="12" w:space="0"/>
                  </w:tcBorders>
                  <w:shd w:val="clear" w:color="auto" w:fill="FFFFFF"/>
                  <w:vAlign w:val="center"/>
                </w:tcPr>
                <w:p w14:paraId="5669874B">
                  <w:pPr>
                    <w:jc w:val="center"/>
                    <w:rPr>
                      <w:rFonts w:ascii="Times New Roman" w:hAnsi="Times New Roman" w:eastAsia="宋体" w:cs="Times New Roman"/>
                      <w:szCs w:val="21"/>
                    </w:rPr>
                  </w:pPr>
                  <w:r>
                    <w:rPr>
                      <w:rFonts w:ascii="Times New Roman" w:hAnsi="Times New Roman" w:eastAsia="宋体" w:cs="Times New Roman"/>
                      <w:szCs w:val="21"/>
                    </w:rPr>
                    <w:t>单位</w:t>
                  </w:r>
                </w:p>
              </w:tc>
              <w:tc>
                <w:tcPr>
                  <w:tcW w:w="475" w:type="pct"/>
                  <w:tcBorders>
                    <w:top w:val="single" w:color="auto" w:sz="12" w:space="0"/>
                  </w:tcBorders>
                  <w:shd w:val="clear" w:color="auto" w:fill="FFFFFF"/>
                  <w:vAlign w:val="center"/>
                </w:tcPr>
                <w:p w14:paraId="29781DF7">
                  <w:pPr>
                    <w:jc w:val="center"/>
                    <w:rPr>
                      <w:rFonts w:ascii="Times New Roman" w:hAnsi="Times New Roman" w:eastAsia="宋体" w:cs="Times New Roman"/>
                      <w:szCs w:val="21"/>
                    </w:rPr>
                  </w:pPr>
                  <w:r>
                    <w:rPr>
                      <w:rFonts w:ascii="Times New Roman" w:hAnsi="Times New Roman" w:eastAsia="宋体" w:cs="Times New Roman"/>
                      <w:szCs w:val="21"/>
                    </w:rPr>
                    <w:t>规模</w:t>
                  </w:r>
                </w:p>
              </w:tc>
              <w:tc>
                <w:tcPr>
                  <w:tcW w:w="1030" w:type="pct"/>
                  <w:tcBorders>
                    <w:top w:val="single" w:color="auto" w:sz="12" w:space="0"/>
                    <w:right w:val="single" w:color="auto" w:sz="6" w:space="0"/>
                  </w:tcBorders>
                  <w:shd w:val="clear" w:color="auto" w:fill="FFFFFF"/>
                  <w:vAlign w:val="center"/>
                </w:tcPr>
                <w:p w14:paraId="00225EC8">
                  <w:pPr>
                    <w:jc w:val="center"/>
                    <w:rPr>
                      <w:rFonts w:ascii="Times New Roman" w:hAnsi="Times New Roman" w:eastAsia="宋体" w:cs="Times New Roman"/>
                      <w:szCs w:val="21"/>
                    </w:rPr>
                  </w:pPr>
                  <w:r>
                    <w:rPr>
                      <w:rFonts w:ascii="Times New Roman" w:hAnsi="Times New Roman" w:eastAsia="宋体" w:cs="Times New Roman"/>
                      <w:szCs w:val="21"/>
                    </w:rPr>
                    <w:t>主要原辅料名称</w:t>
                  </w:r>
                </w:p>
              </w:tc>
              <w:tc>
                <w:tcPr>
                  <w:tcW w:w="476" w:type="pct"/>
                  <w:tcBorders>
                    <w:top w:val="single" w:color="auto" w:sz="12" w:space="0"/>
                    <w:left w:val="single" w:color="auto" w:sz="6" w:space="0"/>
                  </w:tcBorders>
                  <w:shd w:val="clear" w:color="auto" w:fill="FFFFFF"/>
                  <w:vAlign w:val="center"/>
                </w:tcPr>
                <w:p w14:paraId="419ACE29">
                  <w:pPr>
                    <w:jc w:val="center"/>
                    <w:rPr>
                      <w:rFonts w:ascii="Times New Roman" w:hAnsi="Times New Roman" w:eastAsia="宋体" w:cs="Times New Roman"/>
                      <w:szCs w:val="21"/>
                    </w:rPr>
                  </w:pPr>
                  <w:r>
                    <w:rPr>
                      <w:rFonts w:ascii="Times New Roman" w:hAnsi="Times New Roman" w:eastAsia="宋体" w:cs="Times New Roman"/>
                      <w:szCs w:val="21"/>
                    </w:rPr>
                    <w:t>来源</w:t>
                  </w:r>
                </w:p>
              </w:tc>
              <w:tc>
                <w:tcPr>
                  <w:tcW w:w="1596" w:type="pct"/>
                  <w:tcBorders>
                    <w:top w:val="single" w:color="auto" w:sz="12" w:space="0"/>
                    <w:left w:val="single" w:color="auto" w:sz="6" w:space="0"/>
                    <w:right w:val="single" w:color="auto" w:sz="12" w:space="0"/>
                  </w:tcBorders>
                  <w:shd w:val="clear" w:color="auto" w:fill="FFFFFF"/>
                  <w:vAlign w:val="center"/>
                </w:tcPr>
                <w:p w14:paraId="6AE3DAE0">
                  <w:pPr>
                    <w:jc w:val="center"/>
                    <w:rPr>
                      <w:rFonts w:ascii="Times New Roman" w:hAnsi="Times New Roman" w:eastAsia="宋体" w:cs="Times New Roman"/>
                      <w:szCs w:val="21"/>
                    </w:rPr>
                  </w:pPr>
                  <w:r>
                    <w:rPr>
                      <w:rFonts w:ascii="Times New Roman" w:hAnsi="Times New Roman" w:eastAsia="宋体" w:cs="Times New Roman"/>
                      <w:szCs w:val="21"/>
                    </w:rPr>
                    <w:t>备注</w:t>
                  </w:r>
                </w:p>
              </w:tc>
            </w:tr>
            <w:tr w14:paraId="74D4A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393" w:type="pct"/>
                  <w:tcBorders>
                    <w:left w:val="single" w:color="auto" w:sz="12" w:space="0"/>
                    <w:bottom w:val="single" w:color="auto" w:sz="12" w:space="0"/>
                  </w:tcBorders>
                  <w:shd w:val="clear" w:color="auto" w:fill="FFFFFF"/>
                  <w:vAlign w:val="center"/>
                </w:tcPr>
                <w:p w14:paraId="2FBF32B0">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634" w:type="pct"/>
                  <w:tcBorders>
                    <w:bottom w:val="single" w:color="auto" w:sz="12" w:space="0"/>
                  </w:tcBorders>
                  <w:shd w:val="clear" w:color="auto" w:fill="FFFFFF"/>
                  <w:vAlign w:val="center"/>
                </w:tcPr>
                <w:p w14:paraId="55085EE8">
                  <w:pPr>
                    <w:jc w:val="center"/>
                    <w:rPr>
                      <w:rFonts w:ascii="Times New Roman" w:hAnsi="Times New Roman" w:eastAsia="宋体" w:cs="Times New Roman"/>
                      <w:szCs w:val="21"/>
                    </w:rPr>
                  </w:pPr>
                  <w:r>
                    <w:rPr>
                      <w:rFonts w:hint="eastAsia" w:ascii="Times New Roman" w:hAnsi="Times New Roman" w:eastAsia="宋体" w:cs="Times New Roman"/>
                      <w:szCs w:val="21"/>
                    </w:rPr>
                    <w:t>工业硅粉</w:t>
                  </w:r>
                </w:p>
              </w:tc>
              <w:tc>
                <w:tcPr>
                  <w:tcW w:w="396" w:type="pct"/>
                  <w:tcBorders>
                    <w:bottom w:val="single" w:color="auto" w:sz="12" w:space="0"/>
                  </w:tcBorders>
                  <w:shd w:val="clear" w:color="auto" w:fill="FFFFFF"/>
                  <w:vAlign w:val="center"/>
                </w:tcPr>
                <w:p w14:paraId="3D2DC35F">
                  <w:pPr>
                    <w:jc w:val="center"/>
                    <w:rPr>
                      <w:rFonts w:ascii="Times New Roman" w:hAnsi="Times New Roman" w:eastAsia="宋体" w:cs="Times New Roman"/>
                      <w:szCs w:val="21"/>
                    </w:rPr>
                  </w:pPr>
                  <w:r>
                    <w:rPr>
                      <w:rFonts w:ascii="Times New Roman" w:hAnsi="Times New Roman" w:eastAsia="宋体" w:cs="Times New Roman"/>
                      <w:szCs w:val="21"/>
                    </w:rPr>
                    <w:t>万t</w:t>
                  </w:r>
                </w:p>
              </w:tc>
              <w:tc>
                <w:tcPr>
                  <w:tcW w:w="475" w:type="pct"/>
                  <w:tcBorders>
                    <w:bottom w:val="single" w:color="auto" w:sz="12" w:space="0"/>
                  </w:tcBorders>
                  <w:shd w:val="clear" w:color="auto" w:fill="FFFFFF"/>
                  <w:vAlign w:val="center"/>
                </w:tcPr>
                <w:p w14:paraId="1FACEC3B">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030" w:type="pct"/>
                  <w:tcBorders>
                    <w:bottom w:val="single" w:color="auto" w:sz="12" w:space="0"/>
                    <w:right w:val="single" w:color="auto" w:sz="6" w:space="0"/>
                  </w:tcBorders>
                  <w:shd w:val="clear" w:color="auto" w:fill="FFFFFF"/>
                  <w:vAlign w:val="center"/>
                </w:tcPr>
                <w:p w14:paraId="47EF494F">
                  <w:pPr>
                    <w:jc w:val="center"/>
                    <w:rPr>
                      <w:rFonts w:ascii="Times New Roman" w:hAnsi="Times New Roman" w:eastAsia="宋体" w:cs="Times New Roman"/>
                      <w:szCs w:val="21"/>
                    </w:rPr>
                  </w:pPr>
                  <w:r>
                    <w:rPr>
                      <w:rFonts w:hint="eastAsia" w:ascii="Times New Roman" w:hAnsi="Times New Roman" w:eastAsia="宋体" w:cs="Times New Roman"/>
                      <w:szCs w:val="21"/>
                    </w:rPr>
                    <w:t>工业硅</w:t>
                  </w:r>
                </w:p>
              </w:tc>
              <w:tc>
                <w:tcPr>
                  <w:tcW w:w="476" w:type="pct"/>
                  <w:tcBorders>
                    <w:left w:val="single" w:color="auto" w:sz="6" w:space="0"/>
                    <w:bottom w:val="single" w:color="auto" w:sz="12" w:space="0"/>
                  </w:tcBorders>
                  <w:shd w:val="clear" w:color="auto" w:fill="FFFFFF"/>
                  <w:vAlign w:val="center"/>
                </w:tcPr>
                <w:p w14:paraId="41DC262E">
                  <w:pPr>
                    <w:jc w:val="center"/>
                    <w:rPr>
                      <w:rFonts w:ascii="Times New Roman" w:hAnsi="Times New Roman" w:eastAsia="宋体" w:cs="Times New Roman"/>
                      <w:szCs w:val="21"/>
                    </w:rPr>
                  </w:pPr>
                  <w:r>
                    <w:rPr>
                      <w:rFonts w:ascii="Times New Roman" w:hAnsi="Times New Roman" w:eastAsia="宋体" w:cs="Times New Roman"/>
                      <w:szCs w:val="21"/>
                    </w:rPr>
                    <w:t>外购</w:t>
                  </w:r>
                </w:p>
              </w:tc>
              <w:tc>
                <w:tcPr>
                  <w:tcW w:w="1596" w:type="pct"/>
                  <w:tcBorders>
                    <w:left w:val="single" w:color="auto" w:sz="6" w:space="0"/>
                    <w:bottom w:val="single" w:color="auto" w:sz="12" w:space="0"/>
                    <w:right w:val="single" w:color="auto" w:sz="12" w:space="0"/>
                  </w:tcBorders>
                  <w:shd w:val="clear" w:color="auto" w:fill="FFFFFF"/>
                  <w:vAlign w:val="center"/>
                </w:tcPr>
                <w:p w14:paraId="35B17B51">
                  <w:pPr>
                    <w:jc w:val="center"/>
                    <w:rPr>
                      <w:rFonts w:ascii="Times New Roman" w:hAnsi="Times New Roman" w:eastAsia="宋体" w:cs="Times New Roman"/>
                      <w:szCs w:val="21"/>
                    </w:rPr>
                  </w:pPr>
                  <w:r>
                    <w:rPr>
                      <w:rFonts w:hint="eastAsia" w:ascii="Times New Roman" w:hAnsi="Times New Roman" w:eastAsia="宋体" w:cs="Times New Roman"/>
                      <w:szCs w:val="21"/>
                    </w:rPr>
                    <w:t>林河硅业公司生产的或外购其他公司的冶金级工业硅和化学级工业硅</w:t>
                  </w:r>
                </w:p>
              </w:tc>
            </w:tr>
          </w:tbl>
          <w:p w14:paraId="1DEFDDBB">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bCs/>
                <w:sz w:val="24"/>
                <w:szCs w:val="24"/>
              </w:rPr>
              <w:t>（3）项目组成及主要环境问题</w:t>
            </w:r>
          </w:p>
          <w:p w14:paraId="161A13CC">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本项目依托现有场地</w:t>
            </w:r>
            <w:r>
              <w:rPr>
                <w:rFonts w:ascii="Times New Roman" w:hAnsi="Times New Roman" w:eastAsia="宋体" w:cs="Times New Roman"/>
                <w:bCs/>
                <w:sz w:val="24"/>
                <w:szCs w:val="24"/>
              </w:rPr>
              <w:t>及配套基础设施建设项目</w:t>
            </w:r>
            <w:r>
              <w:rPr>
                <w:rFonts w:ascii="Times New Roman" w:hAnsi="Times New Roman" w:eastAsia="宋体" w:cs="Times New Roman"/>
                <w:snapToGrid w:val="0"/>
                <w:kern w:val="0"/>
                <w:sz w:val="24"/>
                <w:szCs w:val="24"/>
              </w:rPr>
              <w:t>新改扩建厂房</w:t>
            </w:r>
            <w:r>
              <w:rPr>
                <w:rFonts w:hint="eastAsia" w:ascii="Times New Roman" w:hAnsi="Times New Roman" w:eastAsia="宋体" w:cs="Times New Roman"/>
                <w:snapToGrid w:val="0"/>
                <w:kern w:val="0"/>
                <w:sz w:val="24"/>
                <w:szCs w:val="24"/>
                <w:lang w:eastAsia="zh-CN"/>
              </w:rPr>
              <w:t>实施</w:t>
            </w:r>
            <w:r>
              <w:rPr>
                <w:rFonts w:ascii="Times New Roman" w:hAnsi="Times New Roman" w:eastAsia="宋体" w:cs="Times New Roman"/>
                <w:sz w:val="24"/>
              </w:rPr>
              <w:t>，</w:t>
            </w:r>
            <w:r>
              <w:rPr>
                <w:rFonts w:ascii="Times New Roman" w:hAnsi="Times New Roman" w:eastAsia="宋体" w:cs="Times New Roman"/>
                <w:sz w:val="24"/>
                <w:szCs w:val="24"/>
              </w:rPr>
              <w:t>项目组成及主要环境问题详见表1-3。</w:t>
            </w:r>
          </w:p>
          <w:p w14:paraId="017629D1">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表1-3 项目组成及主要环境问题一览表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48"/>
              <w:gridCol w:w="1251"/>
              <w:gridCol w:w="3779"/>
              <w:gridCol w:w="1067"/>
              <w:gridCol w:w="1307"/>
              <w:gridCol w:w="696"/>
            </w:tblGrid>
            <w:tr w14:paraId="0CEA866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restart"/>
                  <w:tcBorders>
                    <w:top w:val="single" w:color="auto" w:sz="12" w:space="0"/>
                    <w:left w:val="single" w:color="auto" w:sz="12" w:space="0"/>
                  </w:tcBorders>
                  <w:vAlign w:val="center"/>
                </w:tcPr>
                <w:p w14:paraId="2D2EECF3">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名称</w:t>
                  </w:r>
                </w:p>
              </w:tc>
              <w:tc>
                <w:tcPr>
                  <w:tcW w:w="2810" w:type="pct"/>
                  <w:gridSpan w:val="2"/>
                  <w:vMerge w:val="restart"/>
                  <w:tcBorders>
                    <w:top w:val="single" w:color="auto" w:sz="12" w:space="0"/>
                  </w:tcBorders>
                  <w:vAlign w:val="center"/>
                </w:tcPr>
                <w:p w14:paraId="7C44FEB1">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建设内容及规模</w:t>
                  </w:r>
                </w:p>
              </w:tc>
              <w:tc>
                <w:tcPr>
                  <w:tcW w:w="1326" w:type="pct"/>
                  <w:gridSpan w:val="2"/>
                  <w:tcBorders>
                    <w:top w:val="single" w:color="auto" w:sz="12" w:space="0"/>
                  </w:tcBorders>
                  <w:vAlign w:val="center"/>
                </w:tcPr>
                <w:p w14:paraId="7DEBBE87">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主要环境问题</w:t>
                  </w:r>
                </w:p>
              </w:tc>
              <w:tc>
                <w:tcPr>
                  <w:tcW w:w="389" w:type="pct"/>
                  <w:vMerge w:val="restart"/>
                  <w:tcBorders>
                    <w:top w:val="single" w:color="auto" w:sz="12" w:space="0"/>
                    <w:right w:val="single" w:color="auto" w:sz="12" w:space="0"/>
                  </w:tcBorders>
                  <w:vAlign w:val="center"/>
                </w:tcPr>
                <w:p w14:paraId="57F92AC4">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备注</w:t>
                  </w:r>
                </w:p>
              </w:tc>
            </w:tr>
            <w:tr w14:paraId="37BB13C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bottom w:val="single" w:color="auto" w:sz="4" w:space="0"/>
                  </w:tcBorders>
                  <w:vAlign w:val="center"/>
                </w:tcPr>
                <w:p w14:paraId="1C341303">
                  <w:pPr>
                    <w:pStyle w:val="167"/>
                    <w:snapToGrid w:val="0"/>
                    <w:spacing w:line="240" w:lineRule="auto"/>
                    <w:ind w:firstLine="482"/>
                    <w:rPr>
                      <w:rFonts w:ascii="Times New Roman" w:hAnsi="Times New Roman" w:eastAsia="宋体" w:cs="Times New Roman"/>
                      <w:b/>
                      <w:bCs/>
                      <w:szCs w:val="21"/>
                    </w:rPr>
                  </w:pPr>
                </w:p>
              </w:tc>
              <w:tc>
                <w:tcPr>
                  <w:tcW w:w="2810" w:type="pct"/>
                  <w:gridSpan w:val="2"/>
                  <w:vMerge w:val="continue"/>
                  <w:vAlign w:val="center"/>
                </w:tcPr>
                <w:p w14:paraId="14CA26E5">
                  <w:pPr>
                    <w:pStyle w:val="167"/>
                    <w:snapToGrid w:val="0"/>
                    <w:spacing w:line="240" w:lineRule="auto"/>
                    <w:ind w:firstLine="482"/>
                    <w:rPr>
                      <w:rFonts w:ascii="Times New Roman" w:hAnsi="Times New Roman" w:eastAsia="宋体" w:cs="Times New Roman"/>
                      <w:b/>
                      <w:bCs/>
                      <w:szCs w:val="21"/>
                    </w:rPr>
                  </w:pPr>
                </w:p>
              </w:tc>
              <w:tc>
                <w:tcPr>
                  <w:tcW w:w="596" w:type="pct"/>
                  <w:vAlign w:val="center"/>
                </w:tcPr>
                <w:p w14:paraId="2A42D9A3">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施工期</w:t>
                  </w:r>
                </w:p>
              </w:tc>
              <w:tc>
                <w:tcPr>
                  <w:tcW w:w="730" w:type="pct"/>
                  <w:vAlign w:val="center"/>
                </w:tcPr>
                <w:p w14:paraId="61A40FC4">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营运期</w:t>
                  </w:r>
                </w:p>
              </w:tc>
              <w:tc>
                <w:tcPr>
                  <w:tcW w:w="389" w:type="pct"/>
                  <w:vMerge w:val="continue"/>
                  <w:tcBorders>
                    <w:right w:val="single" w:color="auto" w:sz="12" w:space="0"/>
                  </w:tcBorders>
                  <w:vAlign w:val="center"/>
                </w:tcPr>
                <w:p w14:paraId="6DFDABF7">
                  <w:pPr>
                    <w:pStyle w:val="167"/>
                    <w:snapToGrid w:val="0"/>
                    <w:spacing w:line="240" w:lineRule="auto"/>
                    <w:rPr>
                      <w:rFonts w:ascii="Times New Roman" w:hAnsi="Times New Roman" w:eastAsia="宋体" w:cs="Times New Roman"/>
                      <w:b/>
                      <w:bCs/>
                      <w:szCs w:val="21"/>
                    </w:rPr>
                  </w:pPr>
                </w:p>
              </w:tc>
            </w:tr>
            <w:tr w14:paraId="0B02439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tcBorders>
                    <w:top w:val="single" w:color="auto" w:sz="4" w:space="0"/>
                    <w:left w:val="single" w:color="auto" w:sz="12" w:space="0"/>
                  </w:tcBorders>
                  <w:vAlign w:val="center"/>
                </w:tcPr>
                <w:p w14:paraId="1EF356B2">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主体</w:t>
                  </w:r>
                </w:p>
                <w:p w14:paraId="7851BF7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699" w:type="pct"/>
                  <w:tcBorders>
                    <w:top w:val="single" w:color="auto" w:sz="4" w:space="0"/>
                  </w:tcBorders>
                  <w:vAlign w:val="center"/>
                </w:tcPr>
                <w:p w14:paraId="732BC332">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硅粉加工车间</w:t>
                  </w:r>
                </w:p>
              </w:tc>
              <w:tc>
                <w:tcPr>
                  <w:tcW w:w="2111" w:type="pct"/>
                  <w:tcBorders>
                    <w:bottom w:val="single" w:color="auto" w:sz="4" w:space="0"/>
                  </w:tcBorders>
                  <w:vAlign w:val="center"/>
                </w:tcPr>
                <w:p w14:paraId="70EC5C8F">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rPr>
                    <w:t>硅粉加工车间由硅块中转库、制粉车间和散装罐区组合而成，</w:t>
                  </w:r>
                  <w:r>
                    <w:rPr>
                      <w:rFonts w:ascii="Times New Roman" w:hAnsi="Times New Roman" w:eastAsia="宋体" w:cs="Times New Roman"/>
                      <w:szCs w:val="21"/>
                    </w:rPr>
                    <w:t>厂房四周密闭</w:t>
                  </w:r>
                  <w:r>
                    <w:rPr>
                      <w:rFonts w:hint="eastAsia" w:ascii="Times New Roman" w:hAnsi="Times New Roman" w:eastAsia="宋体" w:cs="Times New Roman"/>
                      <w:szCs w:val="21"/>
                    </w:rPr>
                    <w:t>，主要加工生产车间为制粉车间。</w:t>
                  </w:r>
                </w:p>
                <w:p w14:paraId="36A7BC7B">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b/>
                      <w:bCs/>
                      <w:i/>
                      <w:iCs/>
                      <w:szCs w:val="21"/>
                    </w:rPr>
                    <w:t>制粉车间</w:t>
                  </w:r>
                  <w:r>
                    <w:rPr>
                      <w:rFonts w:ascii="Times New Roman" w:hAnsi="Times New Roman" w:eastAsia="宋体" w:cs="Times New Roman"/>
                      <w:szCs w:val="21"/>
                    </w:rPr>
                    <w:t>：</w:t>
                  </w: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框架和钢体房顶及外墙结构，占地面积约9</w:t>
                  </w:r>
                  <w:r>
                    <w:rPr>
                      <w:rFonts w:ascii="Times New Roman" w:hAnsi="Times New Roman" w:eastAsia="宋体" w:cs="Times New Roman"/>
                      <w:szCs w:val="21"/>
                    </w:rPr>
                    <w:t>90 m</w:t>
                  </w:r>
                  <w:r>
                    <w:rPr>
                      <w:rFonts w:ascii="Times New Roman" w:hAnsi="Times New Roman" w:eastAsia="宋体" w:cs="Times New Roman"/>
                      <w:szCs w:val="21"/>
                      <w:vertAlign w:val="superscript"/>
                    </w:rPr>
                    <w:t>2</w:t>
                  </w:r>
                  <w:r>
                    <w:rPr>
                      <w:rFonts w:ascii="Times New Roman" w:hAnsi="Times New Roman" w:eastAsia="宋体" w:cs="Times New Roman"/>
                      <w:szCs w:val="21"/>
                    </w:rPr>
                    <w:t>，</w:t>
                  </w:r>
                  <w:r>
                    <w:rPr>
                      <w:rFonts w:hint="eastAsia" w:ascii="Times New Roman" w:hAnsi="Times New Roman" w:eastAsia="宋体" w:cs="Times New Roman"/>
                      <w:szCs w:val="21"/>
                    </w:rPr>
                    <w:t>局部2层和3层，主要布置为硅粉加工生产线。</w:t>
                  </w:r>
                  <w:r>
                    <w:rPr>
                      <w:rFonts w:hint="eastAsia" w:ascii="Times New Roman" w:hAnsi="Times New Roman" w:eastAsia="宋体" w:cs="Times New Roman"/>
                      <w:szCs w:val="21"/>
                      <w:lang w:eastAsia="zh-CN"/>
                    </w:rPr>
                    <w:t>生产线</w:t>
                  </w:r>
                  <w:r>
                    <w:rPr>
                      <w:rFonts w:hint="eastAsia" w:ascii="Times New Roman" w:hAnsi="Times New Roman" w:eastAsia="宋体" w:cs="Times New Roman"/>
                      <w:szCs w:val="21"/>
                    </w:rPr>
                    <w:t>分布为4条，包含有1</w:t>
                  </w:r>
                  <w:r>
                    <w:rPr>
                      <w:rFonts w:ascii="Times New Roman" w:hAnsi="Times New Roman" w:eastAsia="宋体" w:cs="Times New Roman"/>
                      <w:szCs w:val="21"/>
                    </w:rPr>
                    <w:t>0-325</w:t>
                  </w:r>
                  <w:r>
                    <w:rPr>
                      <w:rFonts w:hint="eastAsia" w:ascii="Times New Roman" w:hAnsi="Times New Roman" w:eastAsia="宋体" w:cs="Times New Roman"/>
                      <w:szCs w:val="21"/>
                    </w:rPr>
                    <w:t>目生产线A，1</w:t>
                  </w:r>
                  <w:r>
                    <w:rPr>
                      <w:rFonts w:ascii="Times New Roman" w:hAnsi="Times New Roman" w:eastAsia="宋体" w:cs="Times New Roman"/>
                      <w:szCs w:val="21"/>
                    </w:rPr>
                    <w:t>0-160</w:t>
                  </w:r>
                  <w:r>
                    <w:rPr>
                      <w:rFonts w:hint="eastAsia" w:ascii="Times New Roman" w:hAnsi="Times New Roman" w:eastAsia="宋体" w:cs="Times New Roman"/>
                      <w:szCs w:val="21"/>
                    </w:rPr>
                    <w:t>目生产线B，4</w:t>
                  </w:r>
                  <w:r>
                    <w:rPr>
                      <w:rFonts w:ascii="Times New Roman" w:hAnsi="Times New Roman" w:eastAsia="宋体" w:cs="Times New Roman"/>
                      <w:szCs w:val="21"/>
                    </w:rPr>
                    <w:t>0-325</w:t>
                  </w:r>
                  <w:r>
                    <w:rPr>
                      <w:rFonts w:hint="eastAsia" w:ascii="Times New Roman" w:hAnsi="Times New Roman" w:eastAsia="宋体" w:cs="Times New Roman"/>
                      <w:szCs w:val="21"/>
                    </w:rPr>
                    <w:t>目生产线C，综合处理生产线D。车间内布置有颚式破碎机、斗提机、永磁除铁器、劈裂磨机、筛分机等生产设备。</w:t>
                  </w:r>
                </w:p>
              </w:tc>
              <w:tc>
                <w:tcPr>
                  <w:tcW w:w="596" w:type="pct"/>
                  <w:vMerge w:val="restart"/>
                  <w:vAlign w:val="center"/>
                </w:tcPr>
                <w:p w14:paraId="5BF68F20">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施工固废、施工扬尘、施工噪声、施工废水、水土流失</w:t>
                  </w:r>
                </w:p>
              </w:tc>
              <w:tc>
                <w:tcPr>
                  <w:tcW w:w="730" w:type="pct"/>
                  <w:vAlign w:val="center"/>
                </w:tcPr>
                <w:p w14:paraId="1CDDB3A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噪声、废气</w:t>
                  </w:r>
                </w:p>
              </w:tc>
              <w:tc>
                <w:tcPr>
                  <w:tcW w:w="389" w:type="pct"/>
                  <w:tcBorders>
                    <w:bottom w:val="single" w:color="auto" w:sz="4" w:space="0"/>
                    <w:right w:val="single" w:color="auto" w:sz="12" w:space="0"/>
                  </w:tcBorders>
                  <w:vAlign w:val="center"/>
                </w:tcPr>
                <w:p w14:paraId="00424FF6">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254B230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restart"/>
                  <w:tcBorders>
                    <w:left w:val="single" w:color="auto" w:sz="12" w:space="0"/>
                  </w:tcBorders>
                  <w:vAlign w:val="center"/>
                </w:tcPr>
                <w:p w14:paraId="70E8E78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仓储设施</w:t>
                  </w:r>
                </w:p>
              </w:tc>
              <w:tc>
                <w:tcPr>
                  <w:tcW w:w="699" w:type="pct"/>
                  <w:vAlign w:val="center"/>
                </w:tcPr>
                <w:p w14:paraId="32071A2C">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硅块中转库</w:t>
                  </w:r>
                </w:p>
              </w:tc>
              <w:tc>
                <w:tcPr>
                  <w:tcW w:w="2111" w:type="pct"/>
                  <w:vAlign w:val="center"/>
                </w:tcPr>
                <w:p w14:paraId="5583E984">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框架和钢体房顶及外墙结构，占地面积约</w:t>
                  </w:r>
                  <w:r>
                    <w:rPr>
                      <w:rFonts w:ascii="Times New Roman" w:hAnsi="Times New Roman" w:eastAsia="宋体" w:cs="Times New Roman"/>
                      <w:szCs w:val="21"/>
                    </w:rPr>
                    <w:t>1012.5 m</w:t>
                  </w:r>
                  <w:r>
                    <w:rPr>
                      <w:rFonts w:ascii="Times New Roman" w:hAnsi="Times New Roman" w:eastAsia="宋体" w:cs="Times New Roman"/>
                      <w:szCs w:val="21"/>
                      <w:vertAlign w:val="superscript"/>
                    </w:rPr>
                    <w:t>2</w:t>
                  </w:r>
                  <w:r>
                    <w:rPr>
                      <w:rFonts w:ascii="Times New Roman" w:hAnsi="Times New Roman" w:eastAsia="宋体" w:cs="Times New Roman"/>
                      <w:szCs w:val="21"/>
                    </w:rPr>
                    <w:t>，</w:t>
                  </w:r>
                  <w:r>
                    <w:rPr>
                      <w:rFonts w:hint="eastAsia" w:ascii="Times New Roman" w:hAnsi="Times New Roman" w:eastAsia="宋体" w:cs="Times New Roman"/>
                      <w:szCs w:val="21"/>
                    </w:rPr>
                    <w:t>1</w:t>
                  </w:r>
                  <w:r>
                    <w:rPr>
                      <w:rFonts w:ascii="Times New Roman" w:hAnsi="Times New Roman" w:eastAsia="宋体" w:cs="Times New Roman"/>
                      <w:szCs w:val="21"/>
                    </w:rPr>
                    <w:t>F</w:t>
                  </w:r>
                  <w:r>
                    <w:rPr>
                      <w:rFonts w:hint="eastAsia" w:ascii="Times New Roman" w:hAnsi="Times New Roman" w:eastAsia="宋体" w:cs="Times New Roman"/>
                      <w:szCs w:val="21"/>
                    </w:rPr>
                    <w:t>。用于堆放原料硅块，其中设置烘房电加热，使用行车将硅块领出调运对原料进行处理。</w:t>
                  </w:r>
                </w:p>
              </w:tc>
              <w:tc>
                <w:tcPr>
                  <w:tcW w:w="596" w:type="pct"/>
                  <w:vMerge w:val="continue"/>
                  <w:vAlign w:val="center"/>
                </w:tcPr>
                <w:p w14:paraId="40A25D7F">
                  <w:pPr>
                    <w:pStyle w:val="167"/>
                    <w:snapToGrid w:val="0"/>
                    <w:spacing w:line="240" w:lineRule="auto"/>
                    <w:rPr>
                      <w:rFonts w:ascii="Times New Roman" w:hAnsi="Times New Roman" w:eastAsia="宋体" w:cs="Times New Roman"/>
                      <w:szCs w:val="21"/>
                    </w:rPr>
                  </w:pPr>
                </w:p>
              </w:tc>
              <w:tc>
                <w:tcPr>
                  <w:tcW w:w="730" w:type="pct"/>
                  <w:vAlign w:val="center"/>
                </w:tcPr>
                <w:p w14:paraId="2FE9A43C">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噪声</w:t>
                  </w:r>
                </w:p>
              </w:tc>
              <w:tc>
                <w:tcPr>
                  <w:tcW w:w="389" w:type="pct"/>
                  <w:tcBorders>
                    <w:right w:val="single" w:color="auto" w:sz="12" w:space="0"/>
                  </w:tcBorders>
                  <w:vAlign w:val="center"/>
                </w:tcPr>
                <w:p w14:paraId="314E5622">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73B91DB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4E8AB03C">
                  <w:pPr>
                    <w:pStyle w:val="167"/>
                    <w:snapToGrid w:val="0"/>
                    <w:spacing w:line="240" w:lineRule="auto"/>
                    <w:rPr>
                      <w:rFonts w:ascii="Times New Roman" w:hAnsi="Times New Roman" w:eastAsia="宋体" w:cs="Times New Roman"/>
                      <w:szCs w:val="21"/>
                    </w:rPr>
                  </w:pPr>
                </w:p>
              </w:tc>
              <w:tc>
                <w:tcPr>
                  <w:tcW w:w="699" w:type="pct"/>
                  <w:vAlign w:val="center"/>
                </w:tcPr>
                <w:p w14:paraId="3997C397">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散装罐区</w:t>
                  </w:r>
                </w:p>
              </w:tc>
              <w:tc>
                <w:tcPr>
                  <w:tcW w:w="2111" w:type="pct"/>
                  <w:vAlign w:val="center"/>
                </w:tcPr>
                <w:p w14:paraId="0E3750E0">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框架和钢体房顶及外墙结构，占地面积约</w:t>
                  </w:r>
                  <w:r>
                    <w:rPr>
                      <w:rFonts w:ascii="Times New Roman" w:hAnsi="Times New Roman" w:eastAsia="宋体" w:cs="Times New Roman"/>
                      <w:szCs w:val="21"/>
                    </w:rPr>
                    <w:t>843.75 m</w:t>
                  </w:r>
                  <w:r>
                    <w:rPr>
                      <w:rFonts w:ascii="Times New Roman" w:hAnsi="Times New Roman" w:eastAsia="宋体" w:cs="Times New Roman"/>
                      <w:szCs w:val="21"/>
                      <w:vertAlign w:val="superscript"/>
                    </w:rPr>
                    <w:t>2</w:t>
                  </w:r>
                  <w:r>
                    <w:rPr>
                      <w:rFonts w:ascii="Times New Roman" w:hAnsi="Times New Roman" w:eastAsia="宋体" w:cs="Times New Roman"/>
                      <w:szCs w:val="21"/>
                    </w:rPr>
                    <w:t>，2F</w:t>
                  </w:r>
                  <w:r>
                    <w:rPr>
                      <w:rFonts w:hint="eastAsia" w:ascii="Times New Roman" w:hAnsi="Times New Roman" w:eastAsia="宋体" w:cs="Times New Roman"/>
                      <w:szCs w:val="21"/>
                    </w:rPr>
                    <w:t>。筛分后的成品粉料经提升机提升至散装罐区进入成品料仓。</w:t>
                  </w:r>
                </w:p>
              </w:tc>
              <w:tc>
                <w:tcPr>
                  <w:tcW w:w="596" w:type="pct"/>
                  <w:vMerge w:val="continue"/>
                  <w:vAlign w:val="center"/>
                </w:tcPr>
                <w:p w14:paraId="7B264CC1">
                  <w:pPr>
                    <w:pStyle w:val="167"/>
                    <w:snapToGrid w:val="0"/>
                    <w:spacing w:line="240" w:lineRule="auto"/>
                    <w:rPr>
                      <w:rFonts w:ascii="Times New Roman" w:hAnsi="Times New Roman" w:eastAsia="宋体" w:cs="Times New Roman"/>
                      <w:szCs w:val="21"/>
                    </w:rPr>
                  </w:pPr>
                </w:p>
              </w:tc>
              <w:tc>
                <w:tcPr>
                  <w:tcW w:w="730" w:type="pct"/>
                  <w:vAlign w:val="center"/>
                </w:tcPr>
                <w:p w14:paraId="075B8ED7">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噪声</w:t>
                  </w:r>
                </w:p>
              </w:tc>
              <w:tc>
                <w:tcPr>
                  <w:tcW w:w="389" w:type="pct"/>
                  <w:tcBorders>
                    <w:bottom w:val="single" w:color="auto" w:sz="4" w:space="0"/>
                    <w:right w:val="single" w:color="auto" w:sz="12" w:space="0"/>
                  </w:tcBorders>
                  <w:vAlign w:val="center"/>
                </w:tcPr>
                <w:p w14:paraId="5E8371FF">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0C77837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restart"/>
                  <w:tcBorders>
                    <w:left w:val="single" w:color="auto" w:sz="12" w:space="0"/>
                  </w:tcBorders>
                  <w:vAlign w:val="center"/>
                </w:tcPr>
                <w:p w14:paraId="1FB5429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公用</w:t>
                  </w:r>
                </w:p>
                <w:p w14:paraId="07C9016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699" w:type="pct"/>
                  <w:vAlign w:val="center"/>
                </w:tcPr>
                <w:p w14:paraId="4547EF7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给排水</w:t>
                  </w:r>
                </w:p>
              </w:tc>
              <w:tc>
                <w:tcPr>
                  <w:tcW w:w="2111" w:type="pct"/>
                  <w:vAlign w:val="center"/>
                </w:tcPr>
                <w:p w14:paraId="73BA654B">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山泉水</w:t>
                  </w:r>
                </w:p>
              </w:tc>
              <w:tc>
                <w:tcPr>
                  <w:tcW w:w="596" w:type="pct"/>
                  <w:vMerge w:val="continue"/>
                  <w:vAlign w:val="center"/>
                </w:tcPr>
                <w:p w14:paraId="50CCEFDF">
                  <w:pPr>
                    <w:pStyle w:val="167"/>
                    <w:snapToGrid w:val="0"/>
                    <w:spacing w:line="240" w:lineRule="auto"/>
                    <w:rPr>
                      <w:rFonts w:ascii="Times New Roman" w:hAnsi="Times New Roman" w:eastAsia="宋体" w:cs="Times New Roman"/>
                      <w:szCs w:val="21"/>
                    </w:rPr>
                  </w:pPr>
                </w:p>
              </w:tc>
              <w:tc>
                <w:tcPr>
                  <w:tcW w:w="730" w:type="pct"/>
                  <w:vAlign w:val="center"/>
                </w:tcPr>
                <w:p w14:paraId="611B2124">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389" w:type="pct"/>
                  <w:vMerge w:val="restart"/>
                  <w:tcBorders>
                    <w:top w:val="single" w:color="auto" w:sz="4" w:space="0"/>
                    <w:right w:val="single" w:color="auto" w:sz="12" w:space="0"/>
                  </w:tcBorders>
                  <w:vAlign w:val="center"/>
                </w:tcPr>
                <w:p w14:paraId="68D347D4">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利旧改造</w:t>
                  </w:r>
                </w:p>
              </w:tc>
            </w:tr>
            <w:tr w14:paraId="00D7751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5FFBDC00">
                  <w:pPr>
                    <w:pStyle w:val="167"/>
                    <w:snapToGrid w:val="0"/>
                    <w:spacing w:line="240" w:lineRule="auto"/>
                    <w:rPr>
                      <w:rFonts w:ascii="Times New Roman" w:hAnsi="Times New Roman" w:eastAsia="宋体" w:cs="Times New Roman"/>
                      <w:szCs w:val="21"/>
                    </w:rPr>
                  </w:pPr>
                </w:p>
              </w:tc>
              <w:tc>
                <w:tcPr>
                  <w:tcW w:w="699" w:type="pct"/>
                  <w:vAlign w:val="center"/>
                </w:tcPr>
                <w:p w14:paraId="5C33CF6E">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供电</w:t>
                  </w:r>
                </w:p>
              </w:tc>
              <w:tc>
                <w:tcPr>
                  <w:tcW w:w="2111" w:type="pct"/>
                  <w:vAlign w:val="center"/>
                </w:tcPr>
                <w:p w14:paraId="4AA98A39">
                  <w:pPr>
                    <w:pStyle w:val="167"/>
                    <w:snapToGrid w:val="0"/>
                    <w:rPr>
                      <w:rFonts w:ascii="Times New Roman" w:hAnsi="Times New Roman" w:eastAsia="宋体" w:cs="Times New Roman"/>
                      <w:szCs w:val="21"/>
                    </w:rPr>
                  </w:pPr>
                  <w:r>
                    <w:rPr>
                      <w:rFonts w:ascii="Times New Roman" w:hAnsi="Times New Roman" w:eastAsia="宋体" w:cs="Times New Roman"/>
                      <w:szCs w:val="21"/>
                    </w:rPr>
                    <w:t>市政电网供应</w:t>
                  </w:r>
                </w:p>
              </w:tc>
              <w:tc>
                <w:tcPr>
                  <w:tcW w:w="596" w:type="pct"/>
                  <w:vMerge w:val="continue"/>
                  <w:vAlign w:val="center"/>
                </w:tcPr>
                <w:p w14:paraId="65288FAF">
                  <w:pPr>
                    <w:pStyle w:val="167"/>
                    <w:snapToGrid w:val="0"/>
                    <w:spacing w:line="240" w:lineRule="auto"/>
                    <w:rPr>
                      <w:rFonts w:ascii="Times New Roman" w:hAnsi="Times New Roman" w:eastAsia="宋体" w:cs="Times New Roman"/>
                      <w:szCs w:val="21"/>
                    </w:rPr>
                  </w:pPr>
                </w:p>
              </w:tc>
              <w:tc>
                <w:tcPr>
                  <w:tcW w:w="730" w:type="pct"/>
                  <w:vAlign w:val="center"/>
                </w:tcPr>
                <w:p w14:paraId="601D2AC0">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389" w:type="pct"/>
                  <w:vMerge w:val="continue"/>
                  <w:tcBorders>
                    <w:top w:val="single" w:color="auto" w:sz="4" w:space="0"/>
                    <w:right w:val="single" w:color="auto" w:sz="12" w:space="0"/>
                  </w:tcBorders>
                  <w:vAlign w:val="center"/>
                </w:tcPr>
                <w:p w14:paraId="59FE0375">
                  <w:pPr>
                    <w:pStyle w:val="167"/>
                    <w:snapToGrid w:val="0"/>
                    <w:spacing w:line="240" w:lineRule="auto"/>
                    <w:rPr>
                      <w:rFonts w:ascii="Times New Roman" w:hAnsi="Times New Roman" w:eastAsia="宋体" w:cs="Times New Roman"/>
                      <w:szCs w:val="21"/>
                    </w:rPr>
                  </w:pPr>
                </w:p>
              </w:tc>
            </w:tr>
            <w:tr w14:paraId="6DB2808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4" w:hRule="atLeast"/>
                <w:jc w:val="center"/>
              </w:trPr>
              <w:tc>
                <w:tcPr>
                  <w:tcW w:w="474" w:type="pct"/>
                  <w:vMerge w:val="continue"/>
                  <w:tcBorders>
                    <w:left w:val="single" w:color="auto" w:sz="12" w:space="0"/>
                  </w:tcBorders>
                  <w:vAlign w:val="center"/>
                </w:tcPr>
                <w:p w14:paraId="64B31E03">
                  <w:pPr>
                    <w:pStyle w:val="167"/>
                    <w:snapToGrid w:val="0"/>
                    <w:spacing w:line="240" w:lineRule="auto"/>
                    <w:rPr>
                      <w:rFonts w:ascii="Times New Roman" w:hAnsi="Times New Roman" w:eastAsia="宋体" w:cs="Times New Roman"/>
                      <w:szCs w:val="21"/>
                    </w:rPr>
                  </w:pPr>
                </w:p>
              </w:tc>
              <w:tc>
                <w:tcPr>
                  <w:tcW w:w="699" w:type="pct"/>
                  <w:vAlign w:val="center"/>
                </w:tcPr>
                <w:p w14:paraId="46933733">
                  <w:pPr>
                    <w:pStyle w:val="167"/>
                    <w:snapToGrid w:val="0"/>
                    <w:spacing w:line="240" w:lineRule="auto"/>
                    <w:rPr>
                      <w:rFonts w:ascii="Times New Roman" w:hAnsi="Times New Roman" w:eastAsia="宋体" w:cs="Times New Roman"/>
                    </w:rPr>
                  </w:pPr>
                  <w:r>
                    <w:rPr>
                      <w:rFonts w:ascii="Times New Roman" w:hAnsi="Times New Roman" w:eastAsia="宋体" w:cs="Times New Roman"/>
                      <w:szCs w:val="21"/>
                    </w:rPr>
                    <w:t>消防系统</w:t>
                  </w:r>
                </w:p>
              </w:tc>
              <w:tc>
                <w:tcPr>
                  <w:tcW w:w="2111" w:type="pct"/>
                  <w:vAlign w:val="center"/>
                </w:tcPr>
                <w:p w14:paraId="18B98A3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车间配备灭火器</w:t>
                  </w:r>
                  <w:r>
                    <w:rPr>
                      <w:rFonts w:hint="eastAsia" w:ascii="Times New Roman" w:hAnsi="Times New Roman" w:eastAsia="宋体" w:cs="Times New Roman"/>
                      <w:szCs w:val="21"/>
                    </w:rPr>
                    <w:t>等消防设施</w:t>
                  </w:r>
                  <w:r>
                    <w:rPr>
                      <w:rFonts w:ascii="Times New Roman" w:hAnsi="Times New Roman" w:eastAsia="宋体" w:cs="Times New Roman"/>
                      <w:szCs w:val="21"/>
                    </w:rPr>
                    <w:t>。</w:t>
                  </w:r>
                </w:p>
              </w:tc>
              <w:tc>
                <w:tcPr>
                  <w:tcW w:w="596" w:type="pct"/>
                  <w:vMerge w:val="continue"/>
                  <w:vAlign w:val="center"/>
                </w:tcPr>
                <w:p w14:paraId="20F89FB9">
                  <w:pPr>
                    <w:pStyle w:val="167"/>
                    <w:snapToGrid w:val="0"/>
                    <w:spacing w:line="240" w:lineRule="auto"/>
                    <w:rPr>
                      <w:rFonts w:ascii="Times New Roman" w:hAnsi="Times New Roman" w:eastAsia="宋体" w:cs="Times New Roman"/>
                      <w:szCs w:val="21"/>
                    </w:rPr>
                  </w:pPr>
                </w:p>
              </w:tc>
              <w:tc>
                <w:tcPr>
                  <w:tcW w:w="730" w:type="pct"/>
                  <w:vAlign w:val="center"/>
                </w:tcPr>
                <w:p w14:paraId="7D144F13">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389" w:type="pct"/>
                  <w:tcBorders>
                    <w:right w:val="single" w:color="auto" w:sz="12" w:space="0"/>
                  </w:tcBorders>
                  <w:vAlign w:val="center"/>
                </w:tcPr>
                <w:p w14:paraId="0F2A8810">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0681947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73FA06D8">
                  <w:pPr>
                    <w:pStyle w:val="167"/>
                    <w:snapToGrid w:val="0"/>
                    <w:spacing w:line="240" w:lineRule="auto"/>
                    <w:rPr>
                      <w:rFonts w:ascii="Times New Roman" w:hAnsi="Times New Roman" w:eastAsia="宋体" w:cs="Times New Roman"/>
                      <w:szCs w:val="21"/>
                    </w:rPr>
                  </w:pPr>
                </w:p>
              </w:tc>
              <w:tc>
                <w:tcPr>
                  <w:tcW w:w="699" w:type="pct"/>
                  <w:vAlign w:val="center"/>
                </w:tcPr>
                <w:p w14:paraId="59E58F11">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机修车间</w:t>
                  </w:r>
                </w:p>
              </w:tc>
              <w:tc>
                <w:tcPr>
                  <w:tcW w:w="2111" w:type="pct"/>
                  <w:vAlign w:val="center"/>
                </w:tcPr>
                <w:p w14:paraId="56AE7017">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框架和钢体房顶及外墙结构，占地面积约</w:t>
                  </w:r>
                  <w:r>
                    <w:rPr>
                      <w:rFonts w:ascii="Times New Roman" w:hAnsi="Times New Roman" w:eastAsia="宋体" w:cs="Times New Roman"/>
                      <w:szCs w:val="21"/>
                    </w:rPr>
                    <w:t>60.225m</w:t>
                  </w:r>
                  <w:r>
                    <w:rPr>
                      <w:rFonts w:ascii="Times New Roman" w:hAnsi="Times New Roman" w:eastAsia="宋体" w:cs="Times New Roman"/>
                      <w:szCs w:val="21"/>
                      <w:vertAlign w:val="superscript"/>
                    </w:rPr>
                    <w:t>2</w:t>
                  </w:r>
                  <w:r>
                    <w:rPr>
                      <w:rFonts w:ascii="Times New Roman" w:hAnsi="Times New Roman" w:eastAsia="宋体" w:cs="Times New Roman"/>
                      <w:szCs w:val="21"/>
                    </w:rPr>
                    <w:t>，1F</w:t>
                  </w:r>
                  <w:r>
                    <w:rPr>
                      <w:rFonts w:hint="eastAsia" w:ascii="Times New Roman" w:hAnsi="Times New Roman" w:eastAsia="宋体" w:cs="Times New Roman"/>
                      <w:szCs w:val="21"/>
                    </w:rPr>
                    <w:t>。用于维护生产设备的良好运行。</w:t>
                  </w:r>
                </w:p>
              </w:tc>
              <w:tc>
                <w:tcPr>
                  <w:tcW w:w="596" w:type="pct"/>
                  <w:vMerge w:val="continue"/>
                  <w:vAlign w:val="center"/>
                </w:tcPr>
                <w:p w14:paraId="7D0F184A">
                  <w:pPr>
                    <w:pStyle w:val="167"/>
                    <w:snapToGrid w:val="0"/>
                    <w:spacing w:line="240" w:lineRule="auto"/>
                    <w:rPr>
                      <w:rFonts w:ascii="Times New Roman" w:hAnsi="Times New Roman" w:eastAsia="宋体" w:cs="Times New Roman"/>
                      <w:szCs w:val="21"/>
                    </w:rPr>
                  </w:pPr>
                </w:p>
              </w:tc>
              <w:tc>
                <w:tcPr>
                  <w:tcW w:w="730" w:type="pct"/>
                  <w:vAlign w:val="center"/>
                </w:tcPr>
                <w:p w14:paraId="4723CB57">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危废、固废</w:t>
                  </w:r>
                </w:p>
              </w:tc>
              <w:tc>
                <w:tcPr>
                  <w:tcW w:w="389" w:type="pct"/>
                  <w:tcBorders>
                    <w:right w:val="single" w:color="auto" w:sz="12" w:space="0"/>
                  </w:tcBorders>
                  <w:vAlign w:val="center"/>
                </w:tcPr>
                <w:p w14:paraId="433C9735">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6170787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restart"/>
                  <w:tcBorders>
                    <w:left w:val="single" w:color="auto" w:sz="12" w:space="0"/>
                  </w:tcBorders>
                  <w:vAlign w:val="center"/>
                </w:tcPr>
                <w:p w14:paraId="342A36C9">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办公生活设施</w:t>
                  </w:r>
                </w:p>
              </w:tc>
              <w:tc>
                <w:tcPr>
                  <w:tcW w:w="699" w:type="pct"/>
                  <w:vAlign w:val="center"/>
                </w:tcPr>
                <w:p w14:paraId="52847969">
                  <w:pPr>
                    <w:pStyle w:val="167"/>
                    <w:snapToGrid w:val="0"/>
                    <w:spacing w:line="240" w:lineRule="auto"/>
                    <w:rPr>
                      <w:rFonts w:ascii="Times New Roman" w:hAnsi="Times New Roman" w:eastAsia="宋体" w:cs="Times New Roman"/>
                    </w:rPr>
                  </w:pPr>
                  <w:r>
                    <w:rPr>
                      <w:rFonts w:hint="eastAsia" w:ascii="Times New Roman" w:hAnsi="Times New Roman" w:eastAsia="宋体" w:cs="Times New Roman"/>
                    </w:rPr>
                    <w:t>综合楼</w:t>
                  </w:r>
                </w:p>
              </w:tc>
              <w:tc>
                <w:tcPr>
                  <w:tcW w:w="2111" w:type="pct"/>
                  <w:vAlign w:val="center"/>
                </w:tcPr>
                <w:p w14:paraId="3F329A6B">
                  <w:pPr>
                    <w:pStyle w:val="167"/>
                    <w:snapToGrid w:val="0"/>
                    <w:spacing w:line="240" w:lineRule="auto"/>
                    <w:jc w:val="left"/>
                    <w:rPr>
                      <w:rFonts w:ascii="Times New Roman" w:hAnsi="Times New Roman" w:eastAsia="宋体" w:cs="Times New Roman"/>
                      <w:szCs w:val="21"/>
                    </w:rPr>
                  </w:pPr>
                  <w:r>
                    <w:rPr>
                      <w:rFonts w:ascii="Times New Roman" w:hAnsi="Times New Roman" w:eastAsia="宋体" w:cs="Times New Roman"/>
                      <w:szCs w:val="21"/>
                    </w:rPr>
                    <w:t>位于厂区</w:t>
                  </w:r>
                  <w:r>
                    <w:rPr>
                      <w:rFonts w:hint="eastAsia" w:ascii="Times New Roman" w:hAnsi="Times New Roman" w:eastAsia="宋体" w:cs="Times New Roman"/>
                      <w:szCs w:val="21"/>
                    </w:rPr>
                    <w:t>北</w:t>
                  </w:r>
                  <w:r>
                    <w:rPr>
                      <w:rFonts w:ascii="Times New Roman" w:hAnsi="Times New Roman" w:eastAsia="宋体" w:cs="Times New Roman"/>
                      <w:szCs w:val="21"/>
                    </w:rPr>
                    <w:t>侧，砖混结构，</w:t>
                  </w:r>
                  <w:r>
                    <w:rPr>
                      <w:rFonts w:hint="eastAsia" w:ascii="Times New Roman" w:hAnsi="Times New Roman" w:eastAsia="宋体" w:cs="Times New Roman"/>
                      <w:szCs w:val="21"/>
                    </w:rPr>
                    <w:t>3</w:t>
                  </w:r>
                  <w:r>
                    <w:rPr>
                      <w:rFonts w:ascii="Times New Roman" w:hAnsi="Times New Roman" w:eastAsia="宋体" w:cs="Times New Roman"/>
                      <w:szCs w:val="21"/>
                    </w:rPr>
                    <w:t>F</w:t>
                  </w:r>
                  <w:r>
                    <w:rPr>
                      <w:rFonts w:hint="eastAsia" w:ascii="Times New Roman" w:hAnsi="Times New Roman" w:eastAsia="宋体" w:cs="Times New Roman"/>
                      <w:szCs w:val="21"/>
                    </w:rPr>
                    <w:t>，</w:t>
                  </w:r>
                  <w:r>
                    <w:rPr>
                      <w:rFonts w:ascii="Times New Roman" w:hAnsi="Times New Roman" w:eastAsia="宋体" w:cs="Times New Roman"/>
                      <w:szCs w:val="21"/>
                    </w:rPr>
                    <w:t>占地面积约260m</w:t>
                  </w:r>
                  <w:r>
                    <w:rPr>
                      <w:rFonts w:ascii="Times New Roman" w:hAnsi="Times New Roman" w:eastAsia="宋体" w:cs="Times New Roman"/>
                      <w:szCs w:val="21"/>
                      <w:vertAlign w:val="superscript"/>
                    </w:rPr>
                    <w:t>2</w:t>
                  </w:r>
                  <w:r>
                    <w:rPr>
                      <w:rFonts w:ascii="Times New Roman" w:hAnsi="Times New Roman" w:eastAsia="宋体" w:cs="Times New Roman"/>
                      <w:szCs w:val="21"/>
                    </w:rPr>
                    <w:t>。</w:t>
                  </w:r>
                  <w:r>
                    <w:rPr>
                      <w:rFonts w:hint="eastAsia" w:ascii="Times New Roman" w:hAnsi="Times New Roman" w:eastAsia="宋体" w:cs="Times New Roman"/>
                      <w:szCs w:val="21"/>
                    </w:rPr>
                    <w:t>设置电气控制室、操作室、分析室、办公室，以及用于休息的场所。</w:t>
                  </w:r>
                </w:p>
              </w:tc>
              <w:tc>
                <w:tcPr>
                  <w:tcW w:w="596" w:type="pct"/>
                  <w:vMerge w:val="continue"/>
                  <w:vAlign w:val="center"/>
                </w:tcPr>
                <w:p w14:paraId="135ADC95">
                  <w:pPr>
                    <w:pStyle w:val="167"/>
                    <w:snapToGrid w:val="0"/>
                    <w:spacing w:line="240" w:lineRule="auto"/>
                    <w:rPr>
                      <w:rFonts w:ascii="Times New Roman" w:hAnsi="Times New Roman" w:eastAsia="宋体" w:cs="Times New Roman"/>
                      <w:szCs w:val="21"/>
                    </w:rPr>
                  </w:pPr>
                </w:p>
              </w:tc>
              <w:tc>
                <w:tcPr>
                  <w:tcW w:w="730" w:type="pct"/>
                  <w:vAlign w:val="center"/>
                </w:tcPr>
                <w:p w14:paraId="1FCCEE3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生活垃圾、生活废水</w:t>
                  </w:r>
                </w:p>
              </w:tc>
              <w:tc>
                <w:tcPr>
                  <w:tcW w:w="389" w:type="pct"/>
                  <w:tcBorders>
                    <w:right w:val="single" w:color="auto" w:sz="12" w:space="0"/>
                  </w:tcBorders>
                  <w:vAlign w:val="center"/>
                </w:tcPr>
                <w:p w14:paraId="13DB5C4B">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05856D8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32C98708">
                  <w:pPr>
                    <w:pStyle w:val="167"/>
                    <w:snapToGrid w:val="0"/>
                    <w:spacing w:line="240" w:lineRule="auto"/>
                    <w:rPr>
                      <w:rFonts w:ascii="Times New Roman" w:hAnsi="Times New Roman" w:eastAsia="宋体" w:cs="Times New Roman"/>
                      <w:szCs w:val="21"/>
                    </w:rPr>
                  </w:pPr>
                </w:p>
              </w:tc>
              <w:tc>
                <w:tcPr>
                  <w:tcW w:w="699" w:type="pct"/>
                  <w:vAlign w:val="center"/>
                </w:tcPr>
                <w:p w14:paraId="784DFAAC">
                  <w:pPr>
                    <w:pStyle w:val="167"/>
                    <w:snapToGrid w:val="0"/>
                    <w:spacing w:line="240" w:lineRule="auto"/>
                    <w:rPr>
                      <w:rFonts w:ascii="Times New Roman" w:hAnsi="Times New Roman" w:eastAsia="宋体" w:cs="Times New Roman"/>
                    </w:rPr>
                  </w:pPr>
                  <w:r>
                    <w:rPr>
                      <w:rFonts w:hint="eastAsia" w:ascii="Times New Roman" w:hAnsi="Times New Roman" w:eastAsia="宋体" w:cs="Times New Roman"/>
                    </w:rPr>
                    <w:t>值班住宿</w:t>
                  </w:r>
                </w:p>
              </w:tc>
              <w:tc>
                <w:tcPr>
                  <w:tcW w:w="2111" w:type="pct"/>
                  <w:vAlign w:val="center"/>
                </w:tcPr>
                <w:p w14:paraId="62967E3C">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rPr>
                    <w:t>依托原黄磷厂宿舍，主要用于员工休息。</w:t>
                  </w:r>
                </w:p>
              </w:tc>
              <w:tc>
                <w:tcPr>
                  <w:tcW w:w="596" w:type="pct"/>
                  <w:vMerge w:val="continue"/>
                  <w:vAlign w:val="center"/>
                </w:tcPr>
                <w:p w14:paraId="4275B769">
                  <w:pPr>
                    <w:pStyle w:val="167"/>
                    <w:snapToGrid w:val="0"/>
                    <w:spacing w:line="240" w:lineRule="auto"/>
                    <w:rPr>
                      <w:rFonts w:ascii="Times New Roman" w:hAnsi="Times New Roman" w:eastAsia="宋体" w:cs="Times New Roman"/>
                      <w:szCs w:val="21"/>
                    </w:rPr>
                  </w:pPr>
                </w:p>
              </w:tc>
              <w:tc>
                <w:tcPr>
                  <w:tcW w:w="730" w:type="pct"/>
                  <w:vAlign w:val="center"/>
                </w:tcPr>
                <w:p w14:paraId="390A1B6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生活垃圾、生活废水</w:t>
                  </w:r>
                </w:p>
              </w:tc>
              <w:tc>
                <w:tcPr>
                  <w:tcW w:w="389" w:type="pct"/>
                  <w:tcBorders>
                    <w:right w:val="single" w:color="auto" w:sz="12" w:space="0"/>
                  </w:tcBorders>
                  <w:vAlign w:val="center"/>
                </w:tcPr>
                <w:p w14:paraId="53C9F33E">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依托利旧</w:t>
                  </w:r>
                </w:p>
              </w:tc>
            </w:tr>
            <w:tr w14:paraId="63314FF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86" w:hRule="atLeast"/>
                <w:jc w:val="center"/>
              </w:trPr>
              <w:tc>
                <w:tcPr>
                  <w:tcW w:w="474" w:type="pct"/>
                  <w:vMerge w:val="restart"/>
                  <w:tcBorders>
                    <w:left w:val="single" w:color="auto" w:sz="12" w:space="0"/>
                  </w:tcBorders>
                  <w:vAlign w:val="center"/>
                </w:tcPr>
                <w:p w14:paraId="6AC7FCB4">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环保</w:t>
                  </w:r>
                </w:p>
                <w:p w14:paraId="153680B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699" w:type="pct"/>
                  <w:vAlign w:val="center"/>
                </w:tcPr>
                <w:p w14:paraId="66F51272">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废水</w:t>
                  </w:r>
                </w:p>
              </w:tc>
              <w:tc>
                <w:tcPr>
                  <w:tcW w:w="2111" w:type="pct"/>
                  <w:vAlign w:val="center"/>
                </w:tcPr>
                <w:p w14:paraId="62D18610">
                  <w:pPr>
                    <w:pStyle w:val="167"/>
                    <w:snapToGrid w:val="0"/>
                    <w:spacing w:line="240" w:lineRule="auto"/>
                    <w:jc w:val="both"/>
                    <w:rPr>
                      <w:rFonts w:ascii="Times New Roman" w:hAnsi="Times New Roman" w:eastAsia="宋体" w:cs="Times New Roman"/>
                      <w:szCs w:val="21"/>
                    </w:rPr>
                  </w:pPr>
                  <w:r>
                    <w:rPr>
                      <w:rFonts w:hint="eastAsia" w:ascii="Times New Roman" w:hAnsi="Times New Roman" w:eastAsia="宋体" w:cs="Times New Roman"/>
                      <w:szCs w:val="21"/>
                    </w:rPr>
                    <w:t>新建二级生化池一座，项目生活污水经二级生化池处理后回用农肥处理，待规划园区污水处理厂建成后接入园区管网</w:t>
                  </w:r>
                  <w:r>
                    <w:rPr>
                      <w:rFonts w:ascii="Times New Roman" w:hAnsi="Times New Roman" w:eastAsia="宋体" w:cs="Times New Roman"/>
                      <w:szCs w:val="21"/>
                    </w:rPr>
                    <w:t>；</w:t>
                  </w:r>
                </w:p>
              </w:tc>
              <w:tc>
                <w:tcPr>
                  <w:tcW w:w="596" w:type="pct"/>
                  <w:vMerge w:val="continue"/>
                  <w:vAlign w:val="center"/>
                </w:tcPr>
                <w:p w14:paraId="1B110E2C">
                  <w:pPr>
                    <w:pStyle w:val="167"/>
                    <w:snapToGrid w:val="0"/>
                    <w:spacing w:line="240" w:lineRule="auto"/>
                    <w:rPr>
                      <w:rFonts w:ascii="Times New Roman" w:hAnsi="Times New Roman" w:eastAsia="宋体" w:cs="Times New Roman"/>
                      <w:szCs w:val="21"/>
                    </w:rPr>
                  </w:pPr>
                </w:p>
              </w:tc>
              <w:tc>
                <w:tcPr>
                  <w:tcW w:w="730" w:type="pct"/>
                  <w:vAlign w:val="center"/>
                </w:tcPr>
                <w:p w14:paraId="7859793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废水、污泥、恶臭</w:t>
                  </w:r>
                </w:p>
              </w:tc>
              <w:tc>
                <w:tcPr>
                  <w:tcW w:w="389" w:type="pct"/>
                  <w:tcBorders>
                    <w:right w:val="single" w:color="auto" w:sz="12" w:space="0"/>
                  </w:tcBorders>
                  <w:vAlign w:val="center"/>
                </w:tcPr>
                <w:p w14:paraId="1B8BF48C">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4E5C027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75D4830D">
                  <w:pPr>
                    <w:pStyle w:val="167"/>
                    <w:snapToGrid w:val="0"/>
                    <w:spacing w:line="240" w:lineRule="auto"/>
                    <w:rPr>
                      <w:rFonts w:ascii="Times New Roman" w:hAnsi="Times New Roman" w:eastAsia="宋体" w:cs="Times New Roman"/>
                      <w:szCs w:val="21"/>
                    </w:rPr>
                  </w:pPr>
                </w:p>
              </w:tc>
              <w:tc>
                <w:tcPr>
                  <w:tcW w:w="699" w:type="pct"/>
                  <w:vAlign w:val="center"/>
                </w:tcPr>
                <w:p w14:paraId="74B473E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废气</w:t>
                  </w:r>
                </w:p>
              </w:tc>
              <w:tc>
                <w:tcPr>
                  <w:tcW w:w="2111" w:type="pct"/>
                  <w:vAlign w:val="center"/>
                </w:tcPr>
                <w:p w14:paraId="49CF00DE">
                  <w:pPr>
                    <w:widowControl/>
                    <w:rPr>
                      <w:rFonts w:ascii="Times New Roman" w:hAnsi="Times New Roman" w:eastAsia="宋体" w:cs="Times New Roman"/>
                      <w:kern w:val="0"/>
                      <w:szCs w:val="21"/>
                    </w:rPr>
                  </w:pPr>
                  <w:r>
                    <w:rPr>
                      <w:rFonts w:hint="eastAsia" w:ascii="Times New Roman" w:hAnsi="Times New Roman" w:eastAsia="宋体" w:cs="Times New Roman"/>
                      <w:kern w:val="0"/>
                      <w:szCs w:val="21"/>
                    </w:rPr>
                    <w:t>硅粉生产粉尘由集气罩收集后经脉冲布袋除尘器处理后通过1</w:t>
                  </w:r>
                  <w:r>
                    <w:rPr>
                      <w:rFonts w:ascii="Times New Roman" w:hAnsi="Times New Roman" w:eastAsia="宋体" w:cs="Times New Roman"/>
                      <w:kern w:val="0"/>
                      <w:szCs w:val="21"/>
                    </w:rPr>
                    <w:t>5</w:t>
                  </w:r>
                  <w:r>
                    <w:rPr>
                      <w:rFonts w:hint="eastAsia" w:ascii="Times New Roman" w:hAnsi="Times New Roman" w:eastAsia="宋体" w:cs="Times New Roman"/>
                      <w:kern w:val="0"/>
                      <w:szCs w:val="21"/>
                    </w:rPr>
                    <w:t>m高空排气筒排放；车间密闭；主要道路硬化</w:t>
                  </w:r>
                </w:p>
              </w:tc>
              <w:tc>
                <w:tcPr>
                  <w:tcW w:w="596" w:type="pct"/>
                  <w:vMerge w:val="continue"/>
                  <w:vAlign w:val="center"/>
                </w:tcPr>
                <w:p w14:paraId="2561150C">
                  <w:pPr>
                    <w:pStyle w:val="167"/>
                    <w:snapToGrid w:val="0"/>
                    <w:spacing w:line="240" w:lineRule="auto"/>
                    <w:rPr>
                      <w:rFonts w:ascii="Times New Roman" w:hAnsi="Times New Roman" w:eastAsia="宋体" w:cs="Times New Roman"/>
                      <w:szCs w:val="21"/>
                    </w:rPr>
                  </w:pPr>
                </w:p>
              </w:tc>
              <w:tc>
                <w:tcPr>
                  <w:tcW w:w="730" w:type="pct"/>
                  <w:vAlign w:val="center"/>
                </w:tcPr>
                <w:p w14:paraId="18714361">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废气</w:t>
                  </w:r>
                </w:p>
              </w:tc>
              <w:tc>
                <w:tcPr>
                  <w:tcW w:w="389" w:type="pct"/>
                  <w:tcBorders>
                    <w:right w:val="single" w:color="auto" w:sz="12" w:space="0"/>
                  </w:tcBorders>
                  <w:vAlign w:val="center"/>
                </w:tcPr>
                <w:p w14:paraId="4C32A7C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2F04A36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tcBorders>
                  <w:vAlign w:val="center"/>
                </w:tcPr>
                <w:p w14:paraId="3AD87D41">
                  <w:pPr>
                    <w:pStyle w:val="167"/>
                    <w:snapToGrid w:val="0"/>
                    <w:spacing w:line="240" w:lineRule="auto"/>
                    <w:rPr>
                      <w:rFonts w:ascii="Times New Roman" w:hAnsi="Times New Roman" w:eastAsia="宋体" w:cs="Times New Roman"/>
                      <w:szCs w:val="21"/>
                    </w:rPr>
                  </w:pPr>
                </w:p>
              </w:tc>
              <w:tc>
                <w:tcPr>
                  <w:tcW w:w="699" w:type="pct"/>
                  <w:vAlign w:val="center"/>
                </w:tcPr>
                <w:p w14:paraId="1E4A0C8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固废</w:t>
                  </w:r>
                </w:p>
              </w:tc>
              <w:tc>
                <w:tcPr>
                  <w:tcW w:w="2111" w:type="pct"/>
                  <w:vAlign w:val="center"/>
                </w:tcPr>
                <w:p w14:paraId="19CEFEFE">
                  <w:pPr>
                    <w:widowControl/>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rPr>
                    <w:t>一般工业固废：</w:t>
                  </w:r>
                  <w:r>
                    <w:rPr>
                      <w:rFonts w:hint="eastAsia" w:ascii="Times New Roman" w:hAnsi="Times New Roman" w:eastAsia="宋体" w:cs="Times New Roman"/>
                      <w:kern w:val="0"/>
                      <w:szCs w:val="21"/>
                    </w:rPr>
                    <w:t>铁质杂质，作为副产品外售；粉尘，作为副产品外售</w:t>
                  </w:r>
                  <w:r>
                    <w:rPr>
                      <w:rFonts w:ascii="Times New Roman" w:hAnsi="Times New Roman" w:eastAsia="宋体" w:cs="Times New Roman"/>
                      <w:kern w:val="0"/>
                      <w:szCs w:val="21"/>
                    </w:rPr>
                    <w:t>。</w:t>
                  </w:r>
                </w:p>
                <w:p w14:paraId="3519245A">
                  <w:pPr>
                    <w:widowControl/>
                    <w:rPr>
                      <w:rFonts w:ascii="Times New Roman" w:hAnsi="Times New Roman" w:eastAsia="宋体" w:cs="Times New Roman"/>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rPr>
                    <w:t>生活垃圾：设置垃圾桶，集中收集后</w:t>
                  </w:r>
                  <w:r>
                    <w:rPr>
                      <w:rFonts w:hint="eastAsia" w:ascii="Times New Roman" w:hAnsi="Times New Roman" w:eastAsia="宋体" w:cs="Times New Roman"/>
                      <w:kern w:val="0"/>
                      <w:szCs w:val="21"/>
                    </w:rPr>
                    <w:t>清运至垃圾收集点，</w:t>
                  </w:r>
                  <w:r>
                    <w:rPr>
                      <w:rFonts w:ascii="Times New Roman" w:hAnsi="Times New Roman" w:eastAsia="宋体" w:cs="Times New Roman"/>
                      <w:kern w:val="0"/>
                      <w:szCs w:val="21"/>
                    </w:rPr>
                    <w:t>由环卫清运</w:t>
                  </w:r>
                  <w:r>
                    <w:rPr>
                      <w:rFonts w:hint="eastAsia" w:ascii="Times New Roman" w:hAnsi="Times New Roman" w:eastAsia="宋体" w:cs="Times New Roman"/>
                      <w:kern w:val="0"/>
                      <w:szCs w:val="21"/>
                    </w:rPr>
                    <w:t>处理</w:t>
                  </w:r>
                  <w:r>
                    <w:rPr>
                      <w:rFonts w:ascii="Times New Roman" w:hAnsi="Times New Roman" w:eastAsia="宋体" w:cs="Times New Roman"/>
                      <w:kern w:val="0"/>
                      <w:szCs w:val="21"/>
                    </w:rPr>
                    <w:t>。</w:t>
                  </w:r>
                </w:p>
                <w:p w14:paraId="20944E83">
                  <w:pPr>
                    <w:widowControl/>
                    <w:rPr>
                      <w:rFonts w:ascii="Times New Roman" w:hAnsi="Times New Roman" w:eastAsia="宋体" w:cs="Times New Roman"/>
                      <w:b/>
                      <w:kern w:val="0"/>
                      <w:szCs w:val="21"/>
                    </w:rPr>
                  </w:pPr>
                  <w:r>
                    <w:rPr>
                      <w:rFonts w:hint="eastAsia" w:ascii="Times New Roman" w:hAnsi="Times New Roman" w:eastAsia="宋体" w:cs="Times New Roman"/>
                      <w:kern w:val="0"/>
                      <w:szCs w:val="21"/>
                    </w:rPr>
                    <w:t>③危废：设备检修产生废机油，收集贮存于危废暂存间，定期交由有资质单位处理</w:t>
                  </w:r>
                </w:p>
              </w:tc>
              <w:tc>
                <w:tcPr>
                  <w:tcW w:w="596" w:type="pct"/>
                  <w:vMerge w:val="continue"/>
                  <w:vAlign w:val="center"/>
                </w:tcPr>
                <w:p w14:paraId="7494CBCE">
                  <w:pPr>
                    <w:pStyle w:val="167"/>
                    <w:snapToGrid w:val="0"/>
                    <w:spacing w:line="240" w:lineRule="auto"/>
                    <w:rPr>
                      <w:rFonts w:ascii="Times New Roman" w:hAnsi="Times New Roman" w:eastAsia="宋体" w:cs="Times New Roman"/>
                      <w:szCs w:val="21"/>
                    </w:rPr>
                  </w:pPr>
                </w:p>
              </w:tc>
              <w:tc>
                <w:tcPr>
                  <w:tcW w:w="730" w:type="pct"/>
                  <w:vAlign w:val="center"/>
                </w:tcPr>
                <w:p w14:paraId="0B5BA45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固废</w:t>
                  </w:r>
                  <w:r>
                    <w:rPr>
                      <w:rFonts w:hint="eastAsia" w:ascii="Times New Roman" w:hAnsi="Times New Roman" w:eastAsia="宋体" w:cs="Times New Roman"/>
                      <w:szCs w:val="21"/>
                    </w:rPr>
                    <w:t>、危废</w:t>
                  </w:r>
                </w:p>
              </w:tc>
              <w:tc>
                <w:tcPr>
                  <w:tcW w:w="389" w:type="pct"/>
                  <w:tcBorders>
                    <w:right w:val="single" w:color="auto" w:sz="12" w:space="0"/>
                  </w:tcBorders>
                  <w:vAlign w:val="center"/>
                </w:tcPr>
                <w:p w14:paraId="55BC2C84">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081D4D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Merge w:val="continue"/>
                  <w:tcBorders>
                    <w:left w:val="single" w:color="auto" w:sz="12" w:space="0"/>
                    <w:bottom w:val="single" w:color="auto" w:sz="12" w:space="0"/>
                  </w:tcBorders>
                  <w:vAlign w:val="center"/>
                </w:tcPr>
                <w:p w14:paraId="5FFDDCB8">
                  <w:pPr>
                    <w:pStyle w:val="167"/>
                    <w:snapToGrid w:val="0"/>
                    <w:spacing w:line="240" w:lineRule="auto"/>
                    <w:rPr>
                      <w:rFonts w:ascii="Times New Roman" w:hAnsi="Times New Roman" w:eastAsia="宋体" w:cs="Times New Roman"/>
                      <w:szCs w:val="21"/>
                    </w:rPr>
                  </w:pPr>
                </w:p>
              </w:tc>
              <w:tc>
                <w:tcPr>
                  <w:tcW w:w="699" w:type="pct"/>
                  <w:tcBorders>
                    <w:bottom w:val="single" w:color="auto" w:sz="12" w:space="0"/>
                  </w:tcBorders>
                  <w:vAlign w:val="center"/>
                </w:tcPr>
                <w:p w14:paraId="29095610">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w:t>
                  </w:r>
                </w:p>
              </w:tc>
              <w:tc>
                <w:tcPr>
                  <w:tcW w:w="2111" w:type="pct"/>
                  <w:tcBorders>
                    <w:bottom w:val="single" w:color="auto" w:sz="12" w:space="0"/>
                  </w:tcBorders>
                  <w:vAlign w:val="center"/>
                </w:tcPr>
                <w:p w14:paraId="663767C5">
                  <w:pPr>
                    <w:pStyle w:val="167"/>
                    <w:snapToGrid w:val="0"/>
                    <w:spacing w:line="240" w:lineRule="auto"/>
                    <w:jc w:val="left"/>
                    <w:rPr>
                      <w:rFonts w:ascii="Times New Roman" w:hAnsi="Times New Roman" w:eastAsia="宋体" w:cs="Times New Roman"/>
                      <w:szCs w:val="21"/>
                    </w:rPr>
                  </w:pPr>
                  <w:r>
                    <w:rPr>
                      <w:rFonts w:ascii="Times New Roman" w:hAnsi="Times New Roman" w:eastAsia="宋体" w:cs="Times New Roman"/>
                      <w:szCs w:val="21"/>
                    </w:rPr>
                    <w:t>设备噪声，采取基础减震和</w:t>
                  </w:r>
                  <w:r>
                    <w:rPr>
                      <w:rFonts w:hint="eastAsia" w:ascii="Times New Roman" w:hAnsi="Times New Roman" w:eastAsia="宋体" w:cs="Times New Roman"/>
                      <w:szCs w:val="21"/>
                    </w:rPr>
                    <w:t>隔音材料</w:t>
                  </w:r>
                  <w:r>
                    <w:rPr>
                      <w:rFonts w:ascii="Times New Roman" w:hAnsi="Times New Roman" w:eastAsia="宋体" w:cs="Times New Roman"/>
                      <w:szCs w:val="21"/>
                    </w:rPr>
                    <w:t>厂房隔声和柔性连接等措施。</w:t>
                  </w:r>
                </w:p>
              </w:tc>
              <w:tc>
                <w:tcPr>
                  <w:tcW w:w="596" w:type="pct"/>
                  <w:vMerge w:val="continue"/>
                  <w:tcBorders>
                    <w:bottom w:val="single" w:color="auto" w:sz="12" w:space="0"/>
                  </w:tcBorders>
                  <w:vAlign w:val="center"/>
                </w:tcPr>
                <w:p w14:paraId="7694E71A">
                  <w:pPr>
                    <w:pStyle w:val="167"/>
                    <w:snapToGrid w:val="0"/>
                    <w:spacing w:line="240" w:lineRule="auto"/>
                    <w:rPr>
                      <w:rFonts w:ascii="Times New Roman" w:hAnsi="Times New Roman" w:eastAsia="宋体" w:cs="Times New Roman"/>
                      <w:szCs w:val="21"/>
                    </w:rPr>
                  </w:pPr>
                </w:p>
              </w:tc>
              <w:tc>
                <w:tcPr>
                  <w:tcW w:w="730" w:type="pct"/>
                  <w:tcBorders>
                    <w:bottom w:val="single" w:color="auto" w:sz="12" w:space="0"/>
                  </w:tcBorders>
                  <w:vAlign w:val="center"/>
                </w:tcPr>
                <w:p w14:paraId="4972B7EC">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w:t>
                  </w:r>
                </w:p>
              </w:tc>
              <w:tc>
                <w:tcPr>
                  <w:tcW w:w="389" w:type="pct"/>
                  <w:tcBorders>
                    <w:bottom w:val="single" w:color="auto" w:sz="12" w:space="0"/>
                    <w:right w:val="single" w:color="auto" w:sz="12" w:space="0"/>
                  </w:tcBorders>
                  <w:vAlign w:val="center"/>
                </w:tcPr>
                <w:p w14:paraId="5106ACB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bl>
          <w:p w14:paraId="525DBD40">
            <w:pPr>
              <w:spacing w:line="480" w:lineRule="exact"/>
              <w:ind w:firstLine="470" w:firstLineChars="196"/>
              <w:rPr>
                <w:rFonts w:ascii="Times New Roman" w:hAnsi="Times New Roman" w:eastAsia="宋体" w:cs="Times New Roman"/>
                <w:sz w:val="24"/>
                <w:szCs w:val="24"/>
              </w:rPr>
            </w:pPr>
            <w:r>
              <w:rPr>
                <w:rFonts w:hint="eastAsia" w:ascii="Times New Roman" w:hAnsi="Times New Roman" w:eastAsia="宋体" w:cs="Times New Roman"/>
                <w:sz w:val="24"/>
                <w:szCs w:val="24"/>
              </w:rPr>
              <w:t>本项目为改建工程，主要基础建设依托公司原黄磷厂场地进行建设，其部分公用工程及办公设施等依托原有，项目依托工程一览表详见表1-</w:t>
            </w:r>
            <w:r>
              <w:rPr>
                <w:rFonts w:ascii="Times New Roman" w:hAnsi="Times New Roman" w:eastAsia="宋体" w:cs="Times New Roman"/>
                <w:sz w:val="24"/>
                <w:szCs w:val="24"/>
              </w:rPr>
              <w:t>4</w:t>
            </w:r>
            <w:r>
              <w:rPr>
                <w:rFonts w:hint="eastAsia" w:ascii="Times New Roman" w:hAnsi="Times New Roman" w:eastAsia="宋体" w:cs="Times New Roman"/>
                <w:sz w:val="24"/>
                <w:szCs w:val="24"/>
              </w:rPr>
              <w:t>。</w:t>
            </w:r>
          </w:p>
          <w:p w14:paraId="18B77401">
            <w:pPr>
              <w:spacing w:line="480" w:lineRule="exact"/>
              <w:ind w:firstLine="470" w:firstLineChars="196"/>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表1-</w:t>
            </w:r>
            <w:r>
              <w:rPr>
                <w:rFonts w:ascii="Times New Roman" w:hAnsi="Times New Roman" w:eastAsia="宋体" w:cs="Times New Roman"/>
                <w:sz w:val="24"/>
                <w:szCs w:val="24"/>
              </w:rPr>
              <w:t>4</w:t>
            </w:r>
            <w:r>
              <w:rPr>
                <w:rFonts w:hint="eastAsia" w:ascii="Times New Roman" w:hAnsi="Times New Roman" w:eastAsia="宋体" w:cs="Times New Roman"/>
                <w:sz w:val="24"/>
                <w:szCs w:val="24"/>
              </w:rPr>
              <w:t xml:space="preserve">  项目依托工程一览表</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95"/>
              <w:gridCol w:w="709"/>
              <w:gridCol w:w="2227"/>
              <w:gridCol w:w="4471"/>
            </w:tblGrid>
            <w:tr w14:paraId="6F09D5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2" w:hRule="atLeast"/>
                <w:jc w:val="center"/>
              </w:trPr>
              <w:tc>
                <w:tcPr>
                  <w:tcW w:w="1295" w:type="dxa"/>
                  <w:vMerge w:val="restart"/>
                  <w:tcBorders>
                    <w:top w:val="single" w:color="auto" w:sz="12" w:space="0"/>
                    <w:left w:val="single" w:color="auto" w:sz="12" w:space="0"/>
                    <w:bottom w:val="single" w:color="auto" w:sz="6" w:space="0"/>
                    <w:right w:val="single" w:color="auto" w:sz="6" w:space="0"/>
                  </w:tcBorders>
                  <w:vAlign w:val="center"/>
                </w:tcPr>
                <w:p w14:paraId="6799870E">
                  <w:pPr>
                    <w:jc w:val="center"/>
                    <w:rPr>
                      <w:rFonts w:ascii="Times New Roman" w:hAnsi="Times New Roman" w:eastAsia="宋体" w:cs="Times New Roman"/>
                      <w:b/>
                      <w:szCs w:val="21"/>
                    </w:rPr>
                  </w:pPr>
                  <w:r>
                    <w:rPr>
                      <w:rFonts w:ascii="Times New Roman" w:hAnsi="Times New Roman" w:eastAsia="宋体" w:cs="Times New Roman"/>
                      <w:b/>
                      <w:szCs w:val="21"/>
                    </w:rPr>
                    <w:t>分类</w:t>
                  </w:r>
                </w:p>
              </w:tc>
              <w:tc>
                <w:tcPr>
                  <w:tcW w:w="709" w:type="dxa"/>
                  <w:vMerge w:val="restart"/>
                  <w:tcBorders>
                    <w:top w:val="single" w:color="auto" w:sz="12" w:space="0"/>
                    <w:left w:val="single" w:color="auto" w:sz="6" w:space="0"/>
                    <w:bottom w:val="single" w:color="auto" w:sz="6" w:space="0"/>
                    <w:right w:val="single" w:color="auto" w:sz="6" w:space="0"/>
                  </w:tcBorders>
                  <w:vAlign w:val="center"/>
                </w:tcPr>
                <w:p w14:paraId="07DF1A07">
                  <w:pPr>
                    <w:jc w:val="center"/>
                    <w:rPr>
                      <w:rFonts w:ascii="Times New Roman" w:hAnsi="Times New Roman" w:eastAsia="宋体" w:cs="Times New Roman"/>
                      <w:b/>
                      <w:szCs w:val="21"/>
                    </w:rPr>
                  </w:pPr>
                  <w:r>
                    <w:rPr>
                      <w:rFonts w:ascii="Times New Roman" w:hAnsi="Times New Roman" w:eastAsia="宋体" w:cs="Times New Roman"/>
                      <w:b/>
                      <w:szCs w:val="21"/>
                    </w:rPr>
                    <w:t>项目组成</w:t>
                  </w:r>
                </w:p>
              </w:tc>
              <w:tc>
                <w:tcPr>
                  <w:tcW w:w="2227" w:type="dxa"/>
                  <w:vMerge w:val="restart"/>
                  <w:tcBorders>
                    <w:top w:val="single" w:color="auto" w:sz="12" w:space="0"/>
                    <w:left w:val="single" w:color="auto" w:sz="6" w:space="0"/>
                    <w:bottom w:val="single" w:color="auto" w:sz="6" w:space="0"/>
                    <w:right w:val="single" w:color="auto" w:sz="6" w:space="0"/>
                  </w:tcBorders>
                  <w:vAlign w:val="center"/>
                </w:tcPr>
                <w:p w14:paraId="14F62E46">
                  <w:pPr>
                    <w:jc w:val="center"/>
                    <w:rPr>
                      <w:rFonts w:ascii="Times New Roman" w:hAnsi="Times New Roman" w:eastAsia="宋体" w:cs="Times New Roman"/>
                      <w:b/>
                      <w:szCs w:val="21"/>
                    </w:rPr>
                  </w:pPr>
                  <w:r>
                    <w:rPr>
                      <w:rFonts w:ascii="Times New Roman" w:hAnsi="Times New Roman" w:eastAsia="宋体" w:cs="Times New Roman"/>
                      <w:b/>
                      <w:szCs w:val="21"/>
                    </w:rPr>
                    <w:t>工程内容及规模</w:t>
                  </w:r>
                </w:p>
              </w:tc>
              <w:tc>
                <w:tcPr>
                  <w:tcW w:w="4471" w:type="dxa"/>
                  <w:vMerge w:val="restart"/>
                  <w:tcBorders>
                    <w:top w:val="single" w:color="auto" w:sz="12" w:space="0"/>
                    <w:left w:val="single" w:color="auto" w:sz="6" w:space="0"/>
                    <w:bottom w:val="single" w:color="auto" w:sz="6" w:space="0"/>
                    <w:right w:val="single" w:color="auto" w:sz="12" w:space="0"/>
                  </w:tcBorders>
                  <w:vAlign w:val="center"/>
                </w:tcPr>
                <w:p w14:paraId="435A01F4">
                  <w:pPr>
                    <w:jc w:val="center"/>
                    <w:rPr>
                      <w:rFonts w:ascii="Times New Roman" w:hAnsi="Times New Roman" w:eastAsia="宋体" w:cs="Times New Roman"/>
                      <w:b/>
                      <w:szCs w:val="21"/>
                    </w:rPr>
                  </w:pPr>
                  <w:r>
                    <w:rPr>
                      <w:rFonts w:ascii="Times New Roman" w:hAnsi="Times New Roman" w:eastAsia="宋体" w:cs="Times New Roman"/>
                      <w:b/>
                      <w:szCs w:val="21"/>
                    </w:rPr>
                    <w:t>依托可行性风险</w:t>
                  </w:r>
                </w:p>
              </w:tc>
            </w:tr>
            <w:tr w14:paraId="20EE3E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2" w:hRule="atLeast"/>
                <w:jc w:val="center"/>
              </w:trPr>
              <w:tc>
                <w:tcPr>
                  <w:tcW w:w="1295" w:type="dxa"/>
                  <w:vMerge w:val="continue"/>
                  <w:tcBorders>
                    <w:top w:val="single" w:color="auto" w:sz="12" w:space="0"/>
                    <w:left w:val="single" w:color="auto" w:sz="12" w:space="0"/>
                    <w:bottom w:val="single" w:color="auto" w:sz="6" w:space="0"/>
                    <w:right w:val="single" w:color="auto" w:sz="6" w:space="0"/>
                  </w:tcBorders>
                  <w:vAlign w:val="center"/>
                </w:tcPr>
                <w:p w14:paraId="6747738F">
                  <w:pPr>
                    <w:widowControl/>
                    <w:jc w:val="left"/>
                    <w:rPr>
                      <w:rFonts w:ascii="Times New Roman" w:hAnsi="Times New Roman" w:eastAsia="宋体" w:cs="Times New Roman"/>
                      <w:b/>
                      <w:szCs w:val="21"/>
                    </w:rPr>
                  </w:pPr>
                </w:p>
              </w:tc>
              <w:tc>
                <w:tcPr>
                  <w:tcW w:w="709" w:type="dxa"/>
                  <w:vMerge w:val="continue"/>
                  <w:tcBorders>
                    <w:top w:val="single" w:color="auto" w:sz="12" w:space="0"/>
                    <w:left w:val="single" w:color="auto" w:sz="6" w:space="0"/>
                    <w:bottom w:val="single" w:color="auto" w:sz="6" w:space="0"/>
                    <w:right w:val="single" w:color="auto" w:sz="6" w:space="0"/>
                  </w:tcBorders>
                  <w:vAlign w:val="center"/>
                </w:tcPr>
                <w:p w14:paraId="3B29177B">
                  <w:pPr>
                    <w:widowControl/>
                    <w:jc w:val="left"/>
                    <w:rPr>
                      <w:rFonts w:ascii="Times New Roman" w:hAnsi="Times New Roman" w:eastAsia="宋体" w:cs="Times New Roman"/>
                      <w:b/>
                      <w:szCs w:val="21"/>
                    </w:rPr>
                  </w:pPr>
                </w:p>
              </w:tc>
              <w:tc>
                <w:tcPr>
                  <w:tcW w:w="2227" w:type="dxa"/>
                  <w:vMerge w:val="continue"/>
                  <w:tcBorders>
                    <w:top w:val="single" w:color="auto" w:sz="12" w:space="0"/>
                    <w:left w:val="single" w:color="auto" w:sz="6" w:space="0"/>
                    <w:bottom w:val="single" w:color="auto" w:sz="6" w:space="0"/>
                    <w:right w:val="single" w:color="auto" w:sz="6" w:space="0"/>
                  </w:tcBorders>
                  <w:vAlign w:val="center"/>
                </w:tcPr>
                <w:p w14:paraId="32769E0E">
                  <w:pPr>
                    <w:widowControl/>
                    <w:jc w:val="left"/>
                    <w:rPr>
                      <w:rFonts w:ascii="Times New Roman" w:hAnsi="Times New Roman" w:eastAsia="宋体" w:cs="Times New Roman"/>
                      <w:b/>
                      <w:szCs w:val="21"/>
                    </w:rPr>
                  </w:pPr>
                </w:p>
              </w:tc>
              <w:tc>
                <w:tcPr>
                  <w:tcW w:w="4471" w:type="dxa"/>
                  <w:vMerge w:val="continue"/>
                  <w:tcBorders>
                    <w:top w:val="single" w:color="auto" w:sz="12" w:space="0"/>
                    <w:left w:val="single" w:color="auto" w:sz="6" w:space="0"/>
                    <w:bottom w:val="single" w:color="auto" w:sz="6" w:space="0"/>
                    <w:right w:val="single" w:color="auto" w:sz="12" w:space="0"/>
                  </w:tcBorders>
                  <w:vAlign w:val="center"/>
                </w:tcPr>
                <w:p w14:paraId="0B9A46CC">
                  <w:pPr>
                    <w:widowControl/>
                    <w:jc w:val="left"/>
                    <w:rPr>
                      <w:rFonts w:ascii="Times New Roman" w:hAnsi="Times New Roman" w:eastAsia="宋体" w:cs="Times New Roman"/>
                      <w:b/>
                      <w:szCs w:val="21"/>
                    </w:rPr>
                  </w:pPr>
                </w:p>
              </w:tc>
            </w:tr>
            <w:tr w14:paraId="1B53A8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295" w:type="dxa"/>
                  <w:vMerge w:val="restart"/>
                  <w:tcBorders>
                    <w:top w:val="single" w:color="auto" w:sz="6" w:space="0"/>
                    <w:left w:val="single" w:color="auto" w:sz="12" w:space="0"/>
                    <w:bottom w:val="single" w:color="auto" w:sz="6" w:space="0"/>
                    <w:right w:val="single" w:color="auto" w:sz="6" w:space="0"/>
                  </w:tcBorders>
                  <w:vAlign w:val="center"/>
                </w:tcPr>
                <w:p w14:paraId="7C1D210C">
                  <w:pPr>
                    <w:jc w:val="center"/>
                    <w:rPr>
                      <w:rFonts w:ascii="Times New Roman" w:hAnsi="Times New Roman" w:eastAsia="宋体" w:cs="Times New Roman"/>
                      <w:color w:val="FF0000"/>
                      <w:szCs w:val="21"/>
                    </w:rPr>
                  </w:pPr>
                  <w:r>
                    <w:rPr>
                      <w:rFonts w:ascii="Times New Roman" w:hAnsi="Times New Roman" w:eastAsia="宋体" w:cs="Times New Roman"/>
                      <w:szCs w:val="21"/>
                    </w:rPr>
                    <w:t>公用工程</w:t>
                  </w:r>
                </w:p>
              </w:tc>
              <w:tc>
                <w:tcPr>
                  <w:tcW w:w="709" w:type="dxa"/>
                  <w:tcBorders>
                    <w:top w:val="single" w:color="auto" w:sz="6" w:space="0"/>
                    <w:left w:val="single" w:color="auto" w:sz="6" w:space="0"/>
                    <w:bottom w:val="single" w:color="auto" w:sz="6" w:space="0"/>
                    <w:right w:val="single" w:color="auto" w:sz="6" w:space="0"/>
                  </w:tcBorders>
                  <w:vAlign w:val="center"/>
                </w:tcPr>
                <w:p w14:paraId="0489D1CF">
                  <w:pPr>
                    <w:jc w:val="center"/>
                    <w:rPr>
                      <w:rFonts w:ascii="Times New Roman" w:hAnsi="Times New Roman" w:eastAsia="宋体" w:cs="Times New Roman"/>
                      <w:color w:val="FF0000"/>
                      <w:szCs w:val="21"/>
                    </w:rPr>
                  </w:pPr>
                  <w:r>
                    <w:rPr>
                      <w:rFonts w:ascii="Times New Roman" w:hAnsi="Times New Roman" w:eastAsia="宋体" w:cs="Times New Roman"/>
                      <w:szCs w:val="21"/>
                    </w:rPr>
                    <w:t>供电</w:t>
                  </w:r>
                </w:p>
              </w:tc>
              <w:tc>
                <w:tcPr>
                  <w:tcW w:w="2227" w:type="dxa"/>
                  <w:tcBorders>
                    <w:top w:val="single" w:color="auto" w:sz="6" w:space="0"/>
                    <w:left w:val="single" w:color="auto" w:sz="6" w:space="0"/>
                    <w:bottom w:val="single" w:color="auto" w:sz="6" w:space="0"/>
                    <w:right w:val="single" w:color="auto" w:sz="6" w:space="0"/>
                  </w:tcBorders>
                  <w:vAlign w:val="center"/>
                </w:tcPr>
                <w:p w14:paraId="36429CD6">
                  <w:pPr>
                    <w:jc w:val="center"/>
                    <w:rPr>
                      <w:rFonts w:ascii="Times New Roman" w:hAnsi="Times New Roman" w:eastAsia="宋体" w:cs="Times New Roman"/>
                      <w:color w:val="FF0000"/>
                      <w:szCs w:val="21"/>
                    </w:rPr>
                  </w:pPr>
                  <w:r>
                    <w:rPr>
                      <w:rFonts w:ascii="Times New Roman" w:hAnsi="Times New Roman" w:eastAsia="宋体" w:cs="Times New Roman"/>
                      <w:szCs w:val="21"/>
                    </w:rPr>
                    <w:t>市政电网供应</w:t>
                  </w:r>
                </w:p>
              </w:tc>
              <w:tc>
                <w:tcPr>
                  <w:tcW w:w="4471" w:type="dxa"/>
                  <w:tcBorders>
                    <w:top w:val="single" w:color="auto" w:sz="6" w:space="0"/>
                    <w:left w:val="single" w:color="auto" w:sz="6" w:space="0"/>
                    <w:bottom w:val="single" w:color="auto" w:sz="6" w:space="0"/>
                    <w:right w:val="single" w:color="auto" w:sz="12" w:space="0"/>
                  </w:tcBorders>
                  <w:vAlign w:val="center"/>
                </w:tcPr>
                <w:p w14:paraId="34877EC8">
                  <w:pPr>
                    <w:jc w:val="center"/>
                    <w:rPr>
                      <w:rFonts w:ascii="Times New Roman" w:hAnsi="Times New Roman" w:eastAsia="宋体" w:cs="Times New Roman"/>
                      <w:szCs w:val="21"/>
                    </w:rPr>
                  </w:pPr>
                  <w:r>
                    <w:rPr>
                      <w:rFonts w:ascii="Times New Roman" w:hAnsi="Times New Roman" w:eastAsia="宋体" w:cs="Times New Roman"/>
                      <w:szCs w:val="21"/>
                    </w:rPr>
                    <w:t>可行</w:t>
                  </w:r>
                </w:p>
              </w:tc>
            </w:tr>
            <w:tr w14:paraId="1CE6B2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295" w:type="dxa"/>
                  <w:vMerge w:val="continue"/>
                  <w:tcBorders>
                    <w:top w:val="single" w:color="auto" w:sz="6" w:space="0"/>
                    <w:left w:val="single" w:color="auto" w:sz="12" w:space="0"/>
                    <w:bottom w:val="single" w:color="auto" w:sz="6" w:space="0"/>
                    <w:right w:val="single" w:color="auto" w:sz="6" w:space="0"/>
                  </w:tcBorders>
                  <w:vAlign w:val="center"/>
                </w:tcPr>
                <w:p w14:paraId="7362E664">
                  <w:pPr>
                    <w:widowControl/>
                    <w:jc w:val="left"/>
                    <w:rPr>
                      <w:rFonts w:ascii="Times New Roman" w:hAnsi="Times New Roman" w:eastAsia="宋体" w:cs="Times New Roman"/>
                      <w:color w:val="FF0000"/>
                      <w:szCs w:val="21"/>
                    </w:rPr>
                  </w:pPr>
                </w:p>
              </w:tc>
              <w:tc>
                <w:tcPr>
                  <w:tcW w:w="709" w:type="dxa"/>
                  <w:tcBorders>
                    <w:top w:val="single" w:color="auto" w:sz="6" w:space="0"/>
                    <w:left w:val="single" w:color="auto" w:sz="6" w:space="0"/>
                    <w:bottom w:val="single" w:color="auto" w:sz="6" w:space="0"/>
                    <w:right w:val="single" w:color="auto" w:sz="6" w:space="0"/>
                  </w:tcBorders>
                  <w:vAlign w:val="center"/>
                </w:tcPr>
                <w:p w14:paraId="342D8B35">
                  <w:pPr>
                    <w:jc w:val="center"/>
                    <w:rPr>
                      <w:rFonts w:ascii="Times New Roman" w:hAnsi="Times New Roman" w:eastAsia="宋体" w:cs="Times New Roman"/>
                      <w:color w:val="FF0000"/>
                      <w:szCs w:val="21"/>
                    </w:rPr>
                  </w:pPr>
                  <w:r>
                    <w:rPr>
                      <w:rFonts w:ascii="Times New Roman" w:hAnsi="Times New Roman" w:eastAsia="宋体" w:cs="Times New Roman"/>
                      <w:szCs w:val="21"/>
                    </w:rPr>
                    <w:t>供水</w:t>
                  </w:r>
                </w:p>
              </w:tc>
              <w:tc>
                <w:tcPr>
                  <w:tcW w:w="2227" w:type="dxa"/>
                  <w:tcBorders>
                    <w:top w:val="single" w:color="auto" w:sz="6" w:space="0"/>
                    <w:left w:val="single" w:color="auto" w:sz="6" w:space="0"/>
                    <w:bottom w:val="single" w:color="auto" w:sz="6" w:space="0"/>
                    <w:right w:val="single" w:color="auto" w:sz="6" w:space="0"/>
                  </w:tcBorders>
                  <w:vAlign w:val="center"/>
                </w:tcPr>
                <w:p w14:paraId="524233EA">
                  <w:pPr>
                    <w:jc w:val="center"/>
                    <w:rPr>
                      <w:rFonts w:ascii="Times New Roman" w:hAnsi="Times New Roman" w:eastAsia="宋体" w:cs="Times New Roman"/>
                      <w:color w:val="FF0000"/>
                      <w:szCs w:val="21"/>
                    </w:rPr>
                  </w:pPr>
                  <w:r>
                    <w:rPr>
                      <w:rFonts w:hint="eastAsia" w:ascii="Times New Roman" w:hAnsi="Times New Roman" w:eastAsia="宋体" w:cs="Times New Roman"/>
                      <w:szCs w:val="21"/>
                    </w:rPr>
                    <w:t>山泉水</w:t>
                  </w:r>
                </w:p>
              </w:tc>
              <w:tc>
                <w:tcPr>
                  <w:tcW w:w="4471" w:type="dxa"/>
                  <w:tcBorders>
                    <w:top w:val="single" w:color="auto" w:sz="6" w:space="0"/>
                    <w:left w:val="single" w:color="auto" w:sz="6" w:space="0"/>
                    <w:bottom w:val="single" w:color="auto" w:sz="6" w:space="0"/>
                    <w:right w:val="single" w:color="auto" w:sz="12" w:space="0"/>
                  </w:tcBorders>
                  <w:vAlign w:val="center"/>
                </w:tcPr>
                <w:p w14:paraId="50CE72AC">
                  <w:pPr>
                    <w:jc w:val="center"/>
                    <w:rPr>
                      <w:rFonts w:ascii="Times New Roman" w:hAnsi="Times New Roman" w:eastAsia="宋体" w:cs="Times New Roman"/>
                      <w:szCs w:val="21"/>
                    </w:rPr>
                  </w:pPr>
                  <w:r>
                    <w:rPr>
                      <w:rFonts w:hint="eastAsia" w:ascii="Times New Roman" w:hAnsi="Times New Roman" w:eastAsia="宋体" w:cs="Times New Roman"/>
                      <w:szCs w:val="21"/>
                    </w:rPr>
                    <w:t>主要为员工生活用水，用水量较小，</w:t>
                  </w:r>
                  <w:r>
                    <w:rPr>
                      <w:rFonts w:ascii="Times New Roman" w:hAnsi="Times New Roman" w:eastAsia="宋体" w:cs="Times New Roman"/>
                      <w:szCs w:val="21"/>
                    </w:rPr>
                    <w:t>可行</w:t>
                  </w:r>
                </w:p>
              </w:tc>
            </w:tr>
            <w:tr w14:paraId="656FA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66" w:hRule="atLeast"/>
                <w:jc w:val="center"/>
              </w:trPr>
              <w:tc>
                <w:tcPr>
                  <w:tcW w:w="1295" w:type="dxa"/>
                  <w:tcBorders>
                    <w:top w:val="single" w:color="auto" w:sz="6" w:space="0"/>
                    <w:left w:val="single" w:color="auto" w:sz="12" w:space="0"/>
                    <w:bottom w:val="single" w:color="auto" w:sz="12" w:space="0"/>
                    <w:right w:val="single" w:color="auto" w:sz="6" w:space="0"/>
                  </w:tcBorders>
                  <w:vAlign w:val="center"/>
                </w:tcPr>
                <w:p w14:paraId="5C55DD10">
                  <w:pPr>
                    <w:ind w:left="-105" w:leftChars="-50" w:right="-105" w:rightChars="-50"/>
                    <w:jc w:val="center"/>
                    <w:rPr>
                      <w:rFonts w:ascii="Times New Roman" w:hAnsi="Times New Roman" w:eastAsia="宋体" w:cs="Times New Roman"/>
                      <w:szCs w:val="21"/>
                    </w:rPr>
                  </w:pPr>
                  <w:r>
                    <w:rPr>
                      <w:rFonts w:ascii="Times New Roman" w:hAnsi="Times New Roman" w:eastAsia="宋体" w:cs="Times New Roman"/>
                      <w:szCs w:val="21"/>
                    </w:rPr>
                    <w:t>生活及办公设施</w:t>
                  </w:r>
                </w:p>
              </w:tc>
              <w:tc>
                <w:tcPr>
                  <w:tcW w:w="709" w:type="dxa"/>
                  <w:tcBorders>
                    <w:top w:val="single" w:color="auto" w:sz="6" w:space="0"/>
                    <w:left w:val="single" w:color="auto" w:sz="6" w:space="0"/>
                    <w:bottom w:val="single" w:color="auto" w:sz="12" w:space="0"/>
                    <w:right w:val="single" w:color="auto" w:sz="6" w:space="0"/>
                  </w:tcBorders>
                  <w:vAlign w:val="center"/>
                </w:tcPr>
                <w:p w14:paraId="650EA246">
                  <w:pPr>
                    <w:jc w:val="center"/>
                    <w:rPr>
                      <w:rFonts w:ascii="Times New Roman" w:hAnsi="Times New Roman" w:eastAsia="宋体" w:cs="Times New Roman"/>
                      <w:szCs w:val="21"/>
                    </w:rPr>
                  </w:pPr>
                  <w:r>
                    <w:rPr>
                      <w:rFonts w:ascii="Times New Roman" w:hAnsi="Times New Roman" w:eastAsia="宋体" w:cs="Times New Roman"/>
                      <w:szCs w:val="21"/>
                    </w:rPr>
                    <w:t>宿舍</w:t>
                  </w:r>
                </w:p>
              </w:tc>
              <w:tc>
                <w:tcPr>
                  <w:tcW w:w="2227" w:type="dxa"/>
                  <w:tcBorders>
                    <w:top w:val="single" w:color="auto" w:sz="6" w:space="0"/>
                    <w:left w:val="single" w:color="auto" w:sz="6" w:space="0"/>
                    <w:bottom w:val="single" w:color="auto" w:sz="12" w:space="0"/>
                    <w:right w:val="single" w:color="auto" w:sz="6" w:space="0"/>
                  </w:tcBorders>
                  <w:vAlign w:val="center"/>
                </w:tcPr>
                <w:p w14:paraId="7D74541B">
                  <w:pPr>
                    <w:jc w:val="left"/>
                    <w:rPr>
                      <w:rFonts w:ascii="Times New Roman" w:hAnsi="Times New Roman" w:eastAsia="宋体" w:cs="Times New Roman"/>
                      <w:szCs w:val="21"/>
                    </w:rPr>
                  </w:pPr>
                  <w:r>
                    <w:rPr>
                      <w:rFonts w:hint="eastAsia" w:ascii="Times New Roman" w:hAnsi="Times New Roman" w:eastAsia="宋体" w:cs="Times New Roman"/>
                      <w:szCs w:val="21"/>
                    </w:rPr>
                    <w:t>依托原黄磷厂宿舍，主要用于员工休息。</w:t>
                  </w:r>
                </w:p>
              </w:tc>
              <w:tc>
                <w:tcPr>
                  <w:tcW w:w="4471" w:type="dxa"/>
                  <w:tcBorders>
                    <w:top w:val="single" w:color="auto" w:sz="6" w:space="0"/>
                    <w:left w:val="single" w:color="auto" w:sz="6" w:space="0"/>
                    <w:bottom w:val="single" w:color="auto" w:sz="12" w:space="0"/>
                    <w:right w:val="single" w:color="auto" w:sz="12" w:space="0"/>
                  </w:tcBorders>
                  <w:vAlign w:val="center"/>
                </w:tcPr>
                <w:p w14:paraId="72CB9999">
                  <w:pPr>
                    <w:jc w:val="center"/>
                    <w:rPr>
                      <w:rFonts w:ascii="Times New Roman" w:hAnsi="Times New Roman" w:eastAsia="宋体" w:cs="Times New Roman"/>
                      <w:szCs w:val="21"/>
                    </w:rPr>
                  </w:pPr>
                  <w:r>
                    <w:rPr>
                      <w:rFonts w:hint="eastAsia" w:ascii="Times New Roman" w:hAnsi="Times New Roman" w:eastAsia="宋体" w:cs="Times New Roman"/>
                      <w:szCs w:val="21"/>
                    </w:rPr>
                    <w:t>项目劳动定员2</w:t>
                  </w:r>
                  <w:r>
                    <w:rPr>
                      <w:rFonts w:ascii="Times New Roman" w:hAnsi="Times New Roman" w:eastAsia="宋体" w:cs="Times New Roman"/>
                      <w:szCs w:val="21"/>
                    </w:rPr>
                    <w:t>0</w:t>
                  </w:r>
                  <w:r>
                    <w:rPr>
                      <w:rFonts w:hint="eastAsia" w:ascii="Times New Roman" w:hAnsi="Times New Roman" w:eastAsia="宋体" w:cs="Times New Roman"/>
                      <w:szCs w:val="21"/>
                    </w:rPr>
                    <w:t>人，依托宿舍楼为3层楼，员工多为周边居民，值班人员较少</w:t>
                  </w:r>
                  <w:r>
                    <w:rPr>
                      <w:rFonts w:ascii="Times New Roman" w:hAnsi="Times New Roman" w:eastAsia="宋体" w:cs="Times New Roman"/>
                      <w:szCs w:val="21"/>
                    </w:rPr>
                    <w:t>，可行</w:t>
                  </w:r>
                </w:p>
              </w:tc>
            </w:tr>
          </w:tbl>
          <w:p w14:paraId="672605D1">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szCs w:val="24"/>
              </w:rPr>
              <w:t>（4）</w:t>
            </w:r>
            <w:r>
              <w:rPr>
                <w:rFonts w:ascii="Times New Roman" w:hAnsi="Times New Roman" w:eastAsia="宋体" w:cs="Times New Roman"/>
                <w:sz w:val="24"/>
              </w:rPr>
              <w:t>原辅材料</w:t>
            </w:r>
          </w:p>
          <w:p w14:paraId="38BA20A8">
            <w:pPr>
              <w:spacing w:line="50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本项目主要原辅材料年用量汇总见下表1-5。</w:t>
            </w:r>
          </w:p>
          <w:p w14:paraId="57839EED">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表1-5项目主要原辅材料及能源消耗一览表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1696"/>
              <w:gridCol w:w="1132"/>
              <w:gridCol w:w="1557"/>
              <w:gridCol w:w="3556"/>
            </w:tblGrid>
            <w:tr w14:paraId="1019AD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6F74D864">
                  <w:pPr>
                    <w:jc w:val="center"/>
                    <w:rPr>
                      <w:rFonts w:ascii="Times New Roman" w:hAnsi="Times New Roman" w:eastAsia="宋体" w:cs="Times New Roman"/>
                    </w:rPr>
                  </w:pPr>
                  <w:r>
                    <w:rPr>
                      <w:rFonts w:ascii="Times New Roman" w:hAnsi="Times New Roman" w:eastAsia="宋体" w:cs="Times New Roman"/>
                    </w:rPr>
                    <w:t>序号</w:t>
                  </w:r>
                </w:p>
              </w:tc>
              <w:tc>
                <w:tcPr>
                  <w:tcW w:w="950" w:type="pct"/>
                  <w:vAlign w:val="center"/>
                </w:tcPr>
                <w:p w14:paraId="709E5C8D">
                  <w:pPr>
                    <w:jc w:val="center"/>
                    <w:rPr>
                      <w:rFonts w:ascii="Times New Roman" w:hAnsi="Times New Roman" w:eastAsia="宋体" w:cs="Times New Roman"/>
                    </w:rPr>
                  </w:pPr>
                  <w:r>
                    <w:rPr>
                      <w:rFonts w:ascii="Times New Roman" w:hAnsi="Times New Roman" w:eastAsia="宋体" w:cs="Times New Roman"/>
                    </w:rPr>
                    <w:t>原辅材料名称</w:t>
                  </w:r>
                </w:p>
              </w:tc>
              <w:tc>
                <w:tcPr>
                  <w:tcW w:w="634" w:type="pct"/>
                  <w:vAlign w:val="center"/>
                </w:tcPr>
                <w:p w14:paraId="0651808B">
                  <w:pPr>
                    <w:jc w:val="center"/>
                    <w:rPr>
                      <w:rFonts w:ascii="Times New Roman" w:hAnsi="Times New Roman" w:eastAsia="宋体" w:cs="Times New Roman"/>
                    </w:rPr>
                  </w:pPr>
                  <w:r>
                    <w:rPr>
                      <w:rFonts w:ascii="Times New Roman" w:hAnsi="Times New Roman" w:eastAsia="宋体" w:cs="Times New Roman"/>
                    </w:rPr>
                    <w:t>用量</w:t>
                  </w:r>
                </w:p>
              </w:tc>
              <w:tc>
                <w:tcPr>
                  <w:tcW w:w="872" w:type="pct"/>
                  <w:vAlign w:val="center"/>
                </w:tcPr>
                <w:p w14:paraId="7FBCF696">
                  <w:pPr>
                    <w:jc w:val="center"/>
                    <w:rPr>
                      <w:rFonts w:ascii="Times New Roman" w:hAnsi="Times New Roman" w:eastAsia="宋体" w:cs="Times New Roman"/>
                    </w:rPr>
                  </w:pPr>
                  <w:r>
                    <w:rPr>
                      <w:rFonts w:ascii="Times New Roman" w:hAnsi="Times New Roman" w:eastAsia="宋体" w:cs="Times New Roman"/>
                    </w:rPr>
                    <w:t>单位/年</w:t>
                  </w:r>
                </w:p>
              </w:tc>
              <w:tc>
                <w:tcPr>
                  <w:tcW w:w="1991" w:type="pct"/>
                  <w:vAlign w:val="center"/>
                </w:tcPr>
                <w:p w14:paraId="0F4CCB23">
                  <w:pPr>
                    <w:jc w:val="center"/>
                    <w:rPr>
                      <w:rFonts w:ascii="Times New Roman" w:hAnsi="Times New Roman" w:eastAsia="宋体" w:cs="Times New Roman"/>
                    </w:rPr>
                  </w:pPr>
                  <w:r>
                    <w:rPr>
                      <w:rFonts w:ascii="Times New Roman" w:hAnsi="Times New Roman" w:eastAsia="宋体" w:cs="Times New Roman"/>
                    </w:rPr>
                    <w:t>备注</w:t>
                  </w:r>
                </w:p>
              </w:tc>
            </w:tr>
            <w:tr w14:paraId="1133F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4430FC2A">
                  <w:pPr>
                    <w:jc w:val="center"/>
                    <w:rPr>
                      <w:rFonts w:ascii="Times New Roman" w:hAnsi="Times New Roman" w:eastAsia="宋体" w:cs="Times New Roman"/>
                    </w:rPr>
                  </w:pPr>
                  <w:r>
                    <w:rPr>
                      <w:rFonts w:ascii="Times New Roman" w:hAnsi="Times New Roman" w:eastAsia="宋体" w:cs="Times New Roman"/>
                    </w:rPr>
                    <w:t>1</w:t>
                  </w:r>
                </w:p>
              </w:tc>
              <w:tc>
                <w:tcPr>
                  <w:tcW w:w="950" w:type="pct"/>
                  <w:vAlign w:val="center"/>
                </w:tcPr>
                <w:p w14:paraId="2646A62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工业硅块</w:t>
                  </w:r>
                </w:p>
              </w:tc>
              <w:tc>
                <w:tcPr>
                  <w:tcW w:w="634" w:type="pct"/>
                  <w:vAlign w:val="center"/>
                </w:tcPr>
                <w:p w14:paraId="7F6130A2">
                  <w:pPr>
                    <w:tabs>
                      <w:tab w:val="left" w:pos="1020"/>
                    </w:tabs>
                    <w:jc w:val="center"/>
                    <w:rPr>
                      <w:rFonts w:ascii="Times New Roman" w:hAnsi="Times New Roman" w:eastAsia="宋体" w:cs="Times New Roman"/>
                      <w:szCs w:val="21"/>
                    </w:rPr>
                  </w:pPr>
                  <w:r>
                    <w:rPr>
                      <w:rFonts w:ascii="Times New Roman" w:hAnsi="Times New Roman" w:eastAsia="宋体" w:cs="Times New Roman"/>
                      <w:szCs w:val="21"/>
                    </w:rPr>
                    <w:t>40000</w:t>
                  </w:r>
                </w:p>
              </w:tc>
              <w:tc>
                <w:tcPr>
                  <w:tcW w:w="872" w:type="pct"/>
                  <w:vAlign w:val="center"/>
                </w:tcPr>
                <w:p w14:paraId="4E93AA77">
                  <w:pPr>
                    <w:tabs>
                      <w:tab w:val="left" w:pos="1020"/>
                    </w:tabs>
                    <w:jc w:val="center"/>
                    <w:rPr>
                      <w:rFonts w:ascii="Times New Roman" w:hAnsi="Times New Roman" w:eastAsia="宋体" w:cs="Times New Roman"/>
                    </w:rPr>
                  </w:pPr>
                  <w:r>
                    <w:rPr>
                      <w:rFonts w:ascii="Times New Roman" w:hAnsi="Times New Roman" w:eastAsia="宋体" w:cs="Times New Roman"/>
                    </w:rPr>
                    <w:t>万t</w:t>
                  </w:r>
                </w:p>
              </w:tc>
              <w:tc>
                <w:tcPr>
                  <w:tcW w:w="1991" w:type="pct"/>
                  <w:vAlign w:val="center"/>
                </w:tcPr>
                <w:p w14:paraId="11FF7B90">
                  <w:pPr>
                    <w:tabs>
                      <w:tab w:val="left" w:pos="1020"/>
                    </w:tabs>
                    <w:jc w:val="center"/>
                    <w:rPr>
                      <w:rFonts w:ascii="Times New Roman" w:hAnsi="Times New Roman" w:eastAsia="宋体" w:cs="Times New Roman"/>
                    </w:rPr>
                  </w:pPr>
                  <w:r>
                    <w:rPr>
                      <w:rFonts w:hint="eastAsia" w:ascii="Times New Roman" w:hAnsi="Times New Roman" w:eastAsia="宋体" w:cs="Times New Roman"/>
                    </w:rPr>
                    <w:t>林河硅业公司生产的或外购其他公司的冶金级工业硅和化学级工业硅</w:t>
                  </w:r>
                </w:p>
              </w:tc>
            </w:tr>
            <w:tr w14:paraId="1F5B93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12CE86B4">
                  <w:pPr>
                    <w:jc w:val="center"/>
                    <w:rPr>
                      <w:rFonts w:ascii="Times New Roman" w:hAnsi="Times New Roman" w:eastAsia="宋体" w:cs="Times New Roman"/>
                    </w:rPr>
                  </w:pPr>
                  <w:r>
                    <w:rPr>
                      <w:rFonts w:ascii="Times New Roman" w:hAnsi="Times New Roman" w:eastAsia="宋体" w:cs="Times New Roman"/>
                    </w:rPr>
                    <w:t>2</w:t>
                  </w:r>
                </w:p>
              </w:tc>
              <w:tc>
                <w:tcPr>
                  <w:tcW w:w="950" w:type="pct"/>
                  <w:vAlign w:val="center"/>
                </w:tcPr>
                <w:p w14:paraId="18125D5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w:t>
                  </w:r>
                </w:p>
              </w:tc>
              <w:tc>
                <w:tcPr>
                  <w:tcW w:w="634" w:type="pct"/>
                  <w:vAlign w:val="center"/>
                </w:tcPr>
                <w:p w14:paraId="1393A40E">
                  <w:pPr>
                    <w:jc w:val="center"/>
                    <w:rPr>
                      <w:rFonts w:ascii="Times New Roman" w:hAnsi="Times New Roman" w:eastAsia="宋体" w:cs="Times New Roman"/>
                      <w:kern w:val="0"/>
                      <w:szCs w:val="21"/>
                    </w:rPr>
                  </w:pPr>
                  <w:r>
                    <w:rPr>
                      <w:rFonts w:ascii="Times New Roman" w:hAnsi="Times New Roman" w:eastAsia="宋体" w:cs="Times New Roman"/>
                      <w:kern w:val="0"/>
                      <w:szCs w:val="21"/>
                    </w:rPr>
                    <w:t>540</w:t>
                  </w:r>
                </w:p>
              </w:tc>
              <w:tc>
                <w:tcPr>
                  <w:tcW w:w="872" w:type="pct"/>
                  <w:vAlign w:val="center"/>
                </w:tcPr>
                <w:p w14:paraId="22097193">
                  <w:pPr>
                    <w:tabs>
                      <w:tab w:val="left" w:pos="1020"/>
                    </w:tabs>
                    <w:jc w:val="center"/>
                    <w:rPr>
                      <w:rFonts w:ascii="Times New Roman" w:hAnsi="Times New Roman" w:eastAsia="宋体" w:cs="Times New Roman"/>
                    </w:rPr>
                  </w:pPr>
                  <w:r>
                    <w:rPr>
                      <w:rFonts w:ascii="Times New Roman" w:hAnsi="Times New Roman" w:eastAsia="宋体" w:cs="Times New Roman"/>
                    </w:rPr>
                    <w:t>m</w:t>
                  </w:r>
                  <w:r>
                    <w:rPr>
                      <w:rFonts w:ascii="Times New Roman" w:hAnsi="Times New Roman" w:eastAsia="宋体" w:cs="Times New Roman"/>
                      <w:vertAlign w:val="superscript"/>
                    </w:rPr>
                    <w:t>3</w:t>
                  </w:r>
                </w:p>
              </w:tc>
              <w:tc>
                <w:tcPr>
                  <w:tcW w:w="1991" w:type="pct"/>
                  <w:vAlign w:val="center"/>
                </w:tcPr>
                <w:p w14:paraId="5F56C8A0">
                  <w:pPr>
                    <w:tabs>
                      <w:tab w:val="left" w:pos="1020"/>
                    </w:tabs>
                    <w:jc w:val="center"/>
                    <w:rPr>
                      <w:rFonts w:ascii="Times New Roman" w:hAnsi="Times New Roman" w:eastAsia="宋体" w:cs="Times New Roman"/>
                    </w:rPr>
                  </w:pPr>
                  <w:r>
                    <w:rPr>
                      <w:rFonts w:hint="eastAsia" w:ascii="Times New Roman" w:hAnsi="Times New Roman" w:eastAsia="宋体" w:cs="Times New Roman"/>
                    </w:rPr>
                    <w:t>山泉水</w:t>
                  </w:r>
                </w:p>
              </w:tc>
            </w:tr>
            <w:tr w14:paraId="5BD9C3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1727BC72">
                  <w:pPr>
                    <w:jc w:val="center"/>
                    <w:rPr>
                      <w:rFonts w:ascii="Times New Roman" w:hAnsi="Times New Roman" w:eastAsia="宋体" w:cs="Times New Roman"/>
                    </w:rPr>
                  </w:pPr>
                  <w:r>
                    <w:rPr>
                      <w:rFonts w:ascii="Times New Roman" w:hAnsi="Times New Roman" w:eastAsia="宋体" w:cs="Times New Roman"/>
                    </w:rPr>
                    <w:t>3</w:t>
                  </w:r>
                </w:p>
              </w:tc>
              <w:tc>
                <w:tcPr>
                  <w:tcW w:w="950" w:type="pct"/>
                  <w:vAlign w:val="center"/>
                </w:tcPr>
                <w:p w14:paraId="6A750D0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电</w:t>
                  </w:r>
                </w:p>
              </w:tc>
              <w:tc>
                <w:tcPr>
                  <w:tcW w:w="634" w:type="pct"/>
                  <w:vAlign w:val="center"/>
                </w:tcPr>
                <w:p w14:paraId="27816E15">
                  <w:pPr>
                    <w:jc w:val="center"/>
                    <w:rPr>
                      <w:rFonts w:ascii="Times New Roman" w:hAnsi="Times New Roman" w:eastAsia="宋体" w:cs="Times New Roman"/>
                      <w:kern w:val="0"/>
                      <w:szCs w:val="21"/>
                    </w:rPr>
                  </w:pPr>
                  <w:r>
                    <w:rPr>
                      <w:rFonts w:ascii="Times New Roman" w:hAnsi="Times New Roman" w:eastAsia="宋体" w:cs="Times New Roman"/>
                      <w:kern w:val="0"/>
                      <w:szCs w:val="21"/>
                    </w:rPr>
                    <w:t>40</w:t>
                  </w:r>
                </w:p>
              </w:tc>
              <w:tc>
                <w:tcPr>
                  <w:tcW w:w="872" w:type="pct"/>
                  <w:vAlign w:val="center"/>
                </w:tcPr>
                <w:p w14:paraId="2B68D95F">
                  <w:pPr>
                    <w:tabs>
                      <w:tab w:val="left" w:pos="1020"/>
                    </w:tabs>
                    <w:jc w:val="center"/>
                    <w:rPr>
                      <w:rFonts w:ascii="Times New Roman" w:hAnsi="Times New Roman" w:eastAsia="宋体" w:cs="Times New Roman"/>
                    </w:rPr>
                  </w:pPr>
                  <w:r>
                    <w:rPr>
                      <w:rFonts w:ascii="Times New Roman" w:hAnsi="Times New Roman" w:eastAsia="宋体" w:cs="Times New Roman"/>
                    </w:rPr>
                    <w:t>万千瓦时</w:t>
                  </w:r>
                </w:p>
              </w:tc>
              <w:tc>
                <w:tcPr>
                  <w:tcW w:w="1991" w:type="pct"/>
                  <w:vAlign w:val="center"/>
                </w:tcPr>
                <w:p w14:paraId="7067DEC3">
                  <w:pPr>
                    <w:tabs>
                      <w:tab w:val="left" w:pos="1020"/>
                    </w:tabs>
                    <w:jc w:val="center"/>
                    <w:rPr>
                      <w:rFonts w:ascii="Times New Roman" w:hAnsi="Times New Roman" w:eastAsia="宋体" w:cs="Times New Roman"/>
                    </w:rPr>
                  </w:pPr>
                  <w:r>
                    <w:rPr>
                      <w:rFonts w:ascii="Times New Roman" w:hAnsi="Times New Roman" w:eastAsia="宋体" w:cs="Times New Roman"/>
                    </w:rPr>
                    <w:t>市政电网</w:t>
                  </w:r>
                </w:p>
              </w:tc>
            </w:tr>
            <w:tr w14:paraId="099A4C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4C1E4B0E">
                  <w:pPr>
                    <w:jc w:val="center"/>
                    <w:rPr>
                      <w:rFonts w:ascii="Times New Roman" w:hAnsi="Times New Roman" w:eastAsia="宋体" w:cs="Times New Roman"/>
                    </w:rPr>
                  </w:pPr>
                  <w:r>
                    <w:rPr>
                      <w:rFonts w:hint="eastAsia" w:ascii="Times New Roman" w:hAnsi="Times New Roman" w:eastAsia="宋体" w:cs="Times New Roman"/>
                    </w:rPr>
                    <w:t>4</w:t>
                  </w:r>
                </w:p>
              </w:tc>
              <w:tc>
                <w:tcPr>
                  <w:tcW w:w="950" w:type="pct"/>
                  <w:vAlign w:val="center"/>
                </w:tcPr>
                <w:p w14:paraId="4132420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机油</w:t>
                  </w:r>
                </w:p>
              </w:tc>
              <w:tc>
                <w:tcPr>
                  <w:tcW w:w="634" w:type="pct"/>
                  <w:vAlign w:val="center"/>
                </w:tcPr>
                <w:p w14:paraId="401C26F7">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00</w:t>
                  </w:r>
                </w:p>
              </w:tc>
              <w:tc>
                <w:tcPr>
                  <w:tcW w:w="872" w:type="pct"/>
                  <w:vAlign w:val="center"/>
                </w:tcPr>
                <w:p w14:paraId="130FA774">
                  <w:pPr>
                    <w:tabs>
                      <w:tab w:val="left" w:pos="1020"/>
                    </w:tabs>
                    <w:jc w:val="center"/>
                    <w:rPr>
                      <w:rFonts w:ascii="Times New Roman" w:hAnsi="Times New Roman" w:eastAsia="宋体" w:cs="Times New Roman"/>
                    </w:rPr>
                  </w:pPr>
                  <w:r>
                    <w:rPr>
                      <w:rFonts w:ascii="Times New Roman" w:hAnsi="Times New Roman" w:eastAsia="宋体" w:cs="Times New Roman"/>
                    </w:rPr>
                    <w:t>kg</w:t>
                  </w:r>
                </w:p>
              </w:tc>
              <w:tc>
                <w:tcPr>
                  <w:tcW w:w="1991" w:type="pct"/>
                  <w:vAlign w:val="center"/>
                </w:tcPr>
                <w:p w14:paraId="5A97B8D3">
                  <w:pPr>
                    <w:tabs>
                      <w:tab w:val="left" w:pos="1020"/>
                    </w:tabs>
                    <w:jc w:val="center"/>
                    <w:rPr>
                      <w:rFonts w:ascii="Times New Roman" w:hAnsi="Times New Roman" w:eastAsia="宋体" w:cs="Times New Roman"/>
                    </w:rPr>
                  </w:pPr>
                  <w:r>
                    <w:rPr>
                      <w:rFonts w:hint="eastAsia" w:ascii="Times New Roman" w:hAnsi="Times New Roman" w:eastAsia="宋体" w:cs="Times New Roman"/>
                    </w:rPr>
                    <w:t>外购</w:t>
                  </w:r>
                </w:p>
              </w:tc>
            </w:tr>
          </w:tbl>
          <w:p w14:paraId="7F766A4C">
            <w:pPr>
              <w:widowControl/>
              <w:adjustRightInd w:val="0"/>
              <w:snapToGrid w:val="0"/>
              <w:spacing w:line="360" w:lineRule="auto"/>
              <w:ind w:right="92" w:rightChars="44" w:firstLine="480" w:firstLineChars="200"/>
              <w:jc w:val="left"/>
              <w:rPr>
                <w:rFonts w:ascii="Times New Roman" w:hAnsi="Times New Roman" w:eastAsia="宋体" w:cs="Times New Roman"/>
                <w:sz w:val="24"/>
              </w:rPr>
            </w:pPr>
            <w:r>
              <w:rPr>
                <w:rFonts w:ascii="Times New Roman" w:hAnsi="Times New Roman" w:eastAsia="宋体" w:cs="Times New Roman"/>
                <w:sz w:val="24"/>
              </w:rPr>
              <w:t>（5）主要设备</w:t>
            </w:r>
          </w:p>
          <w:p w14:paraId="7CD8D998">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本项目所用的设备见下表。</w:t>
            </w:r>
          </w:p>
          <w:p w14:paraId="2620A351">
            <w:pPr>
              <w:spacing w:before="120" w:after="120" w:line="360" w:lineRule="auto"/>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表1-6  项目主要设备设施清单</w:t>
            </w:r>
          </w:p>
          <w:tbl>
            <w:tblPr>
              <w:tblStyle w:val="26"/>
              <w:tblW w:w="5000" w:type="pct"/>
              <w:jc w:val="center"/>
              <w:tblLayout w:type="autofit"/>
              <w:tblCellMar>
                <w:top w:w="0" w:type="dxa"/>
                <w:left w:w="0" w:type="dxa"/>
                <w:bottom w:w="0" w:type="dxa"/>
                <w:right w:w="0" w:type="dxa"/>
              </w:tblCellMar>
            </w:tblPr>
            <w:tblGrid>
              <w:gridCol w:w="604"/>
              <w:gridCol w:w="2161"/>
              <w:gridCol w:w="2438"/>
              <w:gridCol w:w="1252"/>
              <w:gridCol w:w="1252"/>
              <w:gridCol w:w="1251"/>
            </w:tblGrid>
            <w:tr w14:paraId="01993B59">
              <w:tblPrEx>
                <w:tblCellMar>
                  <w:top w:w="0" w:type="dxa"/>
                  <w:left w:w="0" w:type="dxa"/>
                  <w:bottom w:w="0" w:type="dxa"/>
                  <w:right w:w="0" w:type="dxa"/>
                </w:tblCellMar>
              </w:tblPrEx>
              <w:trPr>
                <w:trHeight w:val="340" w:hRule="atLeast"/>
                <w:jc w:val="center"/>
              </w:trPr>
              <w:tc>
                <w:tcPr>
                  <w:tcW w:w="337" w:type="pct"/>
                  <w:tcBorders>
                    <w:top w:val="single" w:color="auto" w:sz="12" w:space="0"/>
                    <w:left w:val="single" w:color="auto" w:sz="12" w:space="0"/>
                    <w:bottom w:val="single" w:color="000000" w:sz="4" w:space="0"/>
                    <w:right w:val="single" w:color="000000" w:sz="4" w:space="0"/>
                  </w:tcBorders>
                  <w:noWrap/>
                  <w:tcMar>
                    <w:top w:w="15" w:type="dxa"/>
                    <w:left w:w="15" w:type="dxa"/>
                    <w:right w:w="15" w:type="dxa"/>
                  </w:tcMar>
                  <w:vAlign w:val="center"/>
                </w:tcPr>
                <w:p w14:paraId="4D262115">
                  <w:pPr>
                    <w:widowControl/>
                    <w:jc w:val="center"/>
                    <w:textAlignment w:val="center"/>
                    <w:rPr>
                      <w:rFonts w:ascii="Times New Roman" w:hAnsi="Times New Roman" w:eastAsia="宋体" w:cs="Times New Roman"/>
                      <w:szCs w:val="21"/>
                    </w:rPr>
                  </w:pPr>
                  <w:r>
                    <w:rPr>
                      <w:rFonts w:ascii="Times New Roman" w:hAnsi="Times New Roman" w:eastAsia="宋体" w:cs="Times New Roman"/>
                      <w:kern w:val="0"/>
                      <w:szCs w:val="21"/>
                      <w:lang w:bidi="ar"/>
                    </w:rPr>
                    <w:t>序号</w:t>
                  </w:r>
                </w:p>
              </w:tc>
              <w:tc>
                <w:tcPr>
                  <w:tcW w:w="1206" w:type="pct"/>
                  <w:tcBorders>
                    <w:top w:val="single" w:color="auto" w:sz="12" w:space="0"/>
                    <w:left w:val="single" w:color="000000" w:sz="4" w:space="0"/>
                    <w:bottom w:val="single" w:color="000000" w:sz="4" w:space="0"/>
                    <w:right w:val="single" w:color="000000" w:sz="4" w:space="0"/>
                  </w:tcBorders>
                  <w:noWrap/>
                  <w:tcMar>
                    <w:top w:w="15" w:type="dxa"/>
                    <w:left w:w="15" w:type="dxa"/>
                    <w:right w:w="15" w:type="dxa"/>
                  </w:tcMar>
                </w:tcPr>
                <w:p w14:paraId="4AD0077B">
                  <w:pPr>
                    <w:widowControl/>
                    <w:jc w:val="center"/>
                    <w:textAlignment w:val="center"/>
                    <w:rPr>
                      <w:rFonts w:ascii="Times New Roman" w:hAnsi="Times New Roman" w:eastAsia="宋体" w:cs="Times New Roman"/>
                      <w:szCs w:val="21"/>
                    </w:rPr>
                  </w:pPr>
                  <w:r>
                    <w:rPr>
                      <w:rFonts w:ascii="Times New Roman" w:hAnsi="Times New Roman" w:eastAsia="宋体" w:cs="Times New Roman"/>
                    </w:rPr>
                    <w:t>设备名称</w:t>
                  </w:r>
                </w:p>
              </w:tc>
              <w:tc>
                <w:tcPr>
                  <w:tcW w:w="1361" w:type="pct"/>
                  <w:tcBorders>
                    <w:top w:val="single" w:color="auto" w:sz="12" w:space="0"/>
                    <w:left w:val="single" w:color="000000" w:sz="4" w:space="0"/>
                    <w:bottom w:val="single" w:color="000000" w:sz="4" w:space="0"/>
                    <w:right w:val="single" w:color="000000" w:sz="4" w:space="0"/>
                  </w:tcBorders>
                  <w:noWrap/>
                  <w:tcMar>
                    <w:top w:w="15" w:type="dxa"/>
                    <w:left w:w="15" w:type="dxa"/>
                    <w:right w:w="15" w:type="dxa"/>
                  </w:tcMar>
                </w:tcPr>
                <w:p w14:paraId="29BBE642">
                  <w:pPr>
                    <w:widowControl/>
                    <w:jc w:val="center"/>
                    <w:textAlignment w:val="center"/>
                    <w:rPr>
                      <w:rFonts w:ascii="Times New Roman" w:hAnsi="Times New Roman" w:eastAsia="宋体" w:cs="Times New Roman"/>
                      <w:szCs w:val="21"/>
                    </w:rPr>
                  </w:pPr>
                  <w:r>
                    <w:rPr>
                      <w:rFonts w:ascii="Times New Roman" w:hAnsi="Times New Roman" w:eastAsia="宋体" w:cs="Times New Roman"/>
                    </w:rPr>
                    <w:t>规格</w:t>
                  </w:r>
                </w:p>
              </w:tc>
              <w:tc>
                <w:tcPr>
                  <w:tcW w:w="699" w:type="pct"/>
                  <w:tcBorders>
                    <w:top w:val="single" w:color="auto" w:sz="12" w:space="0"/>
                    <w:left w:val="single" w:color="000000" w:sz="4" w:space="0"/>
                    <w:bottom w:val="single" w:color="000000" w:sz="4" w:space="0"/>
                    <w:right w:val="single" w:color="000000" w:sz="4" w:space="0"/>
                  </w:tcBorders>
                  <w:tcMar>
                    <w:top w:w="15" w:type="dxa"/>
                    <w:left w:w="15" w:type="dxa"/>
                    <w:right w:w="15" w:type="dxa"/>
                  </w:tcMar>
                </w:tcPr>
                <w:p w14:paraId="287D2D06">
                  <w:pPr>
                    <w:widowControl/>
                    <w:jc w:val="center"/>
                    <w:textAlignment w:val="center"/>
                    <w:rPr>
                      <w:rFonts w:ascii="Times New Roman" w:hAnsi="Times New Roman" w:eastAsia="宋体" w:cs="Times New Roman"/>
                      <w:szCs w:val="21"/>
                    </w:rPr>
                  </w:pPr>
                  <w:r>
                    <w:rPr>
                      <w:rFonts w:ascii="Times New Roman" w:hAnsi="Times New Roman" w:eastAsia="宋体" w:cs="Times New Roman"/>
                    </w:rPr>
                    <w:t>单位</w:t>
                  </w:r>
                </w:p>
              </w:tc>
              <w:tc>
                <w:tcPr>
                  <w:tcW w:w="699" w:type="pct"/>
                  <w:tcBorders>
                    <w:top w:val="single" w:color="auto" w:sz="12" w:space="0"/>
                    <w:left w:val="single" w:color="000000" w:sz="4" w:space="0"/>
                    <w:bottom w:val="single" w:color="000000" w:sz="4" w:space="0"/>
                    <w:right w:val="single" w:color="000000" w:sz="4" w:space="0"/>
                  </w:tcBorders>
                </w:tcPr>
                <w:p w14:paraId="6534F7C0">
                  <w:pPr>
                    <w:widowControl/>
                    <w:jc w:val="center"/>
                    <w:textAlignment w:val="center"/>
                    <w:rPr>
                      <w:rFonts w:ascii="Times New Roman" w:hAnsi="Times New Roman" w:eastAsia="宋体" w:cs="Times New Roman"/>
                      <w:kern w:val="0"/>
                      <w:szCs w:val="21"/>
                      <w:lang w:bidi="ar"/>
                    </w:rPr>
                  </w:pPr>
                  <w:r>
                    <w:rPr>
                      <w:rFonts w:ascii="Times New Roman" w:hAnsi="Times New Roman" w:eastAsia="宋体" w:cs="Times New Roman"/>
                    </w:rPr>
                    <w:t>单线数量</w:t>
                  </w:r>
                </w:p>
              </w:tc>
              <w:tc>
                <w:tcPr>
                  <w:tcW w:w="698" w:type="pct"/>
                  <w:tcBorders>
                    <w:top w:val="single" w:color="auto" w:sz="12" w:space="0"/>
                    <w:left w:val="single" w:color="000000" w:sz="4" w:space="0"/>
                    <w:bottom w:val="single" w:color="000000" w:sz="4" w:space="0"/>
                    <w:right w:val="single" w:color="auto" w:sz="12" w:space="0"/>
                  </w:tcBorders>
                </w:tcPr>
                <w:p w14:paraId="3C115FE9">
                  <w:pPr>
                    <w:widowControl/>
                    <w:jc w:val="center"/>
                    <w:textAlignment w:val="center"/>
                    <w:rPr>
                      <w:rFonts w:ascii="Times New Roman" w:hAnsi="Times New Roman" w:eastAsia="宋体" w:cs="Times New Roman"/>
                      <w:kern w:val="0"/>
                      <w:szCs w:val="21"/>
                      <w:lang w:bidi="ar"/>
                    </w:rPr>
                  </w:pPr>
                  <w:r>
                    <w:rPr>
                      <w:rFonts w:ascii="Times New Roman" w:hAnsi="Times New Roman" w:eastAsia="宋体" w:cs="Times New Roman"/>
                    </w:rPr>
                    <w:t>数量</w:t>
                  </w:r>
                </w:p>
              </w:tc>
            </w:tr>
            <w:tr w14:paraId="66094761">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6E8686AB">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9E936F3">
                  <w:pPr>
                    <w:widowControl/>
                    <w:jc w:val="center"/>
                    <w:textAlignment w:val="center"/>
                    <w:rPr>
                      <w:rFonts w:ascii="Times New Roman" w:hAnsi="Times New Roman" w:eastAsia="宋体" w:cs="Times New Roman"/>
                      <w:szCs w:val="21"/>
                    </w:rPr>
                  </w:pPr>
                  <w:r>
                    <w:rPr>
                      <w:rFonts w:ascii="Times New Roman" w:hAnsi="Times New Roman" w:eastAsia="宋体" w:cs="Times New Roman"/>
                    </w:rPr>
                    <w:t>硅块料仓</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2EDCBCA">
                  <w:pPr>
                    <w:widowControl/>
                    <w:jc w:val="center"/>
                    <w:textAlignment w:val="center"/>
                    <w:rPr>
                      <w:rFonts w:ascii="Times New Roman" w:hAnsi="Times New Roman" w:eastAsia="宋体" w:cs="Times New Roman"/>
                      <w:szCs w:val="21"/>
                    </w:rPr>
                  </w:pPr>
                  <w:r>
                    <w:rPr>
                      <w:rFonts w:ascii="Times New Roman" w:hAnsi="Times New Roman" w:eastAsia="宋体" w:cs="Times New Roman"/>
                    </w:rPr>
                    <w:t>7m</w:t>
                  </w:r>
                  <w:r>
                    <w:rPr>
                      <w:rFonts w:ascii="Times New Roman" w:hAnsi="Times New Roman" w:eastAsia="宋体" w:cs="Times New Roman"/>
                      <w:vertAlign w:val="superscript"/>
                    </w:rPr>
                    <w:t>3</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7AFD11C">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6EF5F902">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000000" w:sz="4" w:space="0"/>
                    <w:right w:val="single" w:color="auto" w:sz="12" w:space="0"/>
                  </w:tcBorders>
                </w:tcPr>
                <w:p w14:paraId="6D5EB9C2">
                  <w:pPr>
                    <w:widowControl/>
                    <w:jc w:val="center"/>
                    <w:rPr>
                      <w:rFonts w:ascii="Times New Roman" w:hAnsi="Times New Roman" w:eastAsia="宋体" w:cs="Times New Roman"/>
                      <w:szCs w:val="21"/>
                    </w:rPr>
                  </w:pPr>
                  <w:r>
                    <w:rPr>
                      <w:rFonts w:ascii="Times New Roman" w:hAnsi="Times New Roman" w:eastAsia="宋体" w:cs="Times New Roman"/>
                    </w:rPr>
                    <w:t>3台</w:t>
                  </w:r>
                </w:p>
              </w:tc>
            </w:tr>
            <w:tr w14:paraId="1CF41D6C">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D04307A">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2</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4C482CC">
                  <w:pPr>
                    <w:widowControl/>
                    <w:jc w:val="center"/>
                    <w:textAlignment w:val="center"/>
                    <w:rPr>
                      <w:rFonts w:ascii="Times New Roman" w:hAnsi="Times New Roman" w:eastAsia="宋体" w:cs="Times New Roman"/>
                      <w:szCs w:val="21"/>
                    </w:rPr>
                  </w:pPr>
                  <w:r>
                    <w:rPr>
                      <w:rFonts w:ascii="Times New Roman" w:hAnsi="Times New Roman" w:eastAsia="宋体" w:cs="Times New Roman"/>
                    </w:rPr>
                    <w:t>细碎料仓</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1DABB14">
                  <w:pPr>
                    <w:widowControl/>
                    <w:jc w:val="center"/>
                    <w:textAlignment w:val="center"/>
                    <w:rPr>
                      <w:rFonts w:ascii="Times New Roman" w:hAnsi="Times New Roman" w:eastAsia="宋体" w:cs="Times New Roman"/>
                      <w:szCs w:val="21"/>
                    </w:rPr>
                  </w:pPr>
                  <w:r>
                    <w:rPr>
                      <w:rFonts w:ascii="Times New Roman" w:hAnsi="Times New Roman" w:eastAsia="宋体" w:cs="Times New Roman"/>
                    </w:rPr>
                    <w:t>5m</w:t>
                  </w:r>
                  <w:r>
                    <w:rPr>
                      <w:rFonts w:ascii="Times New Roman" w:hAnsi="Times New Roman" w:eastAsia="宋体" w:cs="Times New Roman"/>
                      <w:vertAlign w:val="superscript"/>
                    </w:rPr>
                    <w:t>3</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2F47C88E">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6FE5C4B4">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5CB8146A">
                  <w:pPr>
                    <w:widowControl/>
                    <w:jc w:val="center"/>
                    <w:rPr>
                      <w:rFonts w:ascii="Times New Roman" w:hAnsi="Times New Roman" w:eastAsia="宋体" w:cs="Times New Roman"/>
                      <w:szCs w:val="21"/>
                    </w:rPr>
                  </w:pPr>
                  <w:r>
                    <w:rPr>
                      <w:rFonts w:ascii="Times New Roman" w:hAnsi="Times New Roman" w:eastAsia="宋体" w:cs="Times New Roman"/>
                    </w:rPr>
                    <w:t>3台</w:t>
                  </w:r>
                </w:p>
              </w:tc>
            </w:tr>
            <w:tr w14:paraId="25982BEA">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5C1975D3">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3</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7CA0554">
                  <w:pPr>
                    <w:widowControl/>
                    <w:jc w:val="center"/>
                    <w:textAlignment w:val="center"/>
                    <w:rPr>
                      <w:rFonts w:ascii="Times New Roman" w:hAnsi="Times New Roman" w:eastAsia="宋体" w:cs="Times New Roman"/>
                      <w:szCs w:val="21"/>
                    </w:rPr>
                  </w:pPr>
                  <w:r>
                    <w:rPr>
                      <w:rFonts w:ascii="Times New Roman" w:hAnsi="Times New Roman" w:eastAsia="宋体" w:cs="Times New Roman"/>
                    </w:rPr>
                    <w:t>除尘器料仓</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C3B5402">
                  <w:pPr>
                    <w:widowControl/>
                    <w:jc w:val="center"/>
                    <w:textAlignment w:val="center"/>
                    <w:rPr>
                      <w:rFonts w:ascii="Times New Roman" w:hAnsi="Times New Roman" w:eastAsia="宋体" w:cs="Times New Roman"/>
                      <w:szCs w:val="21"/>
                    </w:rPr>
                  </w:pPr>
                  <w:r>
                    <w:rPr>
                      <w:rFonts w:ascii="Times New Roman" w:hAnsi="Times New Roman" w:eastAsia="宋体" w:cs="Times New Roman"/>
                    </w:rPr>
                    <w:t>5m</w:t>
                  </w:r>
                  <w:r>
                    <w:rPr>
                      <w:rFonts w:ascii="Times New Roman" w:hAnsi="Times New Roman" w:eastAsia="宋体" w:cs="Times New Roman"/>
                      <w:vertAlign w:val="superscript"/>
                    </w:rPr>
                    <w:t>3</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B12D188">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6BFD0B2C">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65A27CBC">
                  <w:pPr>
                    <w:widowControl/>
                    <w:jc w:val="center"/>
                    <w:rPr>
                      <w:rFonts w:ascii="Times New Roman" w:hAnsi="Times New Roman" w:eastAsia="宋体" w:cs="Times New Roman"/>
                      <w:szCs w:val="21"/>
                    </w:rPr>
                  </w:pPr>
                  <w:r>
                    <w:rPr>
                      <w:rFonts w:ascii="Times New Roman" w:hAnsi="Times New Roman" w:eastAsia="宋体" w:cs="Times New Roman"/>
                    </w:rPr>
                    <w:t>3台</w:t>
                  </w:r>
                </w:p>
              </w:tc>
            </w:tr>
            <w:tr w14:paraId="6692D4D3">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59D96DE6">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4</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0559EBBF">
                  <w:pPr>
                    <w:widowControl/>
                    <w:jc w:val="center"/>
                    <w:textAlignment w:val="center"/>
                    <w:rPr>
                      <w:rFonts w:ascii="Times New Roman" w:hAnsi="Times New Roman" w:eastAsia="宋体" w:cs="Times New Roman"/>
                      <w:szCs w:val="21"/>
                    </w:rPr>
                  </w:pPr>
                  <w:r>
                    <w:rPr>
                      <w:rFonts w:ascii="Times New Roman" w:hAnsi="Times New Roman" w:eastAsia="宋体" w:cs="Times New Roman"/>
                    </w:rPr>
                    <w:t>分级机前料仓</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5B5B409">
                  <w:pPr>
                    <w:widowControl/>
                    <w:jc w:val="center"/>
                    <w:textAlignment w:val="center"/>
                    <w:rPr>
                      <w:rFonts w:ascii="Times New Roman" w:hAnsi="Times New Roman" w:eastAsia="宋体" w:cs="Times New Roman"/>
                      <w:szCs w:val="21"/>
                    </w:rPr>
                  </w:pPr>
                  <w:r>
                    <w:rPr>
                      <w:rFonts w:ascii="Times New Roman" w:hAnsi="Times New Roman" w:eastAsia="宋体" w:cs="Times New Roman"/>
                    </w:rPr>
                    <w:t>5m</w:t>
                  </w:r>
                  <w:r>
                    <w:rPr>
                      <w:rFonts w:ascii="Times New Roman" w:hAnsi="Times New Roman" w:eastAsia="宋体" w:cs="Times New Roman"/>
                      <w:vertAlign w:val="superscript"/>
                    </w:rPr>
                    <w:t>3</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6C89936">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58AA5B39">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1A7A72CD">
                  <w:pPr>
                    <w:widowControl/>
                    <w:jc w:val="center"/>
                    <w:rPr>
                      <w:rFonts w:ascii="Times New Roman" w:hAnsi="Times New Roman" w:eastAsia="宋体" w:cs="Times New Roman"/>
                      <w:szCs w:val="21"/>
                    </w:rPr>
                  </w:pPr>
                  <w:r>
                    <w:rPr>
                      <w:rFonts w:ascii="Times New Roman" w:hAnsi="Times New Roman" w:eastAsia="宋体" w:cs="Times New Roman"/>
                    </w:rPr>
                    <w:t>1台</w:t>
                  </w:r>
                </w:p>
              </w:tc>
            </w:tr>
            <w:tr w14:paraId="1296957F">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9FB7EE4">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5</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03FBB4F">
                  <w:pPr>
                    <w:widowControl/>
                    <w:jc w:val="center"/>
                    <w:textAlignment w:val="center"/>
                    <w:rPr>
                      <w:rFonts w:ascii="Times New Roman" w:hAnsi="Times New Roman" w:eastAsia="宋体" w:cs="Times New Roman"/>
                      <w:szCs w:val="21"/>
                    </w:rPr>
                  </w:pPr>
                  <w:r>
                    <w:rPr>
                      <w:rFonts w:ascii="Times New Roman" w:hAnsi="Times New Roman" w:eastAsia="宋体" w:cs="Times New Roman"/>
                    </w:rPr>
                    <w:t>电机振动给料机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8018E4F">
                  <w:pPr>
                    <w:widowControl/>
                    <w:jc w:val="center"/>
                    <w:textAlignment w:val="center"/>
                    <w:rPr>
                      <w:rFonts w:ascii="Times New Roman" w:hAnsi="Times New Roman" w:eastAsia="宋体" w:cs="Times New Roman"/>
                      <w:szCs w:val="21"/>
                    </w:rPr>
                  </w:pPr>
                  <w:r>
                    <w:rPr>
                      <w:rFonts w:ascii="Times New Roman" w:hAnsi="Times New Roman" w:eastAsia="宋体" w:cs="Times New Roman"/>
                    </w:rPr>
                    <w:t>GZG70-100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EBD208E">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08968F60">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13071AAA">
                  <w:pPr>
                    <w:widowControl/>
                    <w:jc w:val="center"/>
                    <w:rPr>
                      <w:rFonts w:ascii="Times New Roman" w:hAnsi="Times New Roman" w:eastAsia="宋体" w:cs="Times New Roman"/>
                      <w:szCs w:val="21"/>
                    </w:rPr>
                  </w:pPr>
                  <w:r>
                    <w:rPr>
                      <w:rFonts w:ascii="Times New Roman" w:hAnsi="Times New Roman" w:eastAsia="宋体" w:cs="Times New Roman"/>
                    </w:rPr>
                    <w:t>3台</w:t>
                  </w:r>
                </w:p>
              </w:tc>
            </w:tr>
            <w:tr w14:paraId="7778F152">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35F1E348">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6</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BA91933">
                  <w:pPr>
                    <w:widowControl/>
                    <w:jc w:val="center"/>
                    <w:textAlignment w:val="center"/>
                    <w:rPr>
                      <w:rFonts w:ascii="Times New Roman" w:hAnsi="Times New Roman" w:eastAsia="宋体" w:cs="Times New Roman"/>
                      <w:szCs w:val="21"/>
                    </w:rPr>
                  </w:pPr>
                  <w:r>
                    <w:rPr>
                      <w:rFonts w:ascii="Times New Roman" w:hAnsi="Times New Roman" w:eastAsia="宋体" w:cs="Times New Roman"/>
                    </w:rPr>
                    <w:t>颚式破碎机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1387D6A">
                  <w:pPr>
                    <w:widowControl/>
                    <w:jc w:val="center"/>
                    <w:textAlignment w:val="center"/>
                    <w:rPr>
                      <w:rFonts w:ascii="Times New Roman" w:hAnsi="Times New Roman" w:eastAsia="宋体" w:cs="Times New Roman"/>
                      <w:szCs w:val="21"/>
                    </w:rPr>
                  </w:pPr>
                  <w:r>
                    <w:rPr>
                      <w:rFonts w:ascii="Times New Roman" w:hAnsi="Times New Roman" w:eastAsia="宋体" w:cs="Times New Roman"/>
                    </w:rPr>
                    <w:t>PE150×750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2F3014B7">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629775B6">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678BC106">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072E0242">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75CED770">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B2BDF3F">
                  <w:pPr>
                    <w:widowControl/>
                    <w:jc w:val="center"/>
                    <w:textAlignment w:val="center"/>
                    <w:rPr>
                      <w:rFonts w:ascii="Times New Roman" w:hAnsi="Times New Roman" w:eastAsia="宋体" w:cs="Times New Roman"/>
                      <w:szCs w:val="21"/>
                    </w:rPr>
                  </w:pPr>
                  <w:r>
                    <w:rPr>
                      <w:rFonts w:ascii="Times New Roman" w:hAnsi="Times New Roman" w:eastAsia="宋体" w:cs="Times New Roman"/>
                    </w:rPr>
                    <w:t>板链式斗提机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D203B97">
                  <w:pPr>
                    <w:widowControl/>
                    <w:jc w:val="center"/>
                    <w:textAlignment w:val="center"/>
                    <w:rPr>
                      <w:rFonts w:ascii="Times New Roman" w:hAnsi="Times New Roman" w:eastAsia="宋体" w:cs="Times New Roman"/>
                      <w:szCs w:val="21"/>
                    </w:rPr>
                  </w:pPr>
                  <w:r>
                    <w:rPr>
                      <w:rFonts w:ascii="Times New Roman" w:hAnsi="Times New Roman" w:eastAsia="宋体" w:cs="Times New Roman"/>
                    </w:rPr>
                    <w:t>NE50-10.65m</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589B098A">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4EC9CC5F">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2EB23F2A">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53EFDE74">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B1942D8">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8</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3261A07">
                  <w:pPr>
                    <w:widowControl/>
                    <w:jc w:val="center"/>
                    <w:textAlignment w:val="center"/>
                    <w:rPr>
                      <w:rFonts w:ascii="Times New Roman" w:hAnsi="Times New Roman" w:eastAsia="宋体" w:cs="Times New Roman"/>
                      <w:szCs w:val="21"/>
                    </w:rPr>
                  </w:pPr>
                  <w:r>
                    <w:rPr>
                      <w:rFonts w:ascii="Times New Roman" w:hAnsi="Times New Roman" w:eastAsia="宋体" w:cs="Times New Roman"/>
                    </w:rPr>
                    <w:t>永磁除铁器</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7C17C46">
                  <w:pPr>
                    <w:widowControl/>
                    <w:jc w:val="center"/>
                    <w:textAlignment w:val="center"/>
                    <w:rPr>
                      <w:rFonts w:ascii="Times New Roman" w:hAnsi="Times New Roman" w:eastAsia="宋体" w:cs="Times New Roman"/>
                      <w:szCs w:val="21"/>
                    </w:rPr>
                  </w:pPr>
                  <w:r>
                    <w:rPr>
                      <w:rFonts w:ascii="Times New Roman" w:hAnsi="Times New Roman" w:eastAsia="宋体" w:cs="Times New Roman"/>
                    </w:rPr>
                    <w:t>RCYA-50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64C95B53">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1BC16D73">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669096A3">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652CA67C">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3435EFEB">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9</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441D3CE">
                  <w:pPr>
                    <w:widowControl/>
                    <w:jc w:val="center"/>
                    <w:textAlignment w:val="center"/>
                    <w:rPr>
                      <w:rFonts w:ascii="Times New Roman" w:hAnsi="Times New Roman" w:eastAsia="宋体" w:cs="Times New Roman"/>
                      <w:szCs w:val="21"/>
                    </w:rPr>
                  </w:pPr>
                  <w:r>
                    <w:rPr>
                      <w:rFonts w:ascii="Times New Roman" w:hAnsi="Times New Roman" w:eastAsia="宋体" w:cs="Times New Roman"/>
                    </w:rPr>
                    <w:t>轴流风机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C67399D">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5F1A0337">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03FA4441">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auto" w:sz="4" w:space="0"/>
                    <w:right w:val="single" w:color="auto" w:sz="12" w:space="0"/>
                  </w:tcBorders>
                </w:tcPr>
                <w:p w14:paraId="33191AFA">
                  <w:pPr>
                    <w:widowControl/>
                    <w:jc w:val="center"/>
                    <w:rPr>
                      <w:rFonts w:ascii="Times New Roman" w:hAnsi="Times New Roman" w:eastAsia="宋体" w:cs="Times New Roman"/>
                      <w:szCs w:val="21"/>
                    </w:rPr>
                  </w:pPr>
                  <w:r>
                    <w:rPr>
                      <w:rFonts w:ascii="Times New Roman" w:hAnsi="Times New Roman" w:eastAsia="宋体" w:cs="Times New Roman"/>
                    </w:rPr>
                    <w:t>2</w:t>
                  </w:r>
                </w:p>
              </w:tc>
            </w:tr>
            <w:tr w14:paraId="23C93404">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7CFBCFB1">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10</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35BA1AD">
                  <w:pPr>
                    <w:widowControl/>
                    <w:jc w:val="center"/>
                    <w:textAlignment w:val="center"/>
                    <w:rPr>
                      <w:rFonts w:ascii="Times New Roman" w:hAnsi="Times New Roman" w:eastAsia="宋体" w:cs="Times New Roman"/>
                      <w:szCs w:val="21"/>
                    </w:rPr>
                  </w:pPr>
                  <w:r>
                    <w:rPr>
                      <w:rFonts w:ascii="Times New Roman" w:hAnsi="Times New Roman" w:eastAsia="宋体" w:cs="Times New Roman"/>
                    </w:rPr>
                    <w:t>密封型电机振动给料机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D5644BC">
                  <w:pPr>
                    <w:widowControl/>
                    <w:jc w:val="center"/>
                    <w:textAlignment w:val="center"/>
                    <w:rPr>
                      <w:rFonts w:ascii="Times New Roman" w:hAnsi="Times New Roman" w:eastAsia="宋体" w:cs="Times New Roman"/>
                      <w:szCs w:val="21"/>
                    </w:rPr>
                  </w:pPr>
                  <w:r>
                    <w:rPr>
                      <w:rFonts w:ascii="Times New Roman" w:hAnsi="Times New Roman" w:eastAsia="宋体" w:cs="Times New Roman"/>
                    </w:rPr>
                    <w:t>GZGF50-130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197C6CE">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36B26C88">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75FA70E0">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54052683">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78DD53FE">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11</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DEC2F9B">
                  <w:pPr>
                    <w:widowControl/>
                    <w:jc w:val="center"/>
                    <w:textAlignment w:val="center"/>
                    <w:rPr>
                      <w:rFonts w:ascii="Times New Roman" w:hAnsi="Times New Roman" w:eastAsia="宋体" w:cs="Times New Roman"/>
                      <w:szCs w:val="21"/>
                    </w:rPr>
                  </w:pPr>
                  <w:r>
                    <w:rPr>
                      <w:rFonts w:ascii="Times New Roman" w:hAnsi="Times New Roman" w:eastAsia="宋体" w:cs="Times New Roman"/>
                    </w:rPr>
                    <w:t>劈裂磨机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8EB42B9">
                  <w:pPr>
                    <w:widowControl/>
                    <w:jc w:val="center"/>
                    <w:textAlignment w:val="center"/>
                    <w:rPr>
                      <w:rFonts w:ascii="Times New Roman" w:hAnsi="Times New Roman" w:eastAsia="宋体" w:cs="Times New Roman"/>
                      <w:szCs w:val="21"/>
                    </w:rPr>
                  </w:pPr>
                  <w:r>
                    <w:rPr>
                      <w:rFonts w:ascii="Times New Roman" w:hAnsi="Times New Roman" w:eastAsia="宋体" w:cs="Times New Roman"/>
                    </w:rPr>
                    <w:t>1300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46B7EE3">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2AEF8F7A">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435FF9F6">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14231C70">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64A348C1">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12</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72AF3CB">
                  <w:pPr>
                    <w:widowControl/>
                    <w:jc w:val="center"/>
                    <w:textAlignment w:val="center"/>
                    <w:rPr>
                      <w:rFonts w:ascii="Times New Roman" w:hAnsi="Times New Roman" w:eastAsia="宋体" w:cs="Times New Roman"/>
                      <w:szCs w:val="21"/>
                    </w:rPr>
                  </w:pPr>
                  <w:r>
                    <w:rPr>
                      <w:rFonts w:ascii="Times New Roman" w:hAnsi="Times New Roman" w:eastAsia="宋体" w:cs="Times New Roman"/>
                    </w:rPr>
                    <w:t>板链式斗提机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5D7B139">
                  <w:pPr>
                    <w:widowControl/>
                    <w:jc w:val="center"/>
                    <w:textAlignment w:val="center"/>
                    <w:rPr>
                      <w:rFonts w:ascii="Times New Roman" w:hAnsi="Times New Roman" w:eastAsia="宋体" w:cs="Times New Roman"/>
                      <w:szCs w:val="21"/>
                    </w:rPr>
                  </w:pPr>
                  <w:r>
                    <w:rPr>
                      <w:rFonts w:ascii="Times New Roman" w:hAnsi="Times New Roman" w:eastAsia="宋体" w:cs="Times New Roman"/>
                    </w:rPr>
                    <w:t>NE50-17.5m</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6EB6C8EC">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7546F141">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3DA23DA1">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7D16DA5E">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206AB16">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13</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4DE3FE2">
                  <w:pPr>
                    <w:widowControl/>
                    <w:jc w:val="center"/>
                    <w:textAlignment w:val="center"/>
                    <w:rPr>
                      <w:rFonts w:ascii="Times New Roman" w:hAnsi="Times New Roman" w:eastAsia="宋体" w:cs="Times New Roman"/>
                      <w:szCs w:val="21"/>
                    </w:rPr>
                  </w:pPr>
                  <w:r>
                    <w:rPr>
                      <w:rFonts w:ascii="Times New Roman" w:hAnsi="Times New Roman" w:eastAsia="宋体" w:cs="Times New Roman"/>
                    </w:rPr>
                    <w:t>方型摇摆筛</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0D45B997">
                  <w:pPr>
                    <w:widowControl/>
                    <w:jc w:val="center"/>
                    <w:textAlignment w:val="center"/>
                    <w:rPr>
                      <w:rFonts w:ascii="Times New Roman" w:hAnsi="Times New Roman" w:eastAsia="宋体" w:cs="Times New Roman"/>
                      <w:szCs w:val="21"/>
                    </w:rPr>
                  </w:pPr>
                  <w:r>
                    <w:rPr>
                      <w:rFonts w:ascii="Times New Roman" w:hAnsi="Times New Roman" w:eastAsia="宋体" w:cs="Times New Roman"/>
                    </w:rPr>
                    <w:t>FYB1536-3S</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46ED8C54">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222D4E61">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3F24AD3D">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29F15039">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70C446D9">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14</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4DEF908">
                  <w:pPr>
                    <w:widowControl/>
                    <w:jc w:val="center"/>
                    <w:textAlignment w:val="center"/>
                    <w:rPr>
                      <w:rFonts w:ascii="Times New Roman" w:hAnsi="Times New Roman" w:eastAsia="宋体" w:cs="Times New Roman"/>
                      <w:szCs w:val="21"/>
                    </w:rPr>
                  </w:pPr>
                  <w:r>
                    <w:rPr>
                      <w:rFonts w:ascii="Times New Roman" w:hAnsi="Times New Roman" w:eastAsia="宋体" w:cs="Times New Roman"/>
                    </w:rPr>
                    <w:t>旋风分离器</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90467AB">
                  <w:pPr>
                    <w:widowControl/>
                    <w:jc w:val="center"/>
                    <w:textAlignment w:val="center"/>
                    <w:rPr>
                      <w:rFonts w:ascii="Times New Roman" w:hAnsi="Times New Roman" w:eastAsia="宋体" w:cs="Times New Roman"/>
                      <w:szCs w:val="21"/>
                    </w:rPr>
                  </w:pPr>
                  <w:r>
                    <w:rPr>
                      <w:rFonts w:ascii="Times New Roman" w:hAnsi="Times New Roman" w:eastAsia="宋体" w:cs="Times New Roman"/>
                    </w:rPr>
                    <w:t>XF-750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6909FB10">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3EF17CE3">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auto" w:sz="4" w:space="0"/>
                    <w:right w:val="single" w:color="auto" w:sz="12" w:space="0"/>
                  </w:tcBorders>
                </w:tcPr>
                <w:p w14:paraId="5150F5C4">
                  <w:pPr>
                    <w:widowControl/>
                    <w:jc w:val="center"/>
                    <w:rPr>
                      <w:rFonts w:ascii="Times New Roman" w:hAnsi="Times New Roman" w:eastAsia="宋体" w:cs="Times New Roman"/>
                      <w:szCs w:val="21"/>
                    </w:rPr>
                  </w:pPr>
                  <w:r>
                    <w:rPr>
                      <w:rFonts w:ascii="Times New Roman" w:hAnsi="Times New Roman" w:eastAsia="宋体" w:cs="Times New Roman"/>
                    </w:rPr>
                    <w:t>1</w:t>
                  </w:r>
                </w:p>
              </w:tc>
            </w:tr>
            <w:tr w14:paraId="4E43468C">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99F6364">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15</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2B4AE25">
                  <w:pPr>
                    <w:widowControl/>
                    <w:jc w:val="center"/>
                    <w:textAlignment w:val="center"/>
                    <w:rPr>
                      <w:rFonts w:ascii="Times New Roman" w:hAnsi="Times New Roman" w:eastAsia="宋体" w:cs="Times New Roman"/>
                      <w:szCs w:val="21"/>
                    </w:rPr>
                  </w:pPr>
                  <w:r>
                    <w:rPr>
                      <w:rFonts w:ascii="Times New Roman" w:hAnsi="Times New Roman" w:eastAsia="宋体" w:cs="Times New Roman"/>
                    </w:rPr>
                    <w:t>圆摇摆筛</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889B1D5">
                  <w:pPr>
                    <w:widowControl/>
                    <w:jc w:val="center"/>
                    <w:textAlignment w:val="center"/>
                    <w:rPr>
                      <w:rFonts w:ascii="Times New Roman" w:hAnsi="Times New Roman" w:eastAsia="宋体" w:cs="Times New Roman"/>
                      <w:szCs w:val="21"/>
                    </w:rPr>
                  </w:pPr>
                  <w:r>
                    <w:rPr>
                      <w:rFonts w:ascii="Times New Roman" w:hAnsi="Times New Roman" w:eastAsia="宋体" w:cs="Times New Roman"/>
                    </w:rPr>
                    <w:t>YBS1600-4S</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657823E6">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4D06217F">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auto" w:sz="4" w:space="0"/>
                    <w:right w:val="single" w:color="auto" w:sz="12" w:space="0"/>
                  </w:tcBorders>
                </w:tcPr>
                <w:p w14:paraId="7F3FD109">
                  <w:pPr>
                    <w:widowControl/>
                    <w:jc w:val="center"/>
                    <w:rPr>
                      <w:rFonts w:ascii="Times New Roman" w:hAnsi="Times New Roman" w:eastAsia="宋体" w:cs="Times New Roman"/>
                      <w:szCs w:val="21"/>
                    </w:rPr>
                  </w:pPr>
                  <w:r>
                    <w:rPr>
                      <w:rFonts w:ascii="Times New Roman" w:hAnsi="Times New Roman" w:eastAsia="宋体" w:cs="Times New Roman"/>
                    </w:rPr>
                    <w:t>1</w:t>
                  </w:r>
                </w:p>
              </w:tc>
            </w:tr>
            <w:tr w14:paraId="70C404C1">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5F64181">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16</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33BA0C4">
                  <w:pPr>
                    <w:widowControl/>
                    <w:jc w:val="center"/>
                    <w:textAlignment w:val="center"/>
                    <w:rPr>
                      <w:rFonts w:ascii="Times New Roman" w:hAnsi="Times New Roman" w:eastAsia="宋体" w:cs="Times New Roman"/>
                      <w:szCs w:val="21"/>
                    </w:rPr>
                  </w:pPr>
                  <w:r>
                    <w:rPr>
                      <w:rFonts w:ascii="Times New Roman" w:hAnsi="Times New Roman" w:eastAsia="宋体" w:cs="Times New Roman"/>
                    </w:rPr>
                    <w:t>安全筛</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193742B">
                  <w:pPr>
                    <w:widowControl/>
                    <w:jc w:val="center"/>
                    <w:textAlignment w:val="center"/>
                    <w:rPr>
                      <w:rFonts w:ascii="Times New Roman" w:hAnsi="Times New Roman" w:eastAsia="宋体" w:cs="Times New Roman"/>
                      <w:szCs w:val="21"/>
                    </w:rPr>
                  </w:pPr>
                  <w:r>
                    <w:rPr>
                      <w:rFonts w:ascii="Times New Roman" w:hAnsi="Times New Roman" w:eastAsia="宋体" w:cs="Times New Roman"/>
                    </w:rPr>
                    <w:t>WLAQ-1210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00DC5DDB">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210951EF">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7D98FA37">
                  <w:pPr>
                    <w:widowControl/>
                    <w:jc w:val="center"/>
                    <w:rPr>
                      <w:rFonts w:ascii="Times New Roman" w:hAnsi="Times New Roman" w:eastAsia="宋体" w:cs="Times New Roman"/>
                      <w:szCs w:val="21"/>
                    </w:rPr>
                  </w:pPr>
                  <w:r>
                    <w:rPr>
                      <w:rFonts w:ascii="Times New Roman" w:hAnsi="Times New Roman" w:eastAsia="宋体" w:cs="Times New Roman"/>
                    </w:rPr>
                    <w:t>3</w:t>
                  </w:r>
                </w:p>
              </w:tc>
            </w:tr>
            <w:tr w14:paraId="43B2E2A0">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AF75095">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17</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CDB3054">
                  <w:pPr>
                    <w:widowControl/>
                    <w:jc w:val="center"/>
                    <w:textAlignment w:val="center"/>
                    <w:rPr>
                      <w:rFonts w:ascii="Times New Roman" w:hAnsi="Times New Roman" w:eastAsia="宋体" w:cs="Times New Roman"/>
                      <w:szCs w:val="21"/>
                    </w:rPr>
                  </w:pPr>
                  <w:r>
                    <w:rPr>
                      <w:rFonts w:ascii="Times New Roman" w:hAnsi="Times New Roman" w:eastAsia="宋体" w:cs="Times New Roman"/>
                    </w:rPr>
                    <w:t>气箱脉冲收尘器</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FD9FC4E">
                  <w:pPr>
                    <w:widowControl/>
                    <w:jc w:val="center"/>
                    <w:textAlignment w:val="center"/>
                    <w:rPr>
                      <w:rFonts w:ascii="Times New Roman" w:hAnsi="Times New Roman" w:eastAsia="宋体" w:cs="Times New Roman"/>
                      <w:szCs w:val="21"/>
                    </w:rPr>
                  </w:pPr>
                  <w:r>
                    <w:rPr>
                      <w:rFonts w:ascii="Times New Roman" w:hAnsi="Times New Roman" w:eastAsia="宋体" w:cs="Times New Roman"/>
                    </w:rPr>
                    <w:t>JLPM4A-120</w:t>
                  </w:r>
                </w:p>
              </w:tc>
              <w:tc>
                <w:tcPr>
                  <w:tcW w:w="699"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tcPr>
                <w:p w14:paraId="58B1047E">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auto" w:sz="4" w:space="0"/>
                    <w:right w:val="single" w:color="000000" w:sz="4" w:space="0"/>
                  </w:tcBorders>
                </w:tcPr>
                <w:p w14:paraId="1A062C8B">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auto" w:sz="4" w:space="0"/>
                    <w:right w:val="single" w:color="auto" w:sz="12" w:space="0"/>
                  </w:tcBorders>
                </w:tcPr>
                <w:p w14:paraId="79E79102">
                  <w:pPr>
                    <w:widowControl/>
                    <w:jc w:val="center"/>
                    <w:rPr>
                      <w:rFonts w:ascii="Times New Roman" w:hAnsi="Times New Roman" w:eastAsia="宋体" w:cs="Times New Roman"/>
                      <w:szCs w:val="21"/>
                    </w:rPr>
                  </w:pPr>
                  <w:r>
                    <w:rPr>
                      <w:rFonts w:ascii="Times New Roman" w:hAnsi="Times New Roman" w:eastAsia="宋体" w:cs="Times New Roman"/>
                    </w:rPr>
                    <w:t>4</w:t>
                  </w:r>
                </w:p>
              </w:tc>
            </w:tr>
            <w:tr w14:paraId="07B40CD9">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40ACF95A">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18</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6E6DABF">
                  <w:pPr>
                    <w:widowControl/>
                    <w:jc w:val="center"/>
                    <w:textAlignment w:val="center"/>
                    <w:rPr>
                      <w:rFonts w:ascii="Times New Roman" w:hAnsi="Times New Roman" w:eastAsia="宋体" w:cs="Times New Roman"/>
                      <w:szCs w:val="21"/>
                    </w:rPr>
                  </w:pPr>
                  <w:r>
                    <w:rPr>
                      <w:rFonts w:ascii="Times New Roman" w:hAnsi="Times New Roman" w:eastAsia="宋体" w:cs="Times New Roman"/>
                    </w:rPr>
                    <w:t>分级机系统</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1629E31">
                  <w:pPr>
                    <w:widowControl/>
                    <w:jc w:val="center"/>
                    <w:textAlignment w:val="center"/>
                    <w:rPr>
                      <w:rFonts w:ascii="Times New Roman" w:hAnsi="Times New Roman" w:eastAsia="宋体" w:cs="Times New Roman"/>
                      <w:szCs w:val="21"/>
                    </w:rPr>
                  </w:pPr>
                  <w:r>
                    <w:rPr>
                      <w:rFonts w:ascii="Times New Roman" w:hAnsi="Times New Roman" w:eastAsia="宋体" w:cs="Times New Roman"/>
                    </w:rPr>
                    <w:t>FJ-Ⅳ</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F5B783E">
                  <w:pPr>
                    <w:widowControl/>
                    <w:jc w:val="center"/>
                    <w:rPr>
                      <w:rFonts w:ascii="Times New Roman" w:hAnsi="Times New Roman" w:eastAsia="宋体" w:cs="Times New Roman"/>
                      <w:szCs w:val="21"/>
                    </w:rPr>
                  </w:pPr>
                  <w:r>
                    <w:rPr>
                      <w:rFonts w:ascii="Times New Roman" w:hAnsi="Times New Roman" w:eastAsia="宋体" w:cs="Times New Roman"/>
                    </w:rPr>
                    <w:t>套</w:t>
                  </w:r>
                </w:p>
              </w:tc>
              <w:tc>
                <w:tcPr>
                  <w:tcW w:w="699" w:type="pct"/>
                  <w:tcBorders>
                    <w:top w:val="single" w:color="000000" w:sz="4" w:space="0"/>
                    <w:left w:val="single" w:color="000000" w:sz="4" w:space="0"/>
                    <w:bottom w:val="single" w:color="000000" w:sz="4" w:space="0"/>
                    <w:right w:val="single" w:color="000000" w:sz="4" w:space="0"/>
                  </w:tcBorders>
                </w:tcPr>
                <w:p w14:paraId="5320D670">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000000" w:sz="4" w:space="0"/>
                    <w:right w:val="single" w:color="auto" w:sz="12" w:space="0"/>
                  </w:tcBorders>
                </w:tcPr>
                <w:p w14:paraId="2DCF6074">
                  <w:pPr>
                    <w:widowControl/>
                    <w:jc w:val="center"/>
                    <w:rPr>
                      <w:rFonts w:ascii="Times New Roman" w:hAnsi="Times New Roman" w:eastAsia="宋体" w:cs="Times New Roman"/>
                      <w:szCs w:val="21"/>
                    </w:rPr>
                  </w:pPr>
                  <w:r>
                    <w:rPr>
                      <w:rFonts w:ascii="Times New Roman" w:hAnsi="Times New Roman" w:eastAsia="宋体" w:cs="Times New Roman"/>
                    </w:rPr>
                    <w:t>2套</w:t>
                  </w:r>
                </w:p>
              </w:tc>
            </w:tr>
            <w:tr w14:paraId="74C0E56B">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15D97FB">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19</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E9C4609">
                  <w:pPr>
                    <w:widowControl/>
                    <w:jc w:val="center"/>
                    <w:textAlignment w:val="center"/>
                    <w:rPr>
                      <w:rFonts w:ascii="Times New Roman" w:hAnsi="Times New Roman" w:eastAsia="宋体" w:cs="Times New Roman"/>
                      <w:szCs w:val="21"/>
                    </w:rPr>
                  </w:pPr>
                  <w:r>
                    <w:rPr>
                      <w:rFonts w:ascii="Times New Roman" w:hAnsi="Times New Roman" w:eastAsia="宋体" w:cs="Times New Roman"/>
                    </w:rPr>
                    <w:t>地秤</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C37968B">
                  <w:pPr>
                    <w:widowControl/>
                    <w:jc w:val="center"/>
                    <w:textAlignment w:val="center"/>
                    <w:rPr>
                      <w:rFonts w:ascii="Times New Roman" w:hAnsi="Times New Roman" w:eastAsia="宋体" w:cs="Times New Roman"/>
                      <w:szCs w:val="21"/>
                    </w:rPr>
                  </w:pPr>
                  <w:r>
                    <w:rPr>
                      <w:rFonts w:ascii="Times New Roman" w:hAnsi="Times New Roman" w:eastAsia="宋体" w:cs="Times New Roman"/>
                    </w:rPr>
                    <w:t>3吨</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B973315">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628F6559">
                  <w:pPr>
                    <w:widowControl/>
                    <w:jc w:val="center"/>
                    <w:rPr>
                      <w:rFonts w:ascii="Times New Roman" w:hAnsi="Times New Roman" w:eastAsia="宋体" w:cs="Times New Roman"/>
                      <w:szCs w:val="21"/>
                    </w:rPr>
                  </w:pPr>
                  <w:r>
                    <w:rPr>
                      <w:rFonts w:ascii="Times New Roman" w:hAnsi="Times New Roman" w:eastAsia="宋体" w:cs="Times New Roman"/>
                    </w:rPr>
                    <w:t>1台</w:t>
                  </w:r>
                </w:p>
              </w:tc>
              <w:tc>
                <w:tcPr>
                  <w:tcW w:w="698" w:type="pct"/>
                  <w:tcBorders>
                    <w:top w:val="single" w:color="000000" w:sz="4" w:space="0"/>
                    <w:left w:val="single" w:color="000000" w:sz="4" w:space="0"/>
                    <w:bottom w:val="single" w:color="000000" w:sz="4" w:space="0"/>
                    <w:right w:val="single" w:color="auto" w:sz="12" w:space="0"/>
                  </w:tcBorders>
                </w:tcPr>
                <w:p w14:paraId="322FF46E">
                  <w:pPr>
                    <w:widowControl/>
                    <w:jc w:val="center"/>
                    <w:rPr>
                      <w:rFonts w:ascii="Times New Roman" w:hAnsi="Times New Roman" w:eastAsia="宋体" w:cs="Times New Roman"/>
                      <w:szCs w:val="21"/>
                    </w:rPr>
                  </w:pPr>
                  <w:r>
                    <w:rPr>
                      <w:rFonts w:ascii="Times New Roman" w:hAnsi="Times New Roman" w:eastAsia="宋体" w:cs="Times New Roman"/>
                    </w:rPr>
                    <w:t>5台</w:t>
                  </w:r>
                </w:p>
              </w:tc>
            </w:tr>
            <w:tr w14:paraId="067FB8F4">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272E2253">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20</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FE785B9">
                  <w:pPr>
                    <w:widowControl/>
                    <w:jc w:val="center"/>
                    <w:textAlignment w:val="center"/>
                    <w:rPr>
                      <w:rFonts w:ascii="Times New Roman" w:hAnsi="Times New Roman" w:eastAsia="宋体" w:cs="Times New Roman"/>
                      <w:szCs w:val="21"/>
                    </w:rPr>
                  </w:pPr>
                  <w:r>
                    <w:rPr>
                      <w:rFonts w:ascii="Times New Roman" w:hAnsi="Times New Roman" w:eastAsia="宋体" w:cs="Times New Roman"/>
                    </w:rPr>
                    <w:t>电子称重模块</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001CD31">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029B97A">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1BBD4DA5">
                  <w:pPr>
                    <w:widowControl/>
                    <w:jc w:val="center"/>
                    <w:rPr>
                      <w:rFonts w:ascii="Times New Roman" w:hAnsi="Times New Roman" w:eastAsia="宋体" w:cs="Times New Roman"/>
                      <w:szCs w:val="21"/>
                    </w:rPr>
                  </w:pPr>
                  <w:r>
                    <w:rPr>
                      <w:rFonts w:ascii="Times New Roman" w:hAnsi="Times New Roman" w:eastAsia="宋体" w:cs="Times New Roman"/>
                    </w:rPr>
                    <w:t>1套</w:t>
                  </w:r>
                </w:p>
              </w:tc>
              <w:tc>
                <w:tcPr>
                  <w:tcW w:w="698" w:type="pct"/>
                  <w:tcBorders>
                    <w:top w:val="single" w:color="000000" w:sz="4" w:space="0"/>
                    <w:left w:val="single" w:color="000000" w:sz="4" w:space="0"/>
                    <w:bottom w:val="single" w:color="000000" w:sz="4" w:space="0"/>
                    <w:right w:val="single" w:color="auto" w:sz="12" w:space="0"/>
                  </w:tcBorders>
                </w:tcPr>
                <w:p w14:paraId="485881FE">
                  <w:pPr>
                    <w:widowControl/>
                    <w:jc w:val="center"/>
                    <w:rPr>
                      <w:rFonts w:ascii="Times New Roman" w:hAnsi="Times New Roman" w:eastAsia="宋体" w:cs="Times New Roman"/>
                      <w:szCs w:val="21"/>
                    </w:rPr>
                  </w:pPr>
                  <w:r>
                    <w:rPr>
                      <w:rFonts w:ascii="Times New Roman" w:hAnsi="Times New Roman" w:eastAsia="宋体" w:cs="Times New Roman"/>
                    </w:rPr>
                    <w:t>4套</w:t>
                  </w:r>
                </w:p>
              </w:tc>
            </w:tr>
            <w:tr w14:paraId="1D171B99">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6CE72DA6">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1</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BCF1E4E">
                  <w:pPr>
                    <w:widowControl/>
                    <w:jc w:val="center"/>
                    <w:textAlignment w:val="center"/>
                    <w:rPr>
                      <w:rFonts w:ascii="Times New Roman" w:hAnsi="Times New Roman" w:eastAsia="宋体" w:cs="Times New Roman"/>
                      <w:szCs w:val="21"/>
                    </w:rPr>
                  </w:pPr>
                  <w:r>
                    <w:rPr>
                      <w:rFonts w:ascii="Times New Roman" w:hAnsi="Times New Roman" w:eastAsia="宋体" w:cs="Times New Roman"/>
                    </w:rPr>
                    <w:t>DCS控制系统</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3CA90D8">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D2387B6">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771A1167">
                  <w:pPr>
                    <w:widowControl/>
                    <w:jc w:val="center"/>
                    <w:rPr>
                      <w:rFonts w:ascii="Times New Roman" w:hAnsi="Times New Roman" w:eastAsia="宋体" w:cs="Times New Roman"/>
                      <w:szCs w:val="21"/>
                    </w:rPr>
                  </w:pPr>
                  <w:r>
                    <w:rPr>
                      <w:rFonts w:ascii="Times New Roman" w:hAnsi="Times New Roman" w:eastAsia="宋体" w:cs="Times New Roman"/>
                    </w:rPr>
                    <w:t>1套</w:t>
                  </w:r>
                </w:p>
              </w:tc>
              <w:tc>
                <w:tcPr>
                  <w:tcW w:w="698" w:type="pct"/>
                  <w:tcBorders>
                    <w:top w:val="single" w:color="000000" w:sz="4" w:space="0"/>
                    <w:left w:val="single" w:color="000000" w:sz="4" w:space="0"/>
                    <w:bottom w:val="single" w:color="000000" w:sz="4" w:space="0"/>
                    <w:right w:val="single" w:color="auto" w:sz="12" w:space="0"/>
                  </w:tcBorders>
                </w:tcPr>
                <w:p w14:paraId="3E1A96C7">
                  <w:pPr>
                    <w:widowControl/>
                    <w:jc w:val="center"/>
                    <w:rPr>
                      <w:rFonts w:ascii="Times New Roman" w:hAnsi="Times New Roman" w:eastAsia="宋体" w:cs="Times New Roman"/>
                      <w:szCs w:val="21"/>
                    </w:rPr>
                  </w:pPr>
                  <w:r>
                    <w:rPr>
                      <w:rFonts w:ascii="Times New Roman" w:hAnsi="Times New Roman" w:eastAsia="宋体" w:cs="Times New Roman"/>
                    </w:rPr>
                    <w:t>3套</w:t>
                  </w:r>
                </w:p>
              </w:tc>
            </w:tr>
            <w:tr w14:paraId="03F6151E">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1A8A851D">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2</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F217CC8">
                  <w:pPr>
                    <w:widowControl/>
                    <w:jc w:val="center"/>
                    <w:textAlignment w:val="center"/>
                    <w:rPr>
                      <w:rFonts w:ascii="Times New Roman" w:hAnsi="Times New Roman" w:eastAsia="宋体" w:cs="Times New Roman"/>
                      <w:szCs w:val="21"/>
                    </w:rPr>
                  </w:pPr>
                  <w:r>
                    <w:rPr>
                      <w:rFonts w:ascii="Times New Roman" w:hAnsi="Times New Roman" w:eastAsia="宋体" w:cs="Times New Roman"/>
                    </w:rPr>
                    <w:t>单轨电动葫芦</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2BCD6ED">
                  <w:pPr>
                    <w:widowControl/>
                    <w:jc w:val="center"/>
                    <w:textAlignment w:val="center"/>
                    <w:rPr>
                      <w:rFonts w:ascii="Times New Roman" w:hAnsi="Times New Roman" w:eastAsia="宋体" w:cs="Times New Roman"/>
                      <w:szCs w:val="21"/>
                    </w:rPr>
                  </w:pPr>
                  <w:r>
                    <w:rPr>
                      <w:rFonts w:ascii="Times New Roman" w:hAnsi="Times New Roman" w:eastAsia="宋体" w:cs="Times New Roman"/>
                    </w:rPr>
                    <w:t>起重量3吨</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18E2CDF">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365C3AA2">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000000" w:sz="4" w:space="0"/>
                    <w:right w:val="single" w:color="auto" w:sz="12" w:space="0"/>
                  </w:tcBorders>
                </w:tcPr>
                <w:p w14:paraId="0B42279B">
                  <w:pPr>
                    <w:widowControl/>
                    <w:jc w:val="center"/>
                    <w:rPr>
                      <w:rFonts w:ascii="Times New Roman" w:hAnsi="Times New Roman" w:eastAsia="宋体" w:cs="Times New Roman"/>
                      <w:szCs w:val="21"/>
                    </w:rPr>
                  </w:pPr>
                  <w:r>
                    <w:rPr>
                      <w:rFonts w:ascii="Times New Roman" w:hAnsi="Times New Roman" w:eastAsia="宋体" w:cs="Times New Roman"/>
                    </w:rPr>
                    <w:t>1台</w:t>
                  </w:r>
                </w:p>
              </w:tc>
            </w:tr>
            <w:tr w14:paraId="5998339B">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1294CF08">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3</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1D7230C">
                  <w:pPr>
                    <w:widowControl/>
                    <w:jc w:val="center"/>
                    <w:textAlignment w:val="center"/>
                    <w:rPr>
                      <w:rFonts w:ascii="Times New Roman" w:hAnsi="Times New Roman" w:eastAsia="宋体" w:cs="Times New Roman"/>
                      <w:szCs w:val="21"/>
                    </w:rPr>
                  </w:pPr>
                  <w:r>
                    <w:rPr>
                      <w:rFonts w:ascii="Times New Roman" w:hAnsi="Times New Roman" w:eastAsia="宋体" w:cs="Times New Roman"/>
                    </w:rPr>
                    <w:t>电动单梁起重机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5686597">
                  <w:pPr>
                    <w:widowControl/>
                    <w:jc w:val="center"/>
                    <w:textAlignment w:val="center"/>
                    <w:rPr>
                      <w:rFonts w:ascii="Times New Roman" w:hAnsi="Times New Roman" w:eastAsia="宋体" w:cs="Times New Roman"/>
                      <w:szCs w:val="21"/>
                    </w:rPr>
                  </w:pPr>
                  <w:r>
                    <w:rPr>
                      <w:rFonts w:ascii="Times New Roman" w:hAnsi="Times New Roman" w:eastAsia="宋体" w:cs="Times New Roman"/>
                    </w:rPr>
                    <w:t>起重量5吨</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10E30C9">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4872948B">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000000" w:sz="4" w:space="0"/>
                    <w:right w:val="single" w:color="auto" w:sz="12" w:space="0"/>
                  </w:tcBorders>
                </w:tcPr>
                <w:p w14:paraId="6EB96658">
                  <w:pPr>
                    <w:widowControl/>
                    <w:jc w:val="center"/>
                    <w:rPr>
                      <w:rFonts w:ascii="Times New Roman" w:hAnsi="Times New Roman" w:eastAsia="宋体" w:cs="Times New Roman"/>
                      <w:szCs w:val="21"/>
                    </w:rPr>
                  </w:pPr>
                  <w:r>
                    <w:rPr>
                      <w:rFonts w:ascii="Times New Roman" w:hAnsi="Times New Roman" w:eastAsia="宋体" w:cs="Times New Roman"/>
                    </w:rPr>
                    <w:t>5台</w:t>
                  </w:r>
                </w:p>
              </w:tc>
            </w:tr>
            <w:tr w14:paraId="6F241D2A">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3F00A20B">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6554695">
                  <w:pPr>
                    <w:widowControl/>
                    <w:jc w:val="center"/>
                    <w:textAlignment w:val="center"/>
                    <w:rPr>
                      <w:rFonts w:ascii="Times New Roman" w:hAnsi="Times New Roman" w:eastAsia="宋体" w:cs="Times New Roman"/>
                      <w:szCs w:val="21"/>
                    </w:rPr>
                  </w:pPr>
                  <w:r>
                    <w:rPr>
                      <w:rFonts w:ascii="Times New Roman" w:hAnsi="Times New Roman" w:eastAsia="宋体" w:cs="Times New Roman"/>
                    </w:rPr>
                    <w:t>电动单梁起重机</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08179A6">
                  <w:pPr>
                    <w:widowControl/>
                    <w:jc w:val="center"/>
                    <w:textAlignment w:val="center"/>
                    <w:rPr>
                      <w:rFonts w:ascii="Times New Roman" w:hAnsi="Times New Roman" w:eastAsia="宋体" w:cs="Times New Roman"/>
                      <w:szCs w:val="21"/>
                    </w:rPr>
                  </w:pPr>
                  <w:r>
                    <w:rPr>
                      <w:rFonts w:ascii="Times New Roman" w:hAnsi="Times New Roman" w:eastAsia="宋体" w:cs="Times New Roman"/>
                    </w:rPr>
                    <w:t>起重量10吨</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224C5FF">
                  <w:pPr>
                    <w:widowControl/>
                    <w:jc w:val="center"/>
                    <w:rPr>
                      <w:rFonts w:ascii="Times New Roman" w:hAnsi="Times New Roman" w:eastAsia="宋体" w:cs="Times New Roman"/>
                      <w:szCs w:val="21"/>
                    </w:rPr>
                  </w:pPr>
                  <w:r>
                    <w:rPr>
                      <w:rFonts w:ascii="Times New Roman" w:hAnsi="Times New Roman" w:eastAsia="宋体" w:cs="Times New Roman"/>
                    </w:rPr>
                    <w:t>台</w:t>
                  </w:r>
                </w:p>
              </w:tc>
              <w:tc>
                <w:tcPr>
                  <w:tcW w:w="699" w:type="pct"/>
                  <w:tcBorders>
                    <w:top w:val="single" w:color="000000" w:sz="4" w:space="0"/>
                    <w:left w:val="single" w:color="000000" w:sz="4" w:space="0"/>
                    <w:bottom w:val="single" w:color="000000" w:sz="4" w:space="0"/>
                    <w:right w:val="single" w:color="000000" w:sz="4" w:space="0"/>
                  </w:tcBorders>
                </w:tcPr>
                <w:p w14:paraId="37CCA8AB">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000000" w:sz="4" w:space="0"/>
                    <w:right w:val="single" w:color="auto" w:sz="12" w:space="0"/>
                  </w:tcBorders>
                </w:tcPr>
                <w:p w14:paraId="416F8A94">
                  <w:pPr>
                    <w:widowControl/>
                    <w:jc w:val="center"/>
                    <w:rPr>
                      <w:rFonts w:ascii="Times New Roman" w:hAnsi="Times New Roman" w:eastAsia="宋体" w:cs="Times New Roman"/>
                      <w:szCs w:val="21"/>
                    </w:rPr>
                  </w:pPr>
                  <w:r>
                    <w:rPr>
                      <w:rFonts w:ascii="Times New Roman" w:hAnsi="Times New Roman" w:eastAsia="宋体" w:cs="Times New Roman"/>
                    </w:rPr>
                    <w:t>1台</w:t>
                  </w:r>
                </w:p>
              </w:tc>
            </w:tr>
            <w:tr w14:paraId="15144AE4">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577FC673">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w:t>
                  </w:r>
                </w:p>
              </w:tc>
              <w:tc>
                <w:tcPr>
                  <w:tcW w:w="120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BECFCB9">
                  <w:pPr>
                    <w:widowControl/>
                    <w:jc w:val="center"/>
                    <w:textAlignment w:val="center"/>
                    <w:rPr>
                      <w:rFonts w:ascii="Times New Roman" w:hAnsi="Times New Roman" w:eastAsia="宋体" w:cs="Times New Roman"/>
                      <w:szCs w:val="21"/>
                    </w:rPr>
                  </w:pPr>
                  <w:r>
                    <w:rPr>
                      <w:rFonts w:ascii="Times New Roman" w:hAnsi="Times New Roman" w:eastAsia="宋体" w:cs="Times New Roman"/>
                    </w:rPr>
                    <w:t>监控系统</w:t>
                  </w:r>
                </w:p>
              </w:tc>
              <w:tc>
                <w:tcPr>
                  <w:tcW w:w="136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DA821F8">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62BFBFD">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9" w:type="pct"/>
                  <w:tcBorders>
                    <w:top w:val="single" w:color="000000" w:sz="4" w:space="0"/>
                    <w:left w:val="single" w:color="000000" w:sz="4" w:space="0"/>
                    <w:bottom w:val="single" w:color="000000" w:sz="4" w:space="0"/>
                    <w:right w:val="single" w:color="000000" w:sz="4" w:space="0"/>
                  </w:tcBorders>
                </w:tcPr>
                <w:p w14:paraId="006EEB09">
                  <w:pPr>
                    <w:widowControl/>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698" w:type="pct"/>
                  <w:tcBorders>
                    <w:top w:val="single" w:color="000000" w:sz="4" w:space="0"/>
                    <w:left w:val="single" w:color="000000" w:sz="4" w:space="0"/>
                    <w:bottom w:val="single" w:color="000000" w:sz="4" w:space="0"/>
                    <w:right w:val="single" w:color="auto" w:sz="12" w:space="0"/>
                  </w:tcBorders>
                </w:tcPr>
                <w:p w14:paraId="3A3B6EBE">
                  <w:pPr>
                    <w:widowControl/>
                    <w:jc w:val="center"/>
                    <w:rPr>
                      <w:rFonts w:ascii="Times New Roman" w:hAnsi="Times New Roman" w:eastAsia="宋体" w:cs="Times New Roman"/>
                      <w:szCs w:val="21"/>
                    </w:rPr>
                  </w:pPr>
                  <w:r>
                    <w:rPr>
                      <w:rFonts w:ascii="Times New Roman" w:hAnsi="Times New Roman" w:eastAsia="宋体" w:cs="Times New Roman"/>
                    </w:rPr>
                    <w:t>若干</w:t>
                  </w:r>
                </w:p>
              </w:tc>
            </w:tr>
            <w:tr w14:paraId="24AA2ED6">
              <w:tblPrEx>
                <w:tblCellMar>
                  <w:top w:w="0" w:type="dxa"/>
                  <w:left w:w="0" w:type="dxa"/>
                  <w:bottom w:w="0" w:type="dxa"/>
                  <w:right w:w="0" w:type="dxa"/>
                </w:tblCellMar>
              </w:tblPrEx>
              <w:trPr>
                <w:trHeight w:val="340" w:hRule="atLeast"/>
                <w:jc w:val="center"/>
              </w:trPr>
              <w:tc>
                <w:tcPr>
                  <w:tcW w:w="337" w:type="pct"/>
                  <w:tcBorders>
                    <w:top w:val="single" w:color="000000" w:sz="4" w:space="0"/>
                    <w:left w:val="single" w:color="auto" w:sz="12" w:space="0"/>
                    <w:bottom w:val="single" w:color="auto" w:sz="12" w:space="0"/>
                    <w:right w:val="single" w:color="000000" w:sz="4" w:space="0"/>
                  </w:tcBorders>
                  <w:noWrap/>
                  <w:tcMar>
                    <w:top w:w="15" w:type="dxa"/>
                    <w:left w:w="15" w:type="dxa"/>
                    <w:right w:w="15" w:type="dxa"/>
                  </w:tcMar>
                  <w:vAlign w:val="center"/>
                </w:tcPr>
                <w:p w14:paraId="4689BFEE">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6</w:t>
                  </w:r>
                </w:p>
              </w:tc>
              <w:tc>
                <w:tcPr>
                  <w:tcW w:w="1206"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tcPr>
                <w:p w14:paraId="2D94E2A8">
                  <w:pPr>
                    <w:widowControl/>
                    <w:jc w:val="center"/>
                    <w:textAlignment w:val="center"/>
                    <w:rPr>
                      <w:rFonts w:ascii="Times New Roman" w:hAnsi="Times New Roman" w:eastAsia="宋体" w:cs="Times New Roman"/>
                      <w:szCs w:val="21"/>
                    </w:rPr>
                  </w:pPr>
                  <w:r>
                    <w:rPr>
                      <w:rFonts w:ascii="Times New Roman" w:hAnsi="Times New Roman" w:eastAsia="宋体" w:cs="Times New Roman"/>
                    </w:rPr>
                    <w:t>设备名称</w:t>
                  </w:r>
                </w:p>
              </w:tc>
              <w:tc>
                <w:tcPr>
                  <w:tcW w:w="1361"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tcPr>
                <w:p w14:paraId="43C80EAA">
                  <w:pPr>
                    <w:widowControl/>
                    <w:jc w:val="center"/>
                    <w:textAlignment w:val="center"/>
                    <w:rPr>
                      <w:rFonts w:ascii="Times New Roman" w:hAnsi="Times New Roman" w:eastAsia="宋体" w:cs="Times New Roman"/>
                      <w:szCs w:val="21"/>
                    </w:rPr>
                  </w:pPr>
                  <w:r>
                    <w:rPr>
                      <w:rFonts w:ascii="Times New Roman" w:hAnsi="Times New Roman" w:eastAsia="宋体" w:cs="Times New Roman"/>
                    </w:rPr>
                    <w:t>规格</w:t>
                  </w:r>
                </w:p>
              </w:tc>
              <w:tc>
                <w:tcPr>
                  <w:tcW w:w="699"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tcPr>
                <w:p w14:paraId="6CE75C1B">
                  <w:pPr>
                    <w:widowControl/>
                    <w:jc w:val="center"/>
                    <w:rPr>
                      <w:rFonts w:ascii="Times New Roman" w:hAnsi="Times New Roman" w:eastAsia="宋体" w:cs="Times New Roman"/>
                      <w:szCs w:val="21"/>
                    </w:rPr>
                  </w:pPr>
                  <w:r>
                    <w:rPr>
                      <w:rFonts w:ascii="Times New Roman" w:hAnsi="Times New Roman" w:eastAsia="宋体" w:cs="Times New Roman"/>
                    </w:rPr>
                    <w:t>单位</w:t>
                  </w:r>
                </w:p>
              </w:tc>
              <w:tc>
                <w:tcPr>
                  <w:tcW w:w="699" w:type="pct"/>
                  <w:tcBorders>
                    <w:top w:val="single" w:color="000000" w:sz="4" w:space="0"/>
                    <w:left w:val="single" w:color="000000" w:sz="4" w:space="0"/>
                    <w:bottom w:val="single" w:color="auto" w:sz="12" w:space="0"/>
                    <w:right w:val="single" w:color="000000" w:sz="4" w:space="0"/>
                  </w:tcBorders>
                </w:tcPr>
                <w:p w14:paraId="02C57B89">
                  <w:pPr>
                    <w:widowControl/>
                    <w:jc w:val="center"/>
                    <w:rPr>
                      <w:rFonts w:ascii="Times New Roman" w:hAnsi="Times New Roman" w:eastAsia="宋体" w:cs="Times New Roman"/>
                      <w:szCs w:val="21"/>
                    </w:rPr>
                  </w:pPr>
                  <w:r>
                    <w:rPr>
                      <w:rFonts w:ascii="Times New Roman" w:hAnsi="Times New Roman" w:eastAsia="宋体" w:cs="Times New Roman"/>
                    </w:rPr>
                    <w:t>单线数量</w:t>
                  </w:r>
                </w:p>
              </w:tc>
              <w:tc>
                <w:tcPr>
                  <w:tcW w:w="698" w:type="pct"/>
                  <w:tcBorders>
                    <w:top w:val="single" w:color="000000" w:sz="4" w:space="0"/>
                    <w:left w:val="single" w:color="000000" w:sz="4" w:space="0"/>
                    <w:bottom w:val="single" w:color="auto" w:sz="12" w:space="0"/>
                    <w:right w:val="single" w:color="auto" w:sz="12" w:space="0"/>
                  </w:tcBorders>
                </w:tcPr>
                <w:p w14:paraId="6D20F6D5">
                  <w:pPr>
                    <w:widowControl/>
                    <w:jc w:val="center"/>
                    <w:rPr>
                      <w:rFonts w:ascii="Times New Roman" w:hAnsi="Times New Roman" w:eastAsia="宋体" w:cs="Times New Roman"/>
                      <w:szCs w:val="21"/>
                    </w:rPr>
                  </w:pPr>
                  <w:r>
                    <w:rPr>
                      <w:rFonts w:ascii="Times New Roman" w:hAnsi="Times New Roman" w:eastAsia="宋体" w:cs="Times New Roman"/>
                    </w:rPr>
                    <w:t>数量</w:t>
                  </w:r>
                </w:p>
              </w:tc>
            </w:tr>
          </w:tbl>
          <w:p w14:paraId="2FD3900D">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五、能源供给与排水</w:t>
            </w:r>
          </w:p>
          <w:p w14:paraId="624A0110">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（1）供电</w:t>
            </w:r>
          </w:p>
          <w:p w14:paraId="4C17A172">
            <w:pPr>
              <w:pStyle w:val="16"/>
              <w:spacing w:line="360" w:lineRule="auto"/>
              <w:ind w:left="0" w:firstLine="480" w:firstLineChars="200"/>
              <w:jc w:val="left"/>
              <w:rPr>
                <w:rFonts w:ascii="Times New Roman" w:hAnsi="Times New Roman" w:eastAsia="宋体" w:cs="Times New Roman"/>
              </w:rPr>
            </w:pPr>
            <w:r>
              <w:rPr>
                <w:rFonts w:ascii="Times New Roman" w:hAnsi="Times New Roman" w:eastAsia="宋体" w:cs="Times New Roman"/>
              </w:rPr>
              <w:t>项目厂区用电来自市政电网。</w:t>
            </w:r>
            <w:r>
              <w:rPr>
                <w:rFonts w:hint="eastAsia" w:ascii="Times New Roman" w:hAnsi="Times New Roman" w:eastAsia="宋体" w:cs="Times New Roman"/>
              </w:rPr>
              <w:t>不涉及一类、二类高层及多层建筑。其中消防设备及事故应急照明用电为一级；机械、水泵等重要设备用电为二级负荷，其余均为三级负荷。</w:t>
            </w:r>
          </w:p>
          <w:p w14:paraId="41997C10">
            <w:pPr>
              <w:pStyle w:val="16"/>
              <w:spacing w:line="360" w:lineRule="auto"/>
              <w:ind w:left="0" w:firstLine="480" w:firstLineChars="200"/>
              <w:jc w:val="left"/>
              <w:rPr>
                <w:rFonts w:ascii="Times New Roman" w:hAnsi="Times New Roman" w:eastAsia="宋体" w:cs="Times New Roman"/>
              </w:rPr>
            </w:pPr>
            <w:r>
              <w:rPr>
                <w:rFonts w:hint="eastAsia" w:ascii="Times New Roman" w:hAnsi="Times New Roman" w:eastAsia="宋体" w:cs="Times New Roman"/>
              </w:rPr>
              <w:t>本建筑防雷属第三类防雷的民用建筑物，采用防雷，电气共用接地系统，并预留电气接地。利用柱内的主钢筋作防雷引下线，要求所有防雷引下线的柱内主筋，必须在进入基础沉台</w:t>
            </w:r>
            <w:r>
              <w:rPr>
                <w:rFonts w:hint="eastAsia" w:ascii="Times New Roman" w:hAnsi="Times New Roman" w:eastAsia="宋体" w:cs="Times New Roman"/>
                <w:bCs/>
              </w:rPr>
              <w:t>处和沉台内主筋相焊接。用作引下线的柱内的主筋，每组至少有二根（Φ16园钢）作通长焊接，确保电气通路。做等电位连接及电源线的过压保护，建筑金属管材，金属窗，突出物等金属构件作等电位连接，总等电位联结电阻R≤1欧。人行道，建筑出入口的接地线局部埋深1.2m，并在接地线上敷设50厚的沥青层，其宽度超过接2m。所有低压架空线在进出线处，装设避雷器与绝缘子，金具连在一起接到电气设备的接地装置上，架空金属管道及在进出处接到防雷或电气设备的接地装置上或独自接地，对电缆进出线，在进出端将电缆的金属外皮、金属线槽、钢管等与电气设备接地相连，联合电阻R≤1欧。</w:t>
            </w:r>
            <w:r>
              <w:rPr>
                <w:rFonts w:ascii="Times New Roman" w:hAnsi="Times New Roman" w:eastAsia="宋体" w:cs="Times New Roman"/>
                <w:bCs/>
              </w:rPr>
              <w:t>据业主估算，项目年用电量为40万</w:t>
            </w:r>
            <w:r>
              <w:rPr>
                <w:rFonts w:hint="eastAsia" w:ascii="Times New Roman" w:hAnsi="Times New Roman" w:eastAsia="宋体" w:cs="Times New Roman"/>
                <w:bCs/>
                <w:lang w:eastAsia="zh-CN"/>
              </w:rPr>
              <w:t>kW</w:t>
            </w:r>
            <w:r>
              <w:rPr>
                <w:rFonts w:ascii="Times New Roman" w:hAnsi="Times New Roman" w:eastAsia="宋体" w:cs="Times New Roman"/>
                <w:bCs/>
              </w:rPr>
              <w:t>·h，主要为生产设备用电。</w:t>
            </w:r>
          </w:p>
          <w:p w14:paraId="38395000">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（2）给排水</w:t>
            </w:r>
          </w:p>
          <w:p w14:paraId="09BECFD8">
            <w:pPr>
              <w:spacing w:line="360" w:lineRule="auto"/>
              <w:ind w:firstLine="480" w:firstLineChars="200"/>
              <w:rPr>
                <w:rFonts w:ascii="Times New Roman" w:hAnsi="Times New Roman" w:eastAsia="宋体" w:cs="Times New Roman"/>
                <w:bCs/>
                <w:sz w:val="24"/>
              </w:rPr>
            </w:pPr>
            <w:r>
              <w:rPr>
                <w:rFonts w:hint="eastAsia" w:ascii="宋体" w:hAnsi="宋体" w:eastAsia="宋体" w:cs="宋体"/>
                <w:bCs/>
                <w:sz w:val="24"/>
              </w:rPr>
              <w:t>①</w:t>
            </w:r>
            <w:r>
              <w:rPr>
                <w:rFonts w:ascii="Times New Roman" w:hAnsi="Times New Roman" w:eastAsia="宋体" w:cs="Times New Roman"/>
                <w:bCs/>
                <w:sz w:val="24"/>
              </w:rPr>
              <w:t>供水</w:t>
            </w:r>
          </w:p>
          <w:p w14:paraId="78383BA6">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项目用水主要为员工生活用水，生活用水水源</w:t>
            </w:r>
            <w:r>
              <w:rPr>
                <w:rFonts w:hint="eastAsia" w:ascii="Times New Roman" w:hAnsi="Times New Roman" w:eastAsia="宋体" w:cs="Times New Roman"/>
                <w:bCs/>
                <w:sz w:val="24"/>
              </w:rPr>
              <w:t>取自山泉水</w:t>
            </w:r>
            <w:r>
              <w:rPr>
                <w:rFonts w:ascii="Times New Roman" w:hAnsi="Times New Roman" w:eastAsia="宋体" w:cs="Times New Roman"/>
                <w:bCs/>
                <w:sz w:val="24"/>
              </w:rPr>
              <w:t>，供给项目办公、生</w:t>
            </w:r>
            <w:r>
              <w:rPr>
                <w:rFonts w:hint="eastAsia" w:ascii="Times New Roman" w:hAnsi="Times New Roman" w:eastAsia="宋体" w:cs="Times New Roman"/>
                <w:bCs/>
                <w:sz w:val="24"/>
              </w:rPr>
              <w:t>活</w:t>
            </w:r>
            <w:r>
              <w:rPr>
                <w:rFonts w:ascii="Times New Roman" w:hAnsi="Times New Roman" w:eastAsia="宋体" w:cs="Times New Roman"/>
                <w:bCs/>
                <w:sz w:val="24"/>
              </w:rPr>
              <w:t>用水。</w:t>
            </w:r>
          </w:p>
          <w:p w14:paraId="205559A0">
            <w:pPr>
              <w:widowControl/>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i</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生活用水</w:t>
            </w:r>
          </w:p>
          <w:p w14:paraId="055C0E98">
            <w:pPr>
              <w:widowControl/>
              <w:spacing w:line="360" w:lineRule="auto"/>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按《建筑给水排水设计规范》（GB50015-2009）表 3.1.10宿舍、旅馆和公共建筑生活用水定额及小时变化系数中：办公楼每人每班用水定额为30</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50L，本次以40L/人•班进行计算，项目生活办公用水为0.8m</w:t>
            </w:r>
            <w:r>
              <w:rPr>
                <w:rFonts w:ascii="Times New Roman" w:hAnsi="Times New Roman" w:eastAsia="宋体" w:cs="Times New Roman"/>
                <w:kern w:val="0"/>
                <w:sz w:val="24"/>
                <w:vertAlign w:val="superscript"/>
              </w:rPr>
              <w:t>3</w:t>
            </w:r>
            <w:r>
              <w:rPr>
                <w:rFonts w:ascii="Times New Roman" w:hAnsi="Times New Roman" w:eastAsia="宋体" w:cs="Times New Roman"/>
                <w:kern w:val="0"/>
                <w:sz w:val="24"/>
              </w:rPr>
              <w:t>/d</w:t>
            </w:r>
            <w:r>
              <w:rPr>
                <w:rFonts w:ascii="Times New Roman" w:hAnsi="Times New Roman" w:eastAsia="宋体" w:cs="Times New Roman"/>
                <w:sz w:val="24"/>
                <w:szCs w:val="22"/>
              </w:rPr>
              <w:t>（240m</w:t>
            </w:r>
            <w:r>
              <w:rPr>
                <w:rFonts w:ascii="Times New Roman" w:hAnsi="Times New Roman" w:eastAsia="宋体" w:cs="Times New Roman"/>
                <w:sz w:val="24"/>
                <w:szCs w:val="22"/>
                <w:vertAlign w:val="superscript"/>
              </w:rPr>
              <w:t>3</w:t>
            </w:r>
            <w:r>
              <w:rPr>
                <w:rFonts w:ascii="Times New Roman" w:hAnsi="Times New Roman" w:eastAsia="宋体" w:cs="Times New Roman"/>
                <w:sz w:val="24"/>
                <w:szCs w:val="22"/>
              </w:rPr>
              <w:t>/a）</w:t>
            </w:r>
            <w:r>
              <w:rPr>
                <w:rFonts w:ascii="Times New Roman" w:hAnsi="Times New Roman" w:eastAsia="宋体" w:cs="Times New Roman"/>
                <w:kern w:val="0"/>
                <w:sz w:val="24"/>
              </w:rPr>
              <w:t>。</w:t>
            </w:r>
          </w:p>
          <w:p w14:paraId="37A88AED">
            <w:pPr>
              <w:pStyle w:val="16"/>
              <w:spacing w:line="360" w:lineRule="auto"/>
              <w:ind w:left="0" w:firstLine="480" w:firstLineChars="200"/>
              <w:jc w:val="left"/>
              <w:rPr>
                <w:rFonts w:ascii="Times New Roman" w:hAnsi="Times New Roman" w:eastAsia="宋体" w:cs="Times New Roman"/>
              </w:rPr>
            </w:pPr>
            <w:r>
              <w:rPr>
                <w:rFonts w:hint="eastAsia" w:ascii="Times New Roman" w:hAnsi="Times New Roman" w:eastAsia="宋体" w:cs="Times New Roman"/>
              </w:rPr>
              <w:t>轮胎冲洗用水</w:t>
            </w:r>
            <w:r>
              <w:rPr>
                <w:rFonts w:ascii="Times New Roman" w:hAnsi="Times New Roman" w:eastAsia="宋体" w:cs="Times New Roman"/>
              </w:rPr>
              <w:t>：</w:t>
            </w:r>
            <w:r>
              <w:rPr>
                <w:rFonts w:hint="eastAsia" w:ascii="Times New Roman" w:hAnsi="Times New Roman" w:eastAsia="宋体" w:cs="Times New Roman"/>
              </w:rPr>
              <w:t>厂区车辆运输进出厂轮胎冲洗</w:t>
            </w:r>
            <w:r>
              <w:rPr>
                <w:rFonts w:ascii="Times New Roman" w:hAnsi="Times New Roman" w:eastAsia="宋体" w:cs="Times New Roman"/>
              </w:rPr>
              <w:t>，防治扬尘，用水量约为1m</w:t>
            </w:r>
            <w:r>
              <w:rPr>
                <w:rFonts w:ascii="Times New Roman" w:hAnsi="Times New Roman" w:eastAsia="宋体" w:cs="Times New Roman"/>
                <w:vertAlign w:val="superscript"/>
              </w:rPr>
              <w:t>3</w:t>
            </w:r>
            <w:r>
              <w:rPr>
                <w:rFonts w:ascii="Times New Roman" w:hAnsi="Times New Roman" w:eastAsia="宋体" w:cs="Times New Roman"/>
              </w:rPr>
              <w:t>/d，330m</w:t>
            </w:r>
            <w:r>
              <w:rPr>
                <w:rFonts w:ascii="Times New Roman" w:hAnsi="Times New Roman" w:eastAsia="宋体" w:cs="Times New Roman"/>
                <w:vertAlign w:val="superscript"/>
              </w:rPr>
              <w:t>3</w:t>
            </w:r>
            <w:r>
              <w:rPr>
                <w:rFonts w:ascii="Times New Roman" w:hAnsi="Times New Roman" w:eastAsia="宋体" w:cs="Times New Roman"/>
              </w:rPr>
              <w:t>/a。</w:t>
            </w:r>
          </w:p>
          <w:p w14:paraId="57E6784B">
            <w:pPr>
              <w:pStyle w:val="16"/>
              <w:spacing w:line="360" w:lineRule="auto"/>
              <w:ind w:left="0" w:firstLine="480" w:firstLineChars="200"/>
              <w:jc w:val="left"/>
              <w:rPr>
                <w:rFonts w:ascii="Times New Roman" w:hAnsi="Times New Roman" w:eastAsia="宋体" w:cs="Times New Roman"/>
                <w:kern w:val="0"/>
              </w:rPr>
            </w:pPr>
            <w:r>
              <w:rPr>
                <w:rFonts w:hint="eastAsia" w:ascii="宋体" w:hAnsi="宋体" w:eastAsia="宋体" w:cs="宋体"/>
                <w:kern w:val="0"/>
              </w:rPr>
              <w:t>②</w:t>
            </w:r>
            <w:r>
              <w:rPr>
                <w:rFonts w:ascii="Times New Roman" w:hAnsi="Times New Roman" w:eastAsia="宋体" w:cs="Times New Roman"/>
                <w:kern w:val="0"/>
              </w:rPr>
              <w:t>排水</w:t>
            </w:r>
          </w:p>
          <w:p w14:paraId="3FA1B90D">
            <w:pPr>
              <w:pStyle w:val="16"/>
              <w:spacing w:line="360" w:lineRule="auto"/>
              <w:ind w:left="0" w:firstLine="480" w:firstLineChars="200"/>
              <w:jc w:val="left"/>
              <w:rPr>
                <w:rFonts w:ascii="Times New Roman" w:hAnsi="Times New Roman" w:eastAsia="宋体" w:cs="Times New Roman"/>
                <w:b/>
              </w:rPr>
            </w:pPr>
            <w:r>
              <w:rPr>
                <w:rFonts w:ascii="Times New Roman" w:hAnsi="Times New Roman" w:eastAsia="宋体" w:cs="Times New Roman"/>
                <w:kern w:val="0"/>
              </w:rPr>
              <w:t>i、项目采取雨污分流。雨水经雨水导排沟外排。</w:t>
            </w:r>
          </w:p>
          <w:p w14:paraId="3A44FF77">
            <w:pPr>
              <w:widowControl/>
              <w:spacing w:line="360" w:lineRule="auto"/>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ii、项目用水主要为员工生活用水，生活污水依托现有预处理设施处理后定期清理用于周边农田灌溉，不直接外排。</w:t>
            </w:r>
          </w:p>
          <w:p w14:paraId="0409469C">
            <w:pPr>
              <w:widowControl/>
              <w:spacing w:line="360" w:lineRule="auto"/>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用水情况见下表。</w:t>
            </w:r>
          </w:p>
          <w:p w14:paraId="72E681FF">
            <w:pPr>
              <w:widowControl/>
              <w:spacing w:line="360" w:lineRule="auto"/>
              <w:jc w:val="center"/>
              <w:rPr>
                <w:rFonts w:ascii="Times New Roman" w:hAnsi="Times New Roman" w:eastAsia="宋体" w:cs="Times New Roman"/>
                <w:kern w:val="0"/>
                <w:sz w:val="24"/>
              </w:rPr>
            </w:pPr>
            <w:r>
              <w:rPr>
                <w:rFonts w:ascii="Times New Roman" w:hAnsi="Times New Roman" w:eastAsia="宋体" w:cs="Times New Roman"/>
                <w:snapToGrid w:val="0"/>
                <w:kern w:val="0"/>
                <w:sz w:val="24"/>
                <w:szCs w:val="24"/>
              </w:rPr>
              <w:t>表1-7  项目用水排水量估算表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1838"/>
              <w:gridCol w:w="1414"/>
              <w:gridCol w:w="1556"/>
              <w:gridCol w:w="1843"/>
              <w:gridCol w:w="1433"/>
            </w:tblGrid>
            <w:tr w14:paraId="7BE33A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1015FDBD">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序号</w:t>
                  </w:r>
                </w:p>
              </w:tc>
              <w:tc>
                <w:tcPr>
                  <w:tcW w:w="1843" w:type="dxa"/>
                  <w:shd w:val="clear" w:color="auto" w:fill="auto"/>
                  <w:vAlign w:val="center"/>
                </w:tcPr>
                <w:p w14:paraId="36B3F6EE">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用水项目</w:t>
                  </w:r>
                </w:p>
              </w:tc>
              <w:tc>
                <w:tcPr>
                  <w:tcW w:w="1417" w:type="dxa"/>
                  <w:shd w:val="clear" w:color="auto" w:fill="auto"/>
                  <w:vAlign w:val="center"/>
                </w:tcPr>
                <w:p w14:paraId="3114D5F0">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用水规模</w:t>
                  </w:r>
                </w:p>
              </w:tc>
              <w:tc>
                <w:tcPr>
                  <w:tcW w:w="1559" w:type="dxa"/>
                  <w:shd w:val="clear" w:color="auto" w:fill="auto"/>
                  <w:vAlign w:val="center"/>
                </w:tcPr>
                <w:p w14:paraId="07602AFD">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用水定额</w:t>
                  </w:r>
                </w:p>
              </w:tc>
              <w:tc>
                <w:tcPr>
                  <w:tcW w:w="1846" w:type="dxa"/>
                  <w:shd w:val="clear" w:color="auto" w:fill="auto"/>
                  <w:vAlign w:val="center"/>
                </w:tcPr>
                <w:p w14:paraId="0F5DD460">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用水量</w:t>
                  </w:r>
                </w:p>
              </w:tc>
              <w:tc>
                <w:tcPr>
                  <w:tcW w:w="1435" w:type="dxa"/>
                  <w:shd w:val="clear" w:color="auto" w:fill="auto"/>
                  <w:vAlign w:val="center"/>
                </w:tcPr>
                <w:p w14:paraId="1DA91DA6">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排水量</w:t>
                  </w:r>
                </w:p>
              </w:tc>
            </w:tr>
            <w:tr w14:paraId="398E72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574EE2BA">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843" w:type="dxa"/>
                  <w:shd w:val="clear" w:color="auto" w:fill="auto"/>
                  <w:vAlign w:val="center"/>
                </w:tcPr>
                <w:p w14:paraId="085CD85C">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生活用水</w:t>
                  </w:r>
                </w:p>
              </w:tc>
              <w:tc>
                <w:tcPr>
                  <w:tcW w:w="1417" w:type="dxa"/>
                  <w:shd w:val="clear" w:color="auto" w:fill="auto"/>
                  <w:vAlign w:val="center"/>
                </w:tcPr>
                <w:p w14:paraId="6CE4EC47">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20</w:t>
                  </w:r>
                </w:p>
              </w:tc>
              <w:tc>
                <w:tcPr>
                  <w:tcW w:w="1559" w:type="dxa"/>
                  <w:shd w:val="clear" w:color="auto" w:fill="auto"/>
                  <w:vAlign w:val="center"/>
                </w:tcPr>
                <w:p w14:paraId="25495C1A">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40L/人•班</w:t>
                  </w:r>
                </w:p>
              </w:tc>
              <w:tc>
                <w:tcPr>
                  <w:tcW w:w="1846" w:type="dxa"/>
                  <w:shd w:val="clear" w:color="auto" w:fill="auto"/>
                  <w:vAlign w:val="center"/>
                </w:tcPr>
                <w:p w14:paraId="0A5F121D">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0.8m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435" w:type="dxa"/>
                  <w:shd w:val="clear" w:color="auto" w:fill="auto"/>
                  <w:vAlign w:val="center"/>
                </w:tcPr>
                <w:p w14:paraId="7C468CA4">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0.64m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r w14:paraId="3EC52F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28DBD7F9">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843" w:type="dxa"/>
                  <w:shd w:val="clear" w:color="auto" w:fill="auto"/>
                  <w:vAlign w:val="center"/>
                </w:tcPr>
                <w:p w14:paraId="14F93830">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轮胎冲洗</w:t>
                  </w:r>
                  <w:r>
                    <w:rPr>
                      <w:rFonts w:ascii="Times New Roman" w:hAnsi="Times New Roman" w:eastAsia="宋体" w:cs="Times New Roman"/>
                      <w:sz w:val="21"/>
                      <w:szCs w:val="21"/>
                    </w:rPr>
                    <w:t>用水</w:t>
                  </w:r>
                </w:p>
              </w:tc>
              <w:tc>
                <w:tcPr>
                  <w:tcW w:w="1417" w:type="dxa"/>
                  <w:shd w:val="clear" w:color="auto" w:fill="auto"/>
                  <w:vAlign w:val="center"/>
                </w:tcPr>
                <w:p w14:paraId="37ED3CEA">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c>
                <w:tcPr>
                  <w:tcW w:w="1559" w:type="dxa"/>
                  <w:shd w:val="clear" w:color="auto" w:fill="auto"/>
                  <w:vAlign w:val="center"/>
                </w:tcPr>
                <w:p w14:paraId="2346AEAF">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c>
                <w:tcPr>
                  <w:tcW w:w="1846" w:type="dxa"/>
                  <w:shd w:val="clear" w:color="auto" w:fill="auto"/>
                  <w:vAlign w:val="center"/>
                </w:tcPr>
                <w:p w14:paraId="69A82299">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435" w:type="dxa"/>
                  <w:shd w:val="clear" w:color="auto" w:fill="auto"/>
                  <w:vAlign w:val="center"/>
                </w:tcPr>
                <w:p w14:paraId="72443C2B">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自然蒸发1m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r w14:paraId="4C49D3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65" w:type="dxa"/>
                  <w:gridSpan w:val="4"/>
                  <w:shd w:val="clear" w:color="auto" w:fill="auto"/>
                  <w:vAlign w:val="center"/>
                </w:tcPr>
                <w:p w14:paraId="2DC531B7">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合计</w:t>
                  </w:r>
                </w:p>
              </w:tc>
              <w:tc>
                <w:tcPr>
                  <w:tcW w:w="1846" w:type="dxa"/>
                  <w:shd w:val="clear" w:color="auto" w:fill="auto"/>
                  <w:vAlign w:val="center"/>
                </w:tcPr>
                <w:p w14:paraId="0110FAF9">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1.8m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435" w:type="dxa"/>
                  <w:shd w:val="clear" w:color="auto" w:fill="auto"/>
                  <w:vAlign w:val="center"/>
                </w:tcPr>
                <w:p w14:paraId="0378CC7F">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1.64 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bl>
          <w:p w14:paraId="474EE5CD">
            <w:pPr>
              <w:pStyle w:val="16"/>
              <w:spacing w:line="240" w:lineRule="auto"/>
              <w:ind w:left="0" w:firstLine="420" w:firstLineChars="200"/>
              <w:jc w:val="left"/>
              <w:rPr>
                <w:rFonts w:ascii="Times New Roman" w:hAnsi="Times New Roman" w:eastAsia="宋体" w:cs="Times New Roman"/>
                <w:sz w:val="21"/>
                <w:szCs w:val="21"/>
              </w:rPr>
            </w:pPr>
          </w:p>
        </w:tc>
      </w:tr>
      <w:tr w14:paraId="469A16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70" w:hRule="atLeast"/>
          <w:jc w:val="center"/>
        </w:trPr>
        <w:tc>
          <w:tcPr>
            <w:tcW w:w="5000" w:type="pct"/>
            <w:gridSpan w:val="11"/>
            <w:tcBorders>
              <w:top w:val="single" w:color="auto" w:sz="4" w:space="0"/>
              <w:bottom w:val="single" w:color="auto" w:sz="4" w:space="0"/>
            </w:tcBorders>
            <w:vAlign w:val="center"/>
          </w:tcPr>
          <w:p w14:paraId="06991CE3">
            <w:pPr>
              <w:spacing w:before="180" w:after="180" w:line="480" w:lineRule="exact"/>
              <w:rPr>
                <w:rFonts w:ascii="Times New Roman" w:hAnsi="Times New Roman" w:eastAsia="宋体" w:cs="Times New Roman"/>
                <w:b/>
                <w:color w:val="FF0000"/>
                <w:sz w:val="30"/>
                <w:szCs w:val="30"/>
              </w:rPr>
            </w:pPr>
            <w:r>
              <w:rPr>
                <w:rFonts w:ascii="Times New Roman" w:hAnsi="Times New Roman" w:eastAsia="宋体" w:cs="Times New Roman"/>
                <w:b/>
                <w:color w:val="FF0000"/>
                <w:sz w:val="30"/>
                <w:szCs w:val="30"/>
              </w:rPr>
              <w:t>与本项目有关的原有污染情况及主要环境问题：</w:t>
            </w:r>
          </w:p>
          <w:p w14:paraId="76CD418F">
            <w:pPr>
              <w:widowControl/>
              <w:spacing w:line="360" w:lineRule="auto"/>
              <w:ind w:firstLine="482" w:firstLineChars="200"/>
              <w:rPr>
                <w:rFonts w:ascii="宋体" w:hAnsi="宋体" w:eastAsia="宋体"/>
                <w:b/>
                <w:bCs/>
                <w:color w:val="FF0000"/>
                <w:kern w:val="0"/>
                <w:sz w:val="24"/>
              </w:rPr>
            </w:pPr>
            <w:r>
              <w:rPr>
                <w:rFonts w:hint="eastAsia" w:ascii="宋体" w:hAnsi="宋体" w:eastAsia="宋体"/>
                <w:b/>
                <w:bCs/>
                <w:color w:val="FF0000"/>
                <w:kern w:val="0"/>
                <w:sz w:val="24"/>
              </w:rPr>
              <w:t>1、原有基本情况</w:t>
            </w:r>
          </w:p>
          <w:p w14:paraId="3AF5EC42">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四川峨边林河电力有限公司新场磷化厂于2</w:t>
            </w:r>
            <w:r>
              <w:rPr>
                <w:rFonts w:ascii="宋体" w:hAnsi="宋体" w:eastAsia="宋体"/>
                <w:color w:val="FF0000"/>
                <w:kern w:val="0"/>
                <w:sz w:val="24"/>
              </w:rPr>
              <w:t>002</w:t>
            </w:r>
            <w:r>
              <w:rPr>
                <w:rFonts w:hint="eastAsia" w:ascii="宋体" w:hAnsi="宋体" w:eastAsia="宋体"/>
                <w:color w:val="FF0000"/>
                <w:kern w:val="0"/>
                <w:sz w:val="24"/>
              </w:rPr>
              <w:t>年于峨边彝族自治县新场乡庞沟村整体收购原四川峨边海乐磷化厂进行年产2</w:t>
            </w:r>
            <w:r>
              <w:rPr>
                <w:rFonts w:ascii="宋体" w:hAnsi="宋体" w:eastAsia="宋体"/>
                <w:color w:val="FF0000"/>
                <w:kern w:val="0"/>
                <w:sz w:val="24"/>
              </w:rPr>
              <w:t>000</w:t>
            </w:r>
            <w:r>
              <w:rPr>
                <w:rFonts w:hint="eastAsia" w:ascii="宋体" w:hAnsi="宋体" w:eastAsia="宋体"/>
                <w:color w:val="FF0000"/>
                <w:kern w:val="0"/>
                <w:sz w:val="24"/>
              </w:rPr>
              <w:t>吨黄磷生产。目前，四川林河集团有限公司将厂区场地进行收回，改建硅粉加工项目。</w:t>
            </w:r>
          </w:p>
          <w:p w14:paraId="626F6484">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1.1原项目组成</w:t>
            </w:r>
          </w:p>
          <w:p w14:paraId="35B73418">
            <w:pPr>
              <w:widowControl/>
              <w:spacing w:line="360" w:lineRule="auto"/>
              <w:ind w:firstLine="480" w:firstLineChars="200"/>
              <w:jc w:val="center"/>
              <w:rPr>
                <w:rFonts w:ascii="宋体" w:hAnsi="宋体" w:eastAsia="宋体"/>
                <w:color w:val="FF0000"/>
                <w:kern w:val="0"/>
                <w:sz w:val="24"/>
              </w:rPr>
            </w:pPr>
            <w:r>
              <w:rPr>
                <w:rFonts w:hint="eastAsia" w:ascii="宋体" w:hAnsi="宋体" w:eastAsia="宋体"/>
                <w:color w:val="FF0000"/>
                <w:kern w:val="0"/>
                <w:sz w:val="24"/>
              </w:rPr>
              <w:t>表1</w:t>
            </w:r>
            <w:r>
              <w:rPr>
                <w:rFonts w:ascii="宋体" w:hAnsi="宋体" w:eastAsia="宋体"/>
                <w:color w:val="FF0000"/>
                <w:kern w:val="0"/>
                <w:sz w:val="24"/>
              </w:rPr>
              <w:t xml:space="preserve">-8 </w:t>
            </w:r>
            <w:r>
              <w:rPr>
                <w:rFonts w:hint="eastAsia" w:ascii="宋体" w:hAnsi="宋体" w:eastAsia="宋体"/>
                <w:color w:val="FF0000"/>
                <w:kern w:val="0"/>
                <w:sz w:val="24"/>
              </w:rPr>
              <w:t>原项目组成情况表</w:t>
            </w:r>
          </w:p>
          <w:tbl>
            <w:tblPr>
              <w:tblStyle w:val="2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1985"/>
              <w:gridCol w:w="5716"/>
            </w:tblGrid>
            <w:tr w14:paraId="3EFAB6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Align w:val="center"/>
                </w:tcPr>
                <w:p w14:paraId="3A3BEDB1">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类别</w:t>
                  </w:r>
                </w:p>
              </w:tc>
              <w:tc>
                <w:tcPr>
                  <w:tcW w:w="1985" w:type="dxa"/>
                  <w:vAlign w:val="center"/>
                </w:tcPr>
                <w:p w14:paraId="281A6FA0">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项目名称</w:t>
                  </w:r>
                </w:p>
              </w:tc>
              <w:tc>
                <w:tcPr>
                  <w:tcW w:w="5716" w:type="dxa"/>
                  <w:vAlign w:val="center"/>
                </w:tcPr>
                <w:p w14:paraId="19391C2D">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项目内容</w:t>
                  </w:r>
                </w:p>
              </w:tc>
            </w:tr>
            <w:tr w14:paraId="293EC9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restart"/>
                  <w:vAlign w:val="center"/>
                </w:tcPr>
                <w:p w14:paraId="3325EF8E">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主体工程</w:t>
                  </w:r>
                </w:p>
              </w:tc>
              <w:tc>
                <w:tcPr>
                  <w:tcW w:w="1985" w:type="dxa"/>
                  <w:vAlign w:val="center"/>
                </w:tcPr>
                <w:p w14:paraId="5163D93A">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黄磷车间</w:t>
                  </w:r>
                </w:p>
              </w:tc>
              <w:tc>
                <w:tcPr>
                  <w:tcW w:w="5716" w:type="dxa"/>
                  <w:vAlign w:val="center"/>
                </w:tcPr>
                <w:p w14:paraId="7E915A36">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包括5500kVA电炉及其变压器、洗气塔、受磷槽、精制锅、碎料机和提升机、电炉配电设施和控制设备等，投资851.76万元。</w:t>
                  </w:r>
                </w:p>
              </w:tc>
            </w:tr>
            <w:tr w14:paraId="2DFB9F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68B77046">
                  <w:pPr>
                    <w:widowControl/>
                    <w:jc w:val="center"/>
                    <w:rPr>
                      <w:rFonts w:ascii="Times New Roman" w:hAnsi="Times New Roman" w:eastAsia="宋体" w:cs="Times New Roman"/>
                      <w:color w:val="FF0000"/>
                      <w:kern w:val="0"/>
                      <w:szCs w:val="21"/>
                    </w:rPr>
                  </w:pPr>
                </w:p>
              </w:tc>
              <w:tc>
                <w:tcPr>
                  <w:tcW w:w="1985" w:type="dxa"/>
                  <w:vAlign w:val="center"/>
                </w:tcPr>
                <w:p w14:paraId="605B137B">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锅炉车间</w:t>
                  </w:r>
                </w:p>
              </w:tc>
              <w:tc>
                <w:tcPr>
                  <w:tcW w:w="5716" w:type="dxa"/>
                  <w:vAlign w:val="center"/>
                </w:tcPr>
                <w:p w14:paraId="21073EA9">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一台1t/h提供生产用气的工业燃煤锅炉，型号DZL-1-Alll，名称：卧式快装料条锅炉，投资13万元。</w:t>
                  </w:r>
                </w:p>
              </w:tc>
            </w:tr>
            <w:tr w14:paraId="2BAE27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29185900">
                  <w:pPr>
                    <w:widowControl/>
                    <w:jc w:val="center"/>
                    <w:rPr>
                      <w:rFonts w:ascii="Times New Roman" w:hAnsi="Times New Roman" w:eastAsia="宋体" w:cs="Times New Roman"/>
                      <w:color w:val="FF0000"/>
                      <w:kern w:val="0"/>
                      <w:szCs w:val="21"/>
                    </w:rPr>
                  </w:pPr>
                </w:p>
              </w:tc>
              <w:tc>
                <w:tcPr>
                  <w:tcW w:w="1985" w:type="dxa"/>
                  <w:vAlign w:val="center"/>
                </w:tcPr>
                <w:p w14:paraId="261B222E">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供水及污水处理系统</w:t>
                  </w:r>
                </w:p>
              </w:tc>
              <w:tc>
                <w:tcPr>
                  <w:tcW w:w="5716" w:type="dxa"/>
                  <w:vAlign w:val="center"/>
                </w:tcPr>
                <w:p w14:paraId="79FAF5A1">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包括清水池及各种污水池及其他附属设备，投资168万元。</w:t>
                  </w:r>
                </w:p>
              </w:tc>
            </w:tr>
            <w:tr w14:paraId="638971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restart"/>
                  <w:vAlign w:val="center"/>
                </w:tcPr>
                <w:p w14:paraId="53212B88">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辅助工程</w:t>
                  </w:r>
                </w:p>
              </w:tc>
              <w:tc>
                <w:tcPr>
                  <w:tcW w:w="1985" w:type="dxa"/>
                  <w:vAlign w:val="center"/>
                </w:tcPr>
                <w:p w14:paraId="3A8FDFDE">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土地</w:t>
                  </w:r>
                </w:p>
              </w:tc>
              <w:tc>
                <w:tcPr>
                  <w:tcW w:w="5716" w:type="dxa"/>
                  <w:vAlign w:val="center"/>
                </w:tcPr>
                <w:p w14:paraId="3C8C0ADC">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包括征用土地30亩和青苗赔偿，投资45万元。</w:t>
                  </w:r>
                </w:p>
              </w:tc>
            </w:tr>
            <w:tr w14:paraId="6E0F55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739917F4">
                  <w:pPr>
                    <w:widowControl/>
                    <w:jc w:val="center"/>
                    <w:rPr>
                      <w:rFonts w:ascii="Times New Roman" w:hAnsi="Times New Roman" w:eastAsia="宋体" w:cs="Times New Roman"/>
                      <w:color w:val="FF0000"/>
                      <w:kern w:val="0"/>
                      <w:szCs w:val="21"/>
                    </w:rPr>
                  </w:pPr>
                </w:p>
              </w:tc>
              <w:tc>
                <w:tcPr>
                  <w:tcW w:w="1985" w:type="dxa"/>
                  <w:vAlign w:val="center"/>
                </w:tcPr>
                <w:p w14:paraId="5338D9EF">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道路、围墙、场地</w:t>
                  </w:r>
                </w:p>
              </w:tc>
              <w:tc>
                <w:tcPr>
                  <w:tcW w:w="5716" w:type="dxa"/>
                  <w:vAlign w:val="center"/>
                </w:tcPr>
                <w:p w14:paraId="470D8E0D">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投资12万元</w:t>
                  </w:r>
                </w:p>
              </w:tc>
            </w:tr>
            <w:tr w14:paraId="076C1A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39209551">
                  <w:pPr>
                    <w:widowControl/>
                    <w:jc w:val="center"/>
                    <w:rPr>
                      <w:rFonts w:ascii="Times New Roman" w:hAnsi="Times New Roman" w:eastAsia="宋体" w:cs="Times New Roman"/>
                      <w:color w:val="FF0000"/>
                      <w:kern w:val="0"/>
                      <w:szCs w:val="21"/>
                    </w:rPr>
                  </w:pPr>
                </w:p>
              </w:tc>
              <w:tc>
                <w:tcPr>
                  <w:tcW w:w="1985" w:type="dxa"/>
                  <w:vAlign w:val="center"/>
                </w:tcPr>
                <w:p w14:paraId="320D0DB5">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生产厂房</w:t>
                  </w:r>
                </w:p>
              </w:tc>
              <w:tc>
                <w:tcPr>
                  <w:tcW w:w="5716" w:type="dxa"/>
                  <w:vAlign w:val="center"/>
                </w:tcPr>
                <w:p w14:paraId="39D3A4F5">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建筑面积3500m</w:t>
                  </w:r>
                  <w:r>
                    <w:rPr>
                      <w:rFonts w:ascii="Times New Roman" w:hAnsi="Times New Roman" w:eastAsia="宋体" w:cs="Times New Roman"/>
                      <w:color w:val="FF0000"/>
                      <w:kern w:val="0"/>
                      <w:szCs w:val="21"/>
                      <w:vertAlign w:val="superscript"/>
                    </w:rPr>
                    <w:t>2</w:t>
                  </w:r>
                  <w:r>
                    <w:rPr>
                      <w:rFonts w:ascii="Times New Roman" w:hAnsi="Times New Roman" w:eastAsia="宋体" w:cs="Times New Roman"/>
                      <w:color w:val="FF0000"/>
                      <w:kern w:val="0"/>
                      <w:szCs w:val="21"/>
                    </w:rPr>
                    <w:t>，投资152万元。</w:t>
                  </w:r>
                </w:p>
              </w:tc>
            </w:tr>
            <w:tr w14:paraId="6E830E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50D283E7">
                  <w:pPr>
                    <w:widowControl/>
                    <w:jc w:val="center"/>
                    <w:rPr>
                      <w:rFonts w:ascii="Times New Roman" w:hAnsi="Times New Roman" w:eastAsia="宋体" w:cs="Times New Roman"/>
                      <w:color w:val="FF0000"/>
                      <w:kern w:val="0"/>
                      <w:szCs w:val="21"/>
                    </w:rPr>
                  </w:pPr>
                </w:p>
              </w:tc>
              <w:tc>
                <w:tcPr>
                  <w:tcW w:w="1985" w:type="dxa"/>
                  <w:vAlign w:val="center"/>
                </w:tcPr>
                <w:p w14:paraId="371B0E29">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办公楼、宿舍及其它</w:t>
                  </w:r>
                </w:p>
              </w:tc>
              <w:tc>
                <w:tcPr>
                  <w:tcW w:w="5716" w:type="dxa"/>
                  <w:vAlign w:val="center"/>
                </w:tcPr>
                <w:p w14:paraId="23FAFB2F">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投资500万元</w:t>
                  </w:r>
                </w:p>
              </w:tc>
            </w:tr>
            <w:tr w14:paraId="6B01D3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2AC6360A">
                  <w:pPr>
                    <w:widowControl/>
                    <w:jc w:val="center"/>
                    <w:rPr>
                      <w:rFonts w:ascii="Times New Roman" w:hAnsi="Times New Roman" w:eastAsia="宋体" w:cs="Times New Roman"/>
                      <w:color w:val="FF0000"/>
                      <w:kern w:val="0"/>
                      <w:szCs w:val="21"/>
                    </w:rPr>
                  </w:pPr>
                </w:p>
              </w:tc>
              <w:tc>
                <w:tcPr>
                  <w:tcW w:w="1985" w:type="dxa"/>
                  <w:vAlign w:val="center"/>
                </w:tcPr>
                <w:p w14:paraId="1113EDCF">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输电线路</w:t>
                  </w:r>
                </w:p>
              </w:tc>
              <w:tc>
                <w:tcPr>
                  <w:tcW w:w="5716" w:type="dxa"/>
                  <w:vAlign w:val="center"/>
                </w:tcPr>
                <w:p w14:paraId="4496DF50">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架设4公里3.5万伏输电线路，投资28万元。</w:t>
                  </w:r>
                </w:p>
              </w:tc>
            </w:tr>
            <w:tr w14:paraId="768719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402E2ECF">
                  <w:pPr>
                    <w:widowControl/>
                    <w:jc w:val="center"/>
                    <w:rPr>
                      <w:rFonts w:ascii="Times New Roman" w:hAnsi="Times New Roman" w:eastAsia="宋体" w:cs="Times New Roman"/>
                      <w:color w:val="FF0000"/>
                      <w:kern w:val="0"/>
                      <w:szCs w:val="21"/>
                    </w:rPr>
                  </w:pPr>
                </w:p>
              </w:tc>
              <w:tc>
                <w:tcPr>
                  <w:tcW w:w="1985" w:type="dxa"/>
                  <w:vAlign w:val="center"/>
                </w:tcPr>
                <w:p w14:paraId="46C680F5">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计量及化验室</w:t>
                  </w:r>
                </w:p>
              </w:tc>
              <w:tc>
                <w:tcPr>
                  <w:tcW w:w="5716" w:type="dxa"/>
                  <w:vAlign w:val="center"/>
                </w:tcPr>
                <w:p w14:paraId="484E14F7">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保罗地磅、地磅房、化验设备和器具等，投资25万元。</w:t>
                  </w:r>
                </w:p>
              </w:tc>
            </w:tr>
            <w:tr w14:paraId="26E876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21" w:type="dxa"/>
                  <w:vMerge w:val="continue"/>
                  <w:vAlign w:val="center"/>
                </w:tcPr>
                <w:p w14:paraId="16E50B67">
                  <w:pPr>
                    <w:widowControl/>
                    <w:jc w:val="center"/>
                    <w:rPr>
                      <w:rFonts w:ascii="Times New Roman" w:hAnsi="Times New Roman" w:eastAsia="宋体" w:cs="Times New Roman"/>
                      <w:color w:val="FF0000"/>
                      <w:kern w:val="0"/>
                      <w:szCs w:val="21"/>
                    </w:rPr>
                  </w:pPr>
                </w:p>
              </w:tc>
              <w:tc>
                <w:tcPr>
                  <w:tcW w:w="1985" w:type="dxa"/>
                  <w:vAlign w:val="center"/>
                </w:tcPr>
                <w:p w14:paraId="6BF335DC">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其它</w:t>
                  </w:r>
                </w:p>
              </w:tc>
              <w:tc>
                <w:tcPr>
                  <w:tcW w:w="5716" w:type="dxa"/>
                  <w:vAlign w:val="center"/>
                </w:tcPr>
                <w:p w14:paraId="6C662D65">
                  <w:pPr>
                    <w:widowControl/>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包括后勤、设计、培训、试车、安装、交通工具以及不可预费用等，105万元。</w:t>
                  </w:r>
                </w:p>
              </w:tc>
            </w:tr>
          </w:tbl>
          <w:p w14:paraId="192715F0">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1</w:t>
            </w:r>
            <w:r>
              <w:rPr>
                <w:rFonts w:ascii="宋体" w:hAnsi="宋体" w:eastAsia="宋体"/>
                <w:color w:val="FF0000"/>
                <w:kern w:val="0"/>
                <w:sz w:val="24"/>
              </w:rPr>
              <w:t>.2</w:t>
            </w:r>
            <w:r>
              <w:rPr>
                <w:rFonts w:hint="eastAsia" w:ascii="宋体" w:hAnsi="宋体" w:eastAsia="宋体"/>
                <w:color w:val="FF0000"/>
                <w:kern w:val="0"/>
                <w:sz w:val="24"/>
              </w:rPr>
              <w:t>主要污染工序</w:t>
            </w:r>
          </w:p>
          <w:p w14:paraId="59A37D87">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废气主要是电炉尾气、原料工段废气、淬渣废气、无组织排放废气和锅炉燃烧废气。</w:t>
            </w:r>
          </w:p>
          <w:p w14:paraId="4A3D2B72">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废水主要包括含磷废水、冷却水和外排废水。含磷废水主要是黄磷生产、冲渣、洗手、洗器具、冲地等产生的废水，含磷废水全部进入污水处理系统处理后循环使用;冷却水主要是变压器冷却水，该部分水进入清水池循环使用；外排废水主要是生活废水和锅炉冷却水。</w:t>
            </w:r>
          </w:p>
          <w:p w14:paraId="7116042D">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本工程噪声主要来自原料破碎机、提升机、原料输送设备、水泵等设备产生的机械噪声。</w:t>
            </w:r>
          </w:p>
          <w:p w14:paraId="72580D10">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废渣主要是黄磷电炉炉渣、磷铁、泥磷、矿渣</w:t>
            </w:r>
            <w:r>
              <w:rPr>
                <w:rFonts w:hint="eastAsia" w:ascii="宋体" w:hAnsi="宋体" w:eastAsia="宋体"/>
                <w:color w:val="FF0000"/>
                <w:kern w:val="0"/>
                <w:sz w:val="24"/>
                <w:lang w:eastAsia="zh-CN"/>
              </w:rPr>
              <w:t>（</w:t>
            </w:r>
            <w:r>
              <w:rPr>
                <w:rFonts w:hint="eastAsia" w:ascii="宋体" w:hAnsi="宋体" w:eastAsia="宋体"/>
                <w:color w:val="FF0000"/>
                <w:kern w:val="0"/>
                <w:sz w:val="24"/>
              </w:rPr>
              <w:t>粉</w:t>
            </w:r>
            <w:r>
              <w:rPr>
                <w:rFonts w:hint="eastAsia" w:ascii="宋体" w:hAnsi="宋体" w:eastAsia="宋体"/>
                <w:color w:val="FF0000"/>
                <w:kern w:val="0"/>
                <w:sz w:val="24"/>
                <w:lang w:eastAsia="zh-CN"/>
              </w:rPr>
              <w:t>）</w:t>
            </w:r>
            <w:r>
              <w:rPr>
                <w:rFonts w:hint="eastAsia" w:ascii="宋体" w:hAnsi="宋体" w:eastAsia="宋体"/>
                <w:color w:val="FF0000"/>
                <w:kern w:val="0"/>
                <w:sz w:val="24"/>
              </w:rPr>
              <w:t>和燃煤锅炉炉渣。</w:t>
            </w:r>
          </w:p>
          <w:p w14:paraId="5A95618C">
            <w:pPr>
              <w:spacing w:line="360" w:lineRule="auto"/>
              <w:ind w:firstLine="468" w:firstLineChars="195"/>
              <w:rPr>
                <w:rFonts w:ascii="宋体" w:hAnsi="宋体" w:eastAsia="宋体"/>
                <w:bCs/>
                <w:color w:val="FF0000"/>
                <w:sz w:val="24"/>
              </w:rPr>
            </w:pPr>
            <w:r>
              <w:rPr>
                <w:rFonts w:hint="eastAsia" w:ascii="宋体" w:hAnsi="宋体" w:eastAsia="宋体"/>
                <w:bCs/>
                <w:color w:val="FF0000"/>
                <w:sz w:val="24"/>
              </w:rPr>
              <w:t>1</w:t>
            </w:r>
            <w:r>
              <w:rPr>
                <w:rFonts w:ascii="宋体" w:hAnsi="宋体" w:eastAsia="宋体"/>
                <w:bCs/>
                <w:color w:val="FF0000"/>
                <w:sz w:val="24"/>
              </w:rPr>
              <w:t>.3</w:t>
            </w:r>
            <w:r>
              <w:rPr>
                <w:rFonts w:hint="eastAsia" w:ascii="宋体" w:hAnsi="宋体" w:eastAsia="宋体"/>
                <w:bCs/>
                <w:color w:val="FF0000"/>
                <w:sz w:val="24"/>
              </w:rPr>
              <w:t>原有项目“三废”产生情况</w:t>
            </w:r>
          </w:p>
          <w:p w14:paraId="6FA9B78C">
            <w:pPr>
              <w:spacing w:line="360" w:lineRule="auto"/>
              <w:ind w:firstLine="468" w:firstLineChars="195"/>
              <w:rPr>
                <w:rFonts w:ascii="宋体" w:hAnsi="宋体" w:eastAsia="宋体"/>
                <w:bCs/>
                <w:color w:val="FF0000"/>
                <w:sz w:val="24"/>
              </w:rPr>
            </w:pPr>
            <w:r>
              <w:rPr>
                <w:rFonts w:hint="eastAsia" w:ascii="宋体" w:hAnsi="宋体" w:eastAsia="宋体"/>
                <w:bCs/>
                <w:color w:val="FF0000"/>
                <w:sz w:val="24"/>
              </w:rPr>
              <w:t>项目改扩建前的项目组成及主要污染物如下表</w:t>
            </w:r>
            <w:r>
              <w:rPr>
                <w:rFonts w:ascii="宋体" w:hAnsi="宋体" w:eastAsia="宋体"/>
                <w:bCs/>
                <w:color w:val="FF0000"/>
                <w:sz w:val="24"/>
              </w:rPr>
              <w:t>1-8</w:t>
            </w:r>
            <w:r>
              <w:rPr>
                <w:rFonts w:hint="eastAsia" w:ascii="宋体" w:hAnsi="宋体" w:eastAsia="宋体"/>
                <w:bCs/>
                <w:color w:val="FF0000"/>
                <w:sz w:val="24"/>
              </w:rPr>
              <w:t>所示：</w:t>
            </w:r>
          </w:p>
          <w:p w14:paraId="5CF37982">
            <w:pPr>
              <w:ind w:firstLine="482" w:firstLineChars="200"/>
              <w:jc w:val="center"/>
              <w:rPr>
                <w:rFonts w:ascii="宋体" w:hAnsi="宋体" w:eastAsia="宋体"/>
                <w:b/>
                <w:color w:val="FF0000"/>
                <w:sz w:val="24"/>
              </w:rPr>
            </w:pPr>
            <w:r>
              <w:rPr>
                <w:rFonts w:hint="eastAsia" w:ascii="宋体" w:hAnsi="宋体" w:eastAsia="宋体"/>
                <w:b/>
                <w:color w:val="FF0000"/>
                <w:sz w:val="24"/>
              </w:rPr>
              <w:t>表</w:t>
            </w:r>
            <w:r>
              <w:rPr>
                <w:rFonts w:ascii="宋体" w:hAnsi="宋体" w:eastAsia="宋体"/>
                <w:b/>
                <w:color w:val="FF0000"/>
                <w:sz w:val="24"/>
              </w:rPr>
              <w:t xml:space="preserve">1-8 </w:t>
            </w:r>
            <w:r>
              <w:rPr>
                <w:rFonts w:hint="eastAsia" w:ascii="宋体" w:hAnsi="宋体" w:eastAsia="宋体"/>
                <w:b/>
                <w:color w:val="FF0000"/>
                <w:sz w:val="24"/>
              </w:rPr>
              <w:t>原有项目</w:t>
            </w:r>
            <w:r>
              <w:rPr>
                <w:rFonts w:ascii="宋体" w:hAnsi="宋体" w:eastAsia="宋体"/>
                <w:b/>
                <w:color w:val="FF0000"/>
                <w:sz w:val="24"/>
              </w:rPr>
              <w:t>“</w:t>
            </w:r>
            <w:r>
              <w:rPr>
                <w:rFonts w:hint="eastAsia" w:ascii="宋体" w:hAnsi="宋体" w:eastAsia="宋体"/>
                <w:b/>
                <w:color w:val="FF0000"/>
                <w:sz w:val="24"/>
              </w:rPr>
              <w:t>三废</w:t>
            </w:r>
            <w:r>
              <w:rPr>
                <w:rFonts w:ascii="宋体" w:hAnsi="宋体" w:eastAsia="宋体"/>
                <w:b/>
                <w:color w:val="FF0000"/>
                <w:sz w:val="24"/>
              </w:rPr>
              <w:t>”</w:t>
            </w:r>
            <w:r>
              <w:rPr>
                <w:rFonts w:hint="eastAsia" w:ascii="宋体" w:hAnsi="宋体" w:eastAsia="宋体"/>
                <w:b/>
                <w:color w:val="FF0000"/>
                <w:sz w:val="24"/>
              </w:rPr>
              <w:t>统计表</w:t>
            </w:r>
          </w:p>
          <w:tbl>
            <w:tblPr>
              <w:tblStyle w:val="27"/>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94"/>
              <w:gridCol w:w="1409"/>
              <w:gridCol w:w="1834"/>
              <w:gridCol w:w="2334"/>
              <w:gridCol w:w="2357"/>
            </w:tblGrid>
            <w:tr w14:paraId="0D54DF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tcBorders>
                    <w:top w:val="single" w:color="auto" w:sz="12" w:space="0"/>
                    <w:left w:val="single" w:color="auto" w:sz="12" w:space="0"/>
                    <w:bottom w:val="single" w:color="auto" w:sz="4" w:space="0"/>
                    <w:right w:val="single" w:color="auto" w:sz="4" w:space="0"/>
                  </w:tcBorders>
                </w:tcPr>
                <w:p w14:paraId="03894F9D">
                  <w:pPr>
                    <w:jc w:val="center"/>
                    <w:rPr>
                      <w:rFonts w:ascii="宋体" w:hAnsi="宋体" w:eastAsia="宋体"/>
                      <w:b/>
                      <w:color w:val="FF0000"/>
                      <w:szCs w:val="21"/>
                    </w:rPr>
                  </w:pPr>
                  <w:r>
                    <w:rPr>
                      <w:rFonts w:hint="eastAsia" w:ascii="宋体" w:hAnsi="宋体" w:eastAsia="宋体"/>
                      <w:b/>
                      <w:color w:val="FF0000"/>
                      <w:szCs w:val="21"/>
                    </w:rPr>
                    <w:t>项目</w:t>
                  </w:r>
                </w:p>
              </w:tc>
              <w:tc>
                <w:tcPr>
                  <w:tcW w:w="789" w:type="pct"/>
                  <w:tcBorders>
                    <w:top w:val="single" w:color="auto" w:sz="12" w:space="0"/>
                    <w:left w:val="single" w:color="auto" w:sz="4" w:space="0"/>
                    <w:bottom w:val="single" w:color="auto" w:sz="4" w:space="0"/>
                    <w:right w:val="single" w:color="auto" w:sz="4" w:space="0"/>
                  </w:tcBorders>
                </w:tcPr>
                <w:p w14:paraId="45BFF647">
                  <w:pPr>
                    <w:jc w:val="center"/>
                    <w:rPr>
                      <w:rFonts w:ascii="宋体" w:hAnsi="宋体" w:eastAsia="宋体"/>
                      <w:b/>
                      <w:color w:val="FF0000"/>
                      <w:szCs w:val="21"/>
                    </w:rPr>
                  </w:pPr>
                  <w:r>
                    <w:rPr>
                      <w:rFonts w:hint="eastAsia" w:ascii="宋体" w:hAnsi="宋体" w:eastAsia="宋体"/>
                      <w:b/>
                      <w:color w:val="FF0000"/>
                      <w:szCs w:val="21"/>
                    </w:rPr>
                    <w:t>污染物名称</w:t>
                  </w:r>
                </w:p>
              </w:tc>
              <w:tc>
                <w:tcPr>
                  <w:tcW w:w="1027" w:type="pct"/>
                  <w:tcBorders>
                    <w:top w:val="single" w:color="auto" w:sz="12" w:space="0"/>
                    <w:left w:val="single" w:color="auto" w:sz="4" w:space="0"/>
                    <w:bottom w:val="single" w:color="auto" w:sz="4" w:space="0"/>
                    <w:right w:val="single" w:color="auto" w:sz="4" w:space="0"/>
                  </w:tcBorders>
                  <w:vAlign w:val="center"/>
                </w:tcPr>
                <w:p w14:paraId="354F42A9">
                  <w:pPr>
                    <w:jc w:val="center"/>
                    <w:rPr>
                      <w:rFonts w:ascii="宋体" w:hAnsi="宋体" w:eastAsia="宋体"/>
                      <w:b/>
                      <w:color w:val="FF0000"/>
                      <w:szCs w:val="21"/>
                    </w:rPr>
                  </w:pPr>
                  <w:r>
                    <w:rPr>
                      <w:rFonts w:hint="eastAsia" w:ascii="宋体" w:hAnsi="宋体" w:eastAsia="宋体"/>
                      <w:b/>
                      <w:color w:val="FF0000"/>
                      <w:szCs w:val="21"/>
                    </w:rPr>
                    <w:t>污染物名称</w:t>
                  </w:r>
                </w:p>
              </w:tc>
              <w:tc>
                <w:tcPr>
                  <w:tcW w:w="1307" w:type="pct"/>
                  <w:tcBorders>
                    <w:top w:val="single" w:color="auto" w:sz="12" w:space="0"/>
                    <w:left w:val="single" w:color="auto" w:sz="4" w:space="0"/>
                    <w:bottom w:val="single" w:color="auto" w:sz="4" w:space="0"/>
                    <w:right w:val="single" w:color="auto" w:sz="4" w:space="0"/>
                  </w:tcBorders>
                </w:tcPr>
                <w:p w14:paraId="7057DD21">
                  <w:pPr>
                    <w:jc w:val="center"/>
                    <w:rPr>
                      <w:rFonts w:ascii="宋体" w:hAnsi="宋体" w:eastAsia="宋体"/>
                      <w:b/>
                      <w:color w:val="FF0000"/>
                      <w:szCs w:val="21"/>
                    </w:rPr>
                  </w:pPr>
                  <w:r>
                    <w:rPr>
                      <w:rFonts w:hint="eastAsia" w:ascii="宋体" w:hAnsi="宋体" w:eastAsia="宋体"/>
                      <w:b/>
                      <w:color w:val="FF0000"/>
                      <w:szCs w:val="21"/>
                    </w:rPr>
                    <w:t>产生量</w:t>
                  </w:r>
                </w:p>
              </w:tc>
              <w:tc>
                <w:tcPr>
                  <w:tcW w:w="1320" w:type="pct"/>
                  <w:tcBorders>
                    <w:top w:val="single" w:color="auto" w:sz="12" w:space="0"/>
                    <w:left w:val="single" w:color="auto" w:sz="4" w:space="0"/>
                    <w:bottom w:val="single" w:color="auto" w:sz="4" w:space="0"/>
                    <w:right w:val="single" w:color="auto" w:sz="12" w:space="0"/>
                  </w:tcBorders>
                </w:tcPr>
                <w:p w14:paraId="75CB24EF">
                  <w:pPr>
                    <w:jc w:val="center"/>
                    <w:rPr>
                      <w:rFonts w:ascii="宋体" w:hAnsi="宋体" w:eastAsia="宋体"/>
                      <w:b/>
                      <w:color w:val="FF0000"/>
                      <w:szCs w:val="21"/>
                    </w:rPr>
                  </w:pPr>
                  <w:r>
                    <w:rPr>
                      <w:rFonts w:hint="eastAsia" w:ascii="宋体" w:hAnsi="宋体" w:eastAsia="宋体"/>
                      <w:b/>
                      <w:color w:val="FF0000"/>
                      <w:szCs w:val="21"/>
                    </w:rPr>
                    <w:t>排放量</w:t>
                  </w:r>
                </w:p>
              </w:tc>
            </w:tr>
            <w:tr w14:paraId="4D42D6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restart"/>
                  <w:tcBorders>
                    <w:top w:val="single" w:color="auto" w:sz="4" w:space="0"/>
                    <w:left w:val="single" w:color="auto" w:sz="12" w:space="0"/>
                    <w:bottom w:val="single" w:color="auto" w:sz="4" w:space="0"/>
                    <w:right w:val="single" w:color="auto" w:sz="4" w:space="0"/>
                  </w:tcBorders>
                  <w:vAlign w:val="center"/>
                </w:tcPr>
                <w:p w14:paraId="0BFD19A4">
                  <w:pPr>
                    <w:jc w:val="center"/>
                    <w:rPr>
                      <w:rFonts w:ascii="宋体" w:hAnsi="宋体" w:eastAsia="宋体"/>
                      <w:bCs/>
                      <w:color w:val="FF0000"/>
                      <w:szCs w:val="21"/>
                    </w:rPr>
                  </w:pPr>
                  <w:r>
                    <w:rPr>
                      <w:rFonts w:hint="eastAsia" w:ascii="宋体" w:hAnsi="宋体" w:eastAsia="宋体"/>
                      <w:bCs/>
                      <w:color w:val="FF0000"/>
                      <w:szCs w:val="21"/>
                    </w:rPr>
                    <w:t>大气污染物</w:t>
                  </w:r>
                </w:p>
              </w:tc>
              <w:tc>
                <w:tcPr>
                  <w:tcW w:w="789" w:type="pct"/>
                  <w:tcBorders>
                    <w:top w:val="single" w:color="auto" w:sz="4" w:space="0"/>
                    <w:left w:val="single" w:color="auto" w:sz="4" w:space="0"/>
                    <w:bottom w:val="single" w:color="auto" w:sz="4" w:space="0"/>
                    <w:right w:val="single" w:color="auto" w:sz="4" w:space="0"/>
                  </w:tcBorders>
                  <w:vAlign w:val="center"/>
                </w:tcPr>
                <w:p w14:paraId="07CD52FE">
                  <w:pPr>
                    <w:jc w:val="center"/>
                    <w:rPr>
                      <w:rFonts w:ascii="宋体" w:hAnsi="宋体" w:eastAsia="宋体"/>
                      <w:bCs/>
                      <w:color w:val="FF0000"/>
                      <w:szCs w:val="21"/>
                    </w:rPr>
                  </w:pPr>
                  <w:r>
                    <w:rPr>
                      <w:rFonts w:hint="eastAsia" w:ascii="宋体" w:hAnsi="宋体" w:eastAsia="宋体"/>
                      <w:bCs/>
                      <w:color w:val="FF0000"/>
                      <w:szCs w:val="21"/>
                    </w:rPr>
                    <w:t>电炉尾气</w:t>
                  </w:r>
                </w:p>
              </w:tc>
              <w:tc>
                <w:tcPr>
                  <w:tcW w:w="1027" w:type="pct"/>
                  <w:tcBorders>
                    <w:top w:val="single" w:color="auto" w:sz="4" w:space="0"/>
                    <w:left w:val="single" w:color="auto" w:sz="4" w:space="0"/>
                    <w:bottom w:val="single" w:color="auto" w:sz="4" w:space="0"/>
                    <w:right w:val="single" w:color="auto" w:sz="4" w:space="0"/>
                  </w:tcBorders>
                  <w:vAlign w:val="center"/>
                </w:tcPr>
                <w:p w14:paraId="577F413A">
                  <w:pPr>
                    <w:jc w:val="center"/>
                    <w:rPr>
                      <w:rFonts w:ascii="宋体" w:hAnsi="宋体" w:eastAsia="宋体"/>
                      <w:bCs/>
                      <w:color w:val="FF0000"/>
                      <w:szCs w:val="21"/>
                    </w:rPr>
                  </w:pPr>
                  <w:r>
                    <w:rPr>
                      <w:rFonts w:hint="eastAsia" w:ascii="宋体" w:hAnsi="宋体" w:eastAsia="宋体"/>
                      <w:bCs/>
                      <w:color w:val="FF0000"/>
                      <w:szCs w:val="21"/>
                    </w:rPr>
                    <w:t>废气量</w:t>
                  </w:r>
                </w:p>
                <w:p w14:paraId="5B68FF11">
                  <w:pPr>
                    <w:jc w:val="center"/>
                    <w:rPr>
                      <w:rFonts w:ascii="宋体" w:hAnsi="宋体" w:eastAsia="宋体"/>
                      <w:bCs/>
                      <w:color w:val="FF0000"/>
                      <w:szCs w:val="21"/>
                    </w:rPr>
                  </w:pPr>
                  <w:r>
                    <w:rPr>
                      <w:rFonts w:hint="eastAsia" w:ascii="宋体" w:hAnsi="宋体" w:eastAsia="宋体"/>
                      <w:bCs/>
                      <w:color w:val="FF0000"/>
                      <w:szCs w:val="21"/>
                    </w:rPr>
                    <w:t>五氧化二磷</w:t>
                  </w:r>
                </w:p>
                <w:p w14:paraId="3E481989">
                  <w:pPr>
                    <w:jc w:val="center"/>
                    <w:rPr>
                      <w:rFonts w:ascii="宋体" w:hAnsi="宋体" w:eastAsia="宋体"/>
                      <w:bCs/>
                      <w:color w:val="FF0000"/>
                      <w:szCs w:val="21"/>
                    </w:rPr>
                  </w:pPr>
                  <w:r>
                    <w:rPr>
                      <w:rFonts w:hint="eastAsia" w:ascii="宋体" w:hAnsi="宋体" w:eastAsia="宋体"/>
                      <w:bCs/>
                      <w:color w:val="FF0000"/>
                      <w:szCs w:val="21"/>
                    </w:rPr>
                    <w:t>氟化物</w:t>
                  </w:r>
                </w:p>
              </w:tc>
              <w:tc>
                <w:tcPr>
                  <w:tcW w:w="1307" w:type="pct"/>
                  <w:tcBorders>
                    <w:top w:val="single" w:color="auto" w:sz="4" w:space="0"/>
                    <w:left w:val="single" w:color="auto" w:sz="4" w:space="0"/>
                    <w:bottom w:val="single" w:color="auto" w:sz="4" w:space="0"/>
                    <w:right w:val="single" w:color="auto" w:sz="4" w:space="0"/>
                  </w:tcBorders>
                  <w:vAlign w:val="center"/>
                </w:tcPr>
                <w:p w14:paraId="3E2AE6D1">
                  <w:pPr>
                    <w:jc w:val="center"/>
                    <w:rPr>
                      <w:rFonts w:ascii="宋体" w:hAnsi="宋体" w:eastAsia="宋体" w:cs="Times New Roman"/>
                      <w:bCs/>
                      <w:color w:val="FF0000"/>
                      <w:szCs w:val="21"/>
                    </w:rPr>
                  </w:pPr>
                  <w:r>
                    <w:rPr>
                      <w:rFonts w:ascii="宋体" w:hAnsi="宋体" w:eastAsia="宋体" w:cs="Times New Roman"/>
                      <w:bCs/>
                      <w:color w:val="FF0000"/>
                      <w:szCs w:val="21"/>
                    </w:rPr>
                    <w:t>700m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/h</w:t>
                  </w:r>
                </w:p>
                <w:p w14:paraId="76AAF312">
                  <w:pPr>
                    <w:jc w:val="center"/>
                    <w:rPr>
                      <w:rFonts w:ascii="宋体" w:hAnsi="宋体" w:eastAsia="宋体" w:cs="Times New Roman"/>
                      <w:bCs/>
                      <w:color w:val="FF0000"/>
                      <w:szCs w:val="21"/>
                    </w:rPr>
                  </w:pPr>
                  <w:r>
                    <w:rPr>
                      <w:rFonts w:ascii="宋体" w:hAnsi="宋体" w:eastAsia="宋体" w:cs="Times New Roman"/>
                      <w:bCs/>
                      <w:color w:val="FF0000"/>
                      <w:szCs w:val="21"/>
                    </w:rPr>
                    <w:t>22.86mg/m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,0.016kg/h</w:t>
                  </w:r>
                </w:p>
                <w:p w14:paraId="68321D18">
                  <w:pPr>
                    <w:jc w:val="center"/>
                    <w:rPr>
                      <w:rFonts w:ascii="宋体" w:hAnsi="宋体" w:eastAsia="宋体"/>
                      <w:bCs/>
                      <w:color w:val="FF0000"/>
                      <w:szCs w:val="21"/>
                    </w:rPr>
                  </w:pPr>
                  <w:r>
                    <w:rPr>
                      <w:rFonts w:ascii="宋体" w:hAnsi="宋体" w:eastAsia="宋体" w:cs="Times New Roman"/>
                      <w:bCs/>
                      <w:color w:val="FF0000"/>
                      <w:szCs w:val="21"/>
                    </w:rPr>
                    <w:t>8.0mg/m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,0.0056kg/h</w:t>
                  </w:r>
                </w:p>
              </w:tc>
              <w:tc>
                <w:tcPr>
                  <w:tcW w:w="1320" w:type="pct"/>
                  <w:tcBorders>
                    <w:top w:val="single" w:color="auto" w:sz="4" w:space="0"/>
                    <w:left w:val="single" w:color="auto" w:sz="4" w:space="0"/>
                    <w:bottom w:val="single" w:color="auto" w:sz="4" w:space="0"/>
                    <w:right w:val="single" w:color="auto" w:sz="12" w:space="0"/>
                  </w:tcBorders>
                  <w:vAlign w:val="center"/>
                </w:tcPr>
                <w:p w14:paraId="416A1740">
                  <w:pPr>
                    <w:jc w:val="center"/>
                    <w:rPr>
                      <w:rFonts w:ascii="宋体" w:hAnsi="宋体" w:eastAsia="宋体" w:cs="Times New Roman"/>
                      <w:bCs/>
                      <w:color w:val="FF0000"/>
                      <w:szCs w:val="21"/>
                    </w:rPr>
                  </w:pPr>
                  <w:r>
                    <w:rPr>
                      <w:rFonts w:ascii="宋体" w:hAnsi="宋体" w:eastAsia="宋体" w:cs="Times New Roman"/>
                      <w:bCs/>
                      <w:color w:val="FF0000"/>
                      <w:szCs w:val="21"/>
                    </w:rPr>
                    <w:t>700m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/h</w:t>
                  </w:r>
                </w:p>
                <w:p w14:paraId="1E0AC50C">
                  <w:pPr>
                    <w:jc w:val="center"/>
                    <w:rPr>
                      <w:rFonts w:ascii="宋体" w:hAnsi="宋体" w:eastAsia="宋体" w:cs="Times New Roman"/>
                      <w:bCs/>
                      <w:color w:val="FF0000"/>
                      <w:szCs w:val="21"/>
                    </w:rPr>
                  </w:pPr>
                  <w:r>
                    <w:rPr>
                      <w:rFonts w:ascii="宋体" w:hAnsi="宋体" w:eastAsia="宋体" w:cs="Times New Roman"/>
                      <w:bCs/>
                      <w:color w:val="FF0000"/>
                      <w:szCs w:val="21"/>
                    </w:rPr>
                    <w:t>22.86mg/m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,0.016kg/h</w:t>
                  </w:r>
                </w:p>
                <w:p w14:paraId="55C04C7A">
                  <w:pPr>
                    <w:jc w:val="center"/>
                    <w:rPr>
                      <w:rFonts w:ascii="宋体" w:hAnsi="宋体" w:eastAsia="宋体"/>
                      <w:bCs/>
                      <w:color w:val="FF0000"/>
                      <w:szCs w:val="21"/>
                    </w:rPr>
                  </w:pPr>
                  <w:r>
                    <w:rPr>
                      <w:rFonts w:ascii="宋体" w:hAnsi="宋体" w:eastAsia="宋体" w:cs="Times New Roman"/>
                      <w:bCs/>
                      <w:color w:val="FF0000"/>
                      <w:szCs w:val="21"/>
                    </w:rPr>
                    <w:t>8.0mg/m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,0.0056kg/h</w:t>
                  </w:r>
                </w:p>
              </w:tc>
            </w:tr>
            <w:tr w14:paraId="214A44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continue"/>
                  <w:tcBorders>
                    <w:top w:val="single" w:color="auto" w:sz="4" w:space="0"/>
                    <w:left w:val="single" w:color="auto" w:sz="12" w:space="0"/>
                    <w:bottom w:val="single" w:color="auto" w:sz="4" w:space="0"/>
                    <w:right w:val="single" w:color="auto" w:sz="4" w:space="0"/>
                  </w:tcBorders>
                  <w:vAlign w:val="center"/>
                </w:tcPr>
                <w:p w14:paraId="182392ED">
                  <w:pPr>
                    <w:widowControl/>
                    <w:jc w:val="left"/>
                    <w:rPr>
                      <w:rFonts w:ascii="宋体" w:hAnsi="宋体" w:eastAsia="宋体"/>
                      <w:bCs/>
                      <w:color w:val="FF0000"/>
                      <w:szCs w:val="21"/>
                    </w:rPr>
                  </w:pPr>
                </w:p>
              </w:tc>
              <w:tc>
                <w:tcPr>
                  <w:tcW w:w="789" w:type="pct"/>
                  <w:tcBorders>
                    <w:top w:val="single" w:color="auto" w:sz="4" w:space="0"/>
                    <w:left w:val="single" w:color="auto" w:sz="4" w:space="0"/>
                    <w:bottom w:val="single" w:color="auto" w:sz="4" w:space="0"/>
                    <w:right w:val="single" w:color="auto" w:sz="4" w:space="0"/>
                  </w:tcBorders>
                  <w:vAlign w:val="center"/>
                </w:tcPr>
                <w:p w14:paraId="27C850DC">
                  <w:pPr>
                    <w:jc w:val="center"/>
                    <w:rPr>
                      <w:rFonts w:ascii="宋体" w:hAnsi="宋体" w:eastAsia="宋体"/>
                      <w:bCs/>
                      <w:color w:val="FF0000"/>
                      <w:szCs w:val="21"/>
                    </w:rPr>
                  </w:pPr>
                  <w:r>
                    <w:rPr>
                      <w:rFonts w:hint="eastAsia" w:ascii="宋体" w:hAnsi="宋体" w:eastAsia="宋体"/>
                      <w:bCs/>
                      <w:color w:val="FF0000"/>
                      <w:szCs w:val="21"/>
                    </w:rPr>
                    <w:t>锅炉烟气</w:t>
                  </w:r>
                </w:p>
              </w:tc>
              <w:tc>
                <w:tcPr>
                  <w:tcW w:w="1027" w:type="pct"/>
                  <w:tcBorders>
                    <w:top w:val="single" w:color="auto" w:sz="4" w:space="0"/>
                    <w:left w:val="single" w:color="auto" w:sz="4" w:space="0"/>
                    <w:bottom w:val="single" w:color="auto" w:sz="4" w:space="0"/>
                    <w:right w:val="single" w:color="auto" w:sz="4" w:space="0"/>
                  </w:tcBorders>
                  <w:vAlign w:val="center"/>
                </w:tcPr>
                <w:p w14:paraId="11D34A5C">
                  <w:pPr>
                    <w:jc w:val="center"/>
                    <w:rPr>
                      <w:rFonts w:ascii="宋体" w:hAnsi="宋体" w:eastAsia="宋体"/>
                      <w:bCs/>
                      <w:color w:val="FF0000"/>
                      <w:szCs w:val="21"/>
                    </w:rPr>
                  </w:pPr>
                  <w:r>
                    <w:rPr>
                      <w:rFonts w:hint="eastAsia" w:ascii="宋体" w:hAnsi="宋体" w:eastAsia="宋体"/>
                      <w:bCs/>
                      <w:color w:val="FF0000"/>
                      <w:szCs w:val="21"/>
                    </w:rPr>
                    <w:t>烟气量</w:t>
                  </w:r>
                </w:p>
                <w:p w14:paraId="34750F8E">
                  <w:pPr>
                    <w:jc w:val="center"/>
                    <w:rPr>
                      <w:rFonts w:ascii="宋体" w:hAnsi="宋体" w:eastAsia="宋体"/>
                      <w:bCs/>
                      <w:color w:val="FF0000"/>
                      <w:szCs w:val="21"/>
                    </w:rPr>
                  </w:pPr>
                  <w:r>
                    <w:rPr>
                      <w:rFonts w:hint="eastAsia" w:ascii="宋体" w:hAnsi="宋体" w:eastAsia="宋体"/>
                      <w:bCs/>
                      <w:color w:val="FF0000"/>
                      <w:szCs w:val="21"/>
                    </w:rPr>
                    <w:t>烟尘</w:t>
                  </w:r>
                </w:p>
                <w:p w14:paraId="32BDF037">
                  <w:pPr>
                    <w:jc w:val="center"/>
                    <w:rPr>
                      <w:rFonts w:ascii="宋体" w:hAnsi="宋体" w:eastAsia="宋体"/>
                      <w:bCs/>
                      <w:color w:val="FF0000"/>
                      <w:szCs w:val="21"/>
                    </w:rPr>
                  </w:pPr>
                  <w:r>
                    <w:rPr>
                      <w:rFonts w:hint="eastAsia" w:ascii="宋体" w:hAnsi="宋体" w:eastAsia="宋体"/>
                      <w:bCs/>
                      <w:color w:val="FF0000"/>
                      <w:szCs w:val="21"/>
                    </w:rPr>
                    <w:t>二氧化硫</w:t>
                  </w:r>
                </w:p>
              </w:tc>
              <w:tc>
                <w:tcPr>
                  <w:tcW w:w="1307" w:type="pct"/>
                  <w:tcBorders>
                    <w:top w:val="single" w:color="auto" w:sz="4" w:space="0"/>
                    <w:left w:val="single" w:color="auto" w:sz="4" w:space="0"/>
                    <w:bottom w:val="single" w:color="auto" w:sz="4" w:space="0"/>
                    <w:right w:val="single" w:color="auto" w:sz="4" w:space="0"/>
                  </w:tcBorders>
                  <w:vAlign w:val="center"/>
                </w:tcPr>
                <w:p w14:paraId="2B41A215">
                  <w:pPr>
                    <w:jc w:val="center"/>
                    <w:rPr>
                      <w:rFonts w:ascii="宋体" w:hAnsi="宋体" w:eastAsia="宋体" w:cs="Times New Roman"/>
                      <w:bCs/>
                      <w:color w:val="FF0000"/>
                      <w:szCs w:val="21"/>
                    </w:rPr>
                  </w:pPr>
                  <w:r>
                    <w:rPr>
                      <w:rFonts w:ascii="宋体" w:hAnsi="宋体" w:eastAsia="宋体" w:cs="Times New Roman"/>
                      <w:bCs/>
                      <w:color w:val="FF0000"/>
                      <w:szCs w:val="21"/>
                    </w:rPr>
                    <w:t>2000m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/h</w:t>
                  </w:r>
                </w:p>
                <w:p w14:paraId="0FF3D2E1">
                  <w:pPr>
                    <w:jc w:val="center"/>
                    <w:rPr>
                      <w:rFonts w:ascii="宋体" w:hAnsi="宋体" w:eastAsia="宋体" w:cs="Times New Roman"/>
                      <w:bCs/>
                      <w:color w:val="FF0000"/>
                      <w:szCs w:val="21"/>
                    </w:rPr>
                  </w:pPr>
                  <w:r>
                    <w:rPr>
                      <w:rFonts w:ascii="宋体" w:hAnsi="宋体" w:eastAsia="宋体" w:cs="Times New Roman"/>
                      <w:bCs/>
                      <w:color w:val="FF0000"/>
                      <w:szCs w:val="21"/>
                    </w:rPr>
                    <w:t>1500mg/m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,3.0kg/h</w:t>
                  </w:r>
                </w:p>
                <w:p w14:paraId="4AD2DBB1">
                  <w:pPr>
                    <w:jc w:val="center"/>
                    <w:rPr>
                      <w:rFonts w:ascii="宋体" w:hAnsi="宋体" w:eastAsia="宋体"/>
                      <w:bCs/>
                      <w:color w:val="FF0000"/>
                      <w:szCs w:val="21"/>
                    </w:rPr>
                  </w:pPr>
                  <w:r>
                    <w:rPr>
                      <w:rFonts w:ascii="宋体" w:hAnsi="宋体" w:eastAsia="宋体" w:cs="Times New Roman"/>
                      <w:bCs/>
                      <w:color w:val="FF0000"/>
                      <w:szCs w:val="21"/>
                    </w:rPr>
                    <w:t>640mg/m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,1.28kg/h</w:t>
                  </w:r>
                </w:p>
              </w:tc>
              <w:tc>
                <w:tcPr>
                  <w:tcW w:w="1320" w:type="pct"/>
                  <w:tcBorders>
                    <w:top w:val="single" w:color="auto" w:sz="4" w:space="0"/>
                    <w:left w:val="single" w:color="auto" w:sz="4" w:space="0"/>
                    <w:bottom w:val="single" w:color="auto" w:sz="4" w:space="0"/>
                    <w:right w:val="single" w:color="auto" w:sz="12" w:space="0"/>
                  </w:tcBorders>
                  <w:vAlign w:val="center"/>
                </w:tcPr>
                <w:p w14:paraId="213151C0">
                  <w:pPr>
                    <w:jc w:val="center"/>
                    <w:rPr>
                      <w:rFonts w:ascii="宋体" w:hAnsi="宋体" w:eastAsia="宋体" w:cs="Times New Roman"/>
                      <w:bCs/>
                      <w:color w:val="FF0000"/>
                      <w:szCs w:val="21"/>
                    </w:rPr>
                  </w:pPr>
                  <w:r>
                    <w:rPr>
                      <w:rFonts w:ascii="宋体" w:hAnsi="宋体" w:eastAsia="宋体" w:cs="Times New Roman"/>
                      <w:bCs/>
                      <w:color w:val="FF0000"/>
                      <w:szCs w:val="21"/>
                    </w:rPr>
                    <w:t>2000m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/h</w:t>
                  </w:r>
                </w:p>
                <w:p w14:paraId="7C19F79B">
                  <w:pPr>
                    <w:jc w:val="center"/>
                    <w:rPr>
                      <w:rFonts w:ascii="宋体" w:hAnsi="宋体" w:eastAsia="宋体" w:cs="Times New Roman"/>
                      <w:bCs/>
                      <w:color w:val="FF0000"/>
                      <w:szCs w:val="21"/>
                    </w:rPr>
                  </w:pPr>
                  <w:r>
                    <w:rPr>
                      <w:rFonts w:ascii="宋体" w:hAnsi="宋体" w:eastAsia="宋体" w:cs="Times New Roman"/>
                      <w:bCs/>
                      <w:color w:val="FF0000"/>
                      <w:szCs w:val="21"/>
                    </w:rPr>
                    <w:t>225mg/m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,0.45kg/h</w:t>
                  </w:r>
                </w:p>
                <w:p w14:paraId="1642F1FD">
                  <w:pPr>
                    <w:jc w:val="center"/>
                    <w:rPr>
                      <w:rFonts w:ascii="宋体" w:hAnsi="宋体" w:eastAsia="宋体"/>
                      <w:bCs/>
                      <w:color w:val="FF0000"/>
                      <w:szCs w:val="21"/>
                    </w:rPr>
                  </w:pPr>
                  <w:r>
                    <w:rPr>
                      <w:rFonts w:ascii="宋体" w:hAnsi="宋体" w:eastAsia="宋体" w:cs="Times New Roman"/>
                      <w:bCs/>
                      <w:color w:val="FF0000"/>
                      <w:szCs w:val="21"/>
                    </w:rPr>
                    <w:t>640mg/m</w:t>
                  </w:r>
                  <w:r>
                    <w:rPr>
                      <w:rFonts w:ascii="宋体" w:hAnsi="宋体" w:eastAsia="宋体" w:cs="Times New Roman"/>
                      <w:bCs/>
                      <w:color w:val="FF0000"/>
                      <w:szCs w:val="21"/>
                      <w:vertAlign w:val="superscript"/>
                    </w:rPr>
                    <w:t>3</w:t>
                  </w:r>
                  <w:r>
                    <w:rPr>
                      <w:rFonts w:ascii="宋体" w:hAnsi="宋体" w:eastAsia="宋体" w:cs="Times New Roman"/>
                      <w:bCs/>
                      <w:color w:val="FF0000"/>
                      <w:szCs w:val="21"/>
                    </w:rPr>
                    <w:t>,1.28kg/h</w:t>
                  </w:r>
                </w:p>
              </w:tc>
            </w:tr>
            <w:tr w14:paraId="6E7902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tcBorders>
                    <w:top w:val="single" w:color="auto" w:sz="4" w:space="0"/>
                    <w:left w:val="single" w:color="auto" w:sz="12" w:space="0"/>
                    <w:bottom w:val="single" w:color="auto" w:sz="4" w:space="0"/>
                    <w:right w:val="single" w:color="auto" w:sz="4" w:space="0"/>
                  </w:tcBorders>
                  <w:vAlign w:val="center"/>
                </w:tcPr>
                <w:p w14:paraId="4F8D9270">
                  <w:pPr>
                    <w:jc w:val="center"/>
                    <w:rPr>
                      <w:rFonts w:ascii="宋体" w:hAnsi="宋体" w:eastAsia="宋体"/>
                      <w:bCs/>
                      <w:color w:val="FF0000"/>
                      <w:szCs w:val="21"/>
                    </w:rPr>
                  </w:pPr>
                  <w:r>
                    <w:rPr>
                      <w:rFonts w:hint="eastAsia" w:ascii="宋体" w:hAnsi="宋体" w:eastAsia="宋体"/>
                      <w:bCs/>
                      <w:color w:val="FF0000"/>
                      <w:szCs w:val="21"/>
                    </w:rPr>
                    <w:t>水污染物</w:t>
                  </w:r>
                </w:p>
              </w:tc>
              <w:tc>
                <w:tcPr>
                  <w:tcW w:w="789" w:type="pct"/>
                  <w:tcBorders>
                    <w:top w:val="single" w:color="auto" w:sz="4" w:space="0"/>
                    <w:left w:val="single" w:color="auto" w:sz="4" w:space="0"/>
                    <w:bottom w:val="single" w:color="auto" w:sz="4" w:space="0"/>
                    <w:right w:val="single" w:color="auto" w:sz="4" w:space="0"/>
                  </w:tcBorders>
                  <w:vAlign w:val="center"/>
                </w:tcPr>
                <w:p w14:paraId="0537A689">
                  <w:pPr>
                    <w:jc w:val="center"/>
                    <w:rPr>
                      <w:rFonts w:ascii="宋体" w:hAnsi="宋体" w:eastAsia="宋体"/>
                      <w:b/>
                      <w:color w:val="FF0000"/>
                      <w:szCs w:val="21"/>
                    </w:rPr>
                  </w:pPr>
                  <w:r>
                    <w:rPr>
                      <w:rFonts w:hint="eastAsia" w:ascii="宋体" w:hAnsi="宋体" w:eastAsia="宋体"/>
                      <w:color w:val="FF0000"/>
                      <w:szCs w:val="21"/>
                    </w:rPr>
                    <w:t>总排口</w:t>
                  </w:r>
                </w:p>
              </w:tc>
              <w:tc>
                <w:tcPr>
                  <w:tcW w:w="1027" w:type="pct"/>
                  <w:tcBorders>
                    <w:top w:val="single" w:color="auto" w:sz="4" w:space="0"/>
                    <w:left w:val="single" w:color="auto" w:sz="4" w:space="0"/>
                    <w:bottom w:val="single" w:color="auto" w:sz="4" w:space="0"/>
                    <w:right w:val="single" w:color="auto" w:sz="4" w:space="0"/>
                  </w:tcBorders>
                  <w:vAlign w:val="center"/>
                </w:tcPr>
                <w:p w14:paraId="799C9718">
                  <w:pPr>
                    <w:jc w:val="center"/>
                    <w:rPr>
                      <w:rFonts w:ascii="宋体" w:hAnsi="宋体" w:eastAsia="宋体"/>
                      <w:color w:val="FF0000"/>
                      <w:szCs w:val="21"/>
                    </w:rPr>
                  </w:pPr>
                  <w:r>
                    <w:rPr>
                      <w:rFonts w:hint="eastAsia" w:ascii="宋体" w:hAnsi="宋体" w:eastAsia="宋体"/>
                      <w:color w:val="FF0000"/>
                      <w:szCs w:val="21"/>
                    </w:rPr>
                    <w:t>废水量</w:t>
                  </w:r>
                </w:p>
                <w:p w14:paraId="4067B081">
                  <w:pPr>
                    <w:jc w:val="center"/>
                    <w:rPr>
                      <w:rFonts w:ascii="宋体" w:hAnsi="宋体" w:eastAsia="宋体"/>
                      <w:color w:val="FF0000"/>
                      <w:szCs w:val="21"/>
                    </w:rPr>
                  </w:pPr>
                  <w:r>
                    <w:rPr>
                      <w:rFonts w:hint="eastAsia" w:ascii="宋体" w:hAnsi="宋体" w:eastAsia="宋体"/>
                      <w:color w:val="FF0000"/>
                      <w:szCs w:val="21"/>
                    </w:rPr>
                    <w:t>S</w:t>
                  </w:r>
                  <w:r>
                    <w:rPr>
                      <w:rFonts w:ascii="宋体" w:hAnsi="宋体" w:eastAsia="宋体"/>
                      <w:color w:val="FF0000"/>
                      <w:szCs w:val="21"/>
                    </w:rPr>
                    <w:t>S</w:t>
                  </w:r>
                </w:p>
                <w:p w14:paraId="33E49CB9">
                  <w:pPr>
                    <w:jc w:val="center"/>
                    <w:rPr>
                      <w:rFonts w:ascii="宋体" w:hAnsi="宋体" w:eastAsia="宋体"/>
                      <w:color w:val="FF0000"/>
                      <w:szCs w:val="21"/>
                    </w:rPr>
                  </w:pPr>
                  <w:r>
                    <w:rPr>
                      <w:rFonts w:hint="eastAsia" w:ascii="宋体" w:hAnsi="宋体" w:eastAsia="宋体"/>
                      <w:color w:val="FF0000"/>
                      <w:szCs w:val="21"/>
                    </w:rPr>
                    <w:t>C</w:t>
                  </w:r>
                  <w:r>
                    <w:rPr>
                      <w:rFonts w:ascii="宋体" w:hAnsi="宋体" w:eastAsia="宋体"/>
                      <w:color w:val="FF0000"/>
                      <w:szCs w:val="21"/>
                    </w:rPr>
                    <w:t>OD</w:t>
                  </w:r>
                  <w:r>
                    <w:rPr>
                      <w:rFonts w:hint="eastAsia" w:ascii="宋体" w:hAnsi="宋体" w:eastAsia="宋体"/>
                      <w:color w:val="FF0000"/>
                      <w:szCs w:val="21"/>
                    </w:rPr>
                    <w:t>cr</w:t>
                  </w:r>
                </w:p>
              </w:tc>
              <w:tc>
                <w:tcPr>
                  <w:tcW w:w="1307" w:type="pct"/>
                  <w:tcBorders>
                    <w:top w:val="single" w:color="auto" w:sz="4" w:space="0"/>
                    <w:left w:val="single" w:color="auto" w:sz="4" w:space="0"/>
                    <w:bottom w:val="single" w:color="auto" w:sz="4" w:space="0"/>
                    <w:right w:val="single" w:color="auto" w:sz="4" w:space="0"/>
                  </w:tcBorders>
                  <w:vAlign w:val="center"/>
                </w:tcPr>
                <w:p w14:paraId="09CB5AEC">
                  <w:pPr>
                    <w:jc w:val="center"/>
                    <w:rPr>
                      <w:rFonts w:ascii="宋体" w:hAnsi="宋体" w:eastAsia="宋体"/>
                      <w:color w:val="FF0000"/>
                      <w:szCs w:val="21"/>
                    </w:rPr>
                  </w:pPr>
                  <w:r>
                    <w:rPr>
                      <w:rFonts w:ascii="宋体" w:hAnsi="宋体" w:eastAsia="宋体"/>
                      <w:color w:val="FF0000"/>
                      <w:szCs w:val="21"/>
                    </w:rPr>
                    <w:t>12.8m</w:t>
                  </w:r>
                  <w:r>
                    <w:rPr>
                      <w:rFonts w:ascii="宋体" w:hAnsi="宋体" w:eastAsia="宋体"/>
                      <w:color w:val="FF0000"/>
                      <w:szCs w:val="21"/>
                      <w:vertAlign w:val="superscript"/>
                    </w:rPr>
                    <w:t>3</w:t>
                  </w:r>
                  <w:r>
                    <w:rPr>
                      <w:rFonts w:ascii="宋体" w:hAnsi="宋体" w:eastAsia="宋体"/>
                      <w:color w:val="FF0000"/>
                      <w:szCs w:val="21"/>
                    </w:rPr>
                    <w:t>/d</w:t>
                  </w:r>
                </w:p>
                <w:p w14:paraId="4CE9042D">
                  <w:pPr>
                    <w:jc w:val="center"/>
                    <w:rPr>
                      <w:rFonts w:ascii="宋体" w:hAnsi="宋体" w:eastAsia="宋体"/>
                      <w:bCs/>
                      <w:color w:val="FF0000"/>
                      <w:szCs w:val="21"/>
                    </w:rPr>
                  </w:pPr>
                  <w:r>
                    <w:rPr>
                      <w:rFonts w:hint="eastAsia" w:ascii="宋体" w:hAnsi="宋体" w:eastAsia="宋体"/>
                      <w:bCs/>
                      <w:color w:val="FF0000"/>
                      <w:szCs w:val="21"/>
                    </w:rPr>
                    <w:t>9</w:t>
                  </w:r>
                  <w:r>
                    <w:rPr>
                      <w:rFonts w:ascii="宋体" w:hAnsi="宋体" w:eastAsia="宋体"/>
                      <w:bCs/>
                      <w:color w:val="FF0000"/>
                      <w:szCs w:val="21"/>
                    </w:rPr>
                    <w:t>6.4</w:t>
                  </w:r>
                  <w:r>
                    <w:rPr>
                      <w:rFonts w:hint="eastAsia" w:ascii="宋体" w:hAnsi="宋体" w:eastAsia="宋体"/>
                      <w:bCs/>
                      <w:color w:val="FF0000"/>
                      <w:szCs w:val="21"/>
                    </w:rPr>
                    <w:t>mg</w:t>
                  </w:r>
                  <w:r>
                    <w:rPr>
                      <w:rFonts w:ascii="宋体" w:hAnsi="宋体" w:eastAsia="宋体"/>
                      <w:bCs/>
                      <w:color w:val="FF0000"/>
                      <w:szCs w:val="21"/>
                    </w:rPr>
                    <w:t>/L</w:t>
                  </w:r>
                  <w:r>
                    <w:rPr>
                      <w:rFonts w:hint="eastAsia" w:ascii="宋体" w:hAnsi="宋体" w:eastAsia="宋体"/>
                      <w:bCs/>
                      <w:color w:val="FF0000"/>
                      <w:szCs w:val="21"/>
                    </w:rPr>
                    <w:t>，1</w:t>
                  </w:r>
                  <w:r>
                    <w:rPr>
                      <w:rFonts w:ascii="宋体" w:hAnsi="宋体" w:eastAsia="宋体"/>
                      <w:bCs/>
                      <w:color w:val="FF0000"/>
                      <w:szCs w:val="21"/>
                    </w:rPr>
                    <w:t>.26</w:t>
                  </w:r>
                  <w:r>
                    <w:rPr>
                      <w:rFonts w:hint="eastAsia" w:ascii="宋体" w:hAnsi="宋体" w:eastAsia="宋体"/>
                      <w:bCs/>
                      <w:color w:val="FF0000"/>
                      <w:szCs w:val="21"/>
                    </w:rPr>
                    <w:t>kg</w:t>
                  </w:r>
                  <w:r>
                    <w:rPr>
                      <w:rFonts w:ascii="宋体" w:hAnsi="宋体" w:eastAsia="宋体"/>
                      <w:bCs/>
                      <w:color w:val="FF0000"/>
                      <w:szCs w:val="21"/>
                    </w:rPr>
                    <w:t>/</w:t>
                  </w:r>
                  <w:r>
                    <w:rPr>
                      <w:rFonts w:hint="eastAsia" w:ascii="宋体" w:hAnsi="宋体" w:eastAsia="宋体"/>
                      <w:bCs/>
                      <w:color w:val="FF0000"/>
                      <w:szCs w:val="21"/>
                    </w:rPr>
                    <w:t>d</w:t>
                  </w:r>
                </w:p>
                <w:p w14:paraId="42FC9310">
                  <w:pPr>
                    <w:jc w:val="center"/>
                    <w:rPr>
                      <w:rFonts w:ascii="宋体" w:hAnsi="宋体" w:eastAsia="宋体"/>
                      <w:b/>
                      <w:color w:val="FF0000"/>
                      <w:szCs w:val="21"/>
                    </w:rPr>
                  </w:pPr>
                  <w:r>
                    <w:rPr>
                      <w:rFonts w:hint="eastAsia" w:ascii="宋体" w:hAnsi="宋体" w:eastAsia="宋体"/>
                      <w:bCs/>
                      <w:color w:val="FF0000"/>
                      <w:szCs w:val="21"/>
                    </w:rPr>
                    <w:t>2</w:t>
                  </w:r>
                  <w:r>
                    <w:rPr>
                      <w:rFonts w:ascii="宋体" w:hAnsi="宋体" w:eastAsia="宋体"/>
                      <w:bCs/>
                      <w:color w:val="FF0000"/>
                      <w:szCs w:val="21"/>
                    </w:rPr>
                    <w:t>6.29</w:t>
                  </w:r>
                  <w:r>
                    <w:rPr>
                      <w:rFonts w:hint="eastAsia" w:ascii="宋体" w:hAnsi="宋体" w:eastAsia="宋体"/>
                      <w:bCs/>
                      <w:color w:val="FF0000"/>
                      <w:szCs w:val="21"/>
                    </w:rPr>
                    <w:t>mg</w:t>
                  </w:r>
                  <w:r>
                    <w:rPr>
                      <w:rFonts w:ascii="宋体" w:hAnsi="宋体" w:eastAsia="宋体"/>
                      <w:bCs/>
                      <w:color w:val="FF0000"/>
                      <w:szCs w:val="21"/>
                    </w:rPr>
                    <w:t>/L</w:t>
                  </w:r>
                  <w:r>
                    <w:rPr>
                      <w:rFonts w:hint="eastAsia" w:ascii="宋体" w:hAnsi="宋体" w:eastAsia="宋体"/>
                      <w:bCs/>
                      <w:color w:val="FF0000"/>
                      <w:szCs w:val="21"/>
                    </w:rPr>
                    <w:t>，0</w:t>
                  </w:r>
                  <w:r>
                    <w:rPr>
                      <w:rFonts w:ascii="宋体" w:hAnsi="宋体" w:eastAsia="宋体"/>
                      <w:bCs/>
                      <w:color w:val="FF0000"/>
                      <w:szCs w:val="21"/>
                    </w:rPr>
                    <w:t>.34</w:t>
                  </w:r>
                  <w:r>
                    <w:rPr>
                      <w:rFonts w:hint="eastAsia" w:ascii="宋体" w:hAnsi="宋体" w:eastAsia="宋体"/>
                      <w:bCs/>
                      <w:color w:val="FF0000"/>
                      <w:szCs w:val="21"/>
                    </w:rPr>
                    <w:t>kg</w:t>
                  </w:r>
                  <w:r>
                    <w:rPr>
                      <w:rFonts w:ascii="宋体" w:hAnsi="宋体" w:eastAsia="宋体"/>
                      <w:bCs/>
                      <w:color w:val="FF0000"/>
                      <w:szCs w:val="21"/>
                    </w:rPr>
                    <w:t>/</w:t>
                  </w:r>
                  <w:r>
                    <w:rPr>
                      <w:rFonts w:hint="eastAsia" w:ascii="宋体" w:hAnsi="宋体" w:eastAsia="宋体"/>
                      <w:bCs/>
                      <w:color w:val="FF0000"/>
                      <w:szCs w:val="21"/>
                    </w:rPr>
                    <w:t>d</w:t>
                  </w:r>
                </w:p>
              </w:tc>
              <w:tc>
                <w:tcPr>
                  <w:tcW w:w="1320" w:type="pct"/>
                  <w:tcBorders>
                    <w:top w:val="single" w:color="auto" w:sz="4" w:space="0"/>
                    <w:left w:val="single" w:color="auto" w:sz="4" w:space="0"/>
                    <w:bottom w:val="single" w:color="auto" w:sz="4" w:space="0"/>
                    <w:right w:val="single" w:color="auto" w:sz="12" w:space="0"/>
                  </w:tcBorders>
                  <w:vAlign w:val="center"/>
                </w:tcPr>
                <w:p w14:paraId="4ADC4CF5">
                  <w:pPr>
                    <w:jc w:val="center"/>
                    <w:rPr>
                      <w:rFonts w:ascii="宋体" w:hAnsi="宋体" w:eastAsia="宋体"/>
                      <w:color w:val="FF0000"/>
                      <w:szCs w:val="21"/>
                    </w:rPr>
                  </w:pPr>
                  <w:r>
                    <w:rPr>
                      <w:rFonts w:ascii="宋体" w:hAnsi="宋体" w:eastAsia="宋体"/>
                      <w:color w:val="FF0000"/>
                      <w:szCs w:val="21"/>
                    </w:rPr>
                    <w:t>12.8m</w:t>
                  </w:r>
                  <w:r>
                    <w:rPr>
                      <w:rFonts w:ascii="宋体" w:hAnsi="宋体" w:eastAsia="宋体"/>
                      <w:color w:val="FF0000"/>
                      <w:szCs w:val="21"/>
                      <w:vertAlign w:val="superscript"/>
                    </w:rPr>
                    <w:t>3</w:t>
                  </w:r>
                  <w:r>
                    <w:rPr>
                      <w:rFonts w:ascii="宋体" w:hAnsi="宋体" w:eastAsia="宋体"/>
                      <w:color w:val="FF0000"/>
                      <w:szCs w:val="21"/>
                    </w:rPr>
                    <w:t>/d</w:t>
                  </w:r>
                </w:p>
                <w:p w14:paraId="008126DA">
                  <w:pPr>
                    <w:jc w:val="center"/>
                    <w:rPr>
                      <w:rFonts w:ascii="宋体" w:hAnsi="宋体" w:eastAsia="宋体"/>
                      <w:bCs/>
                      <w:color w:val="FF0000"/>
                      <w:szCs w:val="21"/>
                    </w:rPr>
                  </w:pPr>
                  <w:r>
                    <w:rPr>
                      <w:rFonts w:hint="eastAsia" w:ascii="宋体" w:hAnsi="宋体" w:eastAsia="宋体"/>
                      <w:bCs/>
                      <w:color w:val="FF0000"/>
                      <w:szCs w:val="21"/>
                    </w:rPr>
                    <w:t>9</w:t>
                  </w:r>
                  <w:r>
                    <w:rPr>
                      <w:rFonts w:ascii="宋体" w:hAnsi="宋体" w:eastAsia="宋体"/>
                      <w:bCs/>
                      <w:color w:val="FF0000"/>
                      <w:szCs w:val="21"/>
                    </w:rPr>
                    <w:t>6.4</w:t>
                  </w:r>
                  <w:r>
                    <w:rPr>
                      <w:rFonts w:hint="eastAsia" w:ascii="宋体" w:hAnsi="宋体" w:eastAsia="宋体"/>
                      <w:bCs/>
                      <w:color w:val="FF0000"/>
                      <w:szCs w:val="21"/>
                    </w:rPr>
                    <w:t>mg</w:t>
                  </w:r>
                  <w:r>
                    <w:rPr>
                      <w:rFonts w:ascii="宋体" w:hAnsi="宋体" w:eastAsia="宋体"/>
                      <w:bCs/>
                      <w:color w:val="FF0000"/>
                      <w:szCs w:val="21"/>
                    </w:rPr>
                    <w:t>/L</w:t>
                  </w:r>
                  <w:r>
                    <w:rPr>
                      <w:rFonts w:hint="eastAsia" w:ascii="宋体" w:hAnsi="宋体" w:eastAsia="宋体"/>
                      <w:bCs/>
                      <w:color w:val="FF0000"/>
                      <w:szCs w:val="21"/>
                    </w:rPr>
                    <w:t>，1</w:t>
                  </w:r>
                  <w:r>
                    <w:rPr>
                      <w:rFonts w:ascii="宋体" w:hAnsi="宋体" w:eastAsia="宋体"/>
                      <w:bCs/>
                      <w:color w:val="FF0000"/>
                      <w:szCs w:val="21"/>
                    </w:rPr>
                    <w:t>.26</w:t>
                  </w:r>
                  <w:r>
                    <w:rPr>
                      <w:rFonts w:hint="eastAsia" w:ascii="宋体" w:hAnsi="宋体" w:eastAsia="宋体"/>
                      <w:bCs/>
                      <w:color w:val="FF0000"/>
                      <w:szCs w:val="21"/>
                    </w:rPr>
                    <w:t>kg</w:t>
                  </w:r>
                  <w:r>
                    <w:rPr>
                      <w:rFonts w:ascii="宋体" w:hAnsi="宋体" w:eastAsia="宋体"/>
                      <w:bCs/>
                      <w:color w:val="FF0000"/>
                      <w:szCs w:val="21"/>
                    </w:rPr>
                    <w:t>/</w:t>
                  </w:r>
                  <w:r>
                    <w:rPr>
                      <w:rFonts w:hint="eastAsia" w:ascii="宋体" w:hAnsi="宋体" w:eastAsia="宋体"/>
                      <w:bCs/>
                      <w:color w:val="FF0000"/>
                      <w:szCs w:val="21"/>
                    </w:rPr>
                    <w:t>d</w:t>
                  </w:r>
                </w:p>
                <w:p w14:paraId="6EA2969D">
                  <w:pPr>
                    <w:jc w:val="center"/>
                    <w:rPr>
                      <w:rFonts w:ascii="宋体" w:hAnsi="宋体" w:eastAsia="宋体"/>
                      <w:b/>
                      <w:color w:val="FF0000"/>
                      <w:szCs w:val="21"/>
                    </w:rPr>
                  </w:pPr>
                  <w:r>
                    <w:rPr>
                      <w:rFonts w:hint="eastAsia" w:ascii="宋体" w:hAnsi="宋体" w:eastAsia="宋体"/>
                      <w:bCs/>
                      <w:color w:val="FF0000"/>
                      <w:szCs w:val="21"/>
                    </w:rPr>
                    <w:t>2</w:t>
                  </w:r>
                  <w:r>
                    <w:rPr>
                      <w:rFonts w:ascii="宋体" w:hAnsi="宋体" w:eastAsia="宋体"/>
                      <w:bCs/>
                      <w:color w:val="FF0000"/>
                      <w:szCs w:val="21"/>
                    </w:rPr>
                    <w:t>6.29</w:t>
                  </w:r>
                  <w:r>
                    <w:rPr>
                      <w:rFonts w:hint="eastAsia" w:ascii="宋体" w:hAnsi="宋体" w:eastAsia="宋体"/>
                      <w:bCs/>
                      <w:color w:val="FF0000"/>
                      <w:szCs w:val="21"/>
                    </w:rPr>
                    <w:t>mg</w:t>
                  </w:r>
                  <w:r>
                    <w:rPr>
                      <w:rFonts w:ascii="宋体" w:hAnsi="宋体" w:eastAsia="宋体"/>
                      <w:bCs/>
                      <w:color w:val="FF0000"/>
                      <w:szCs w:val="21"/>
                    </w:rPr>
                    <w:t>/L</w:t>
                  </w:r>
                  <w:r>
                    <w:rPr>
                      <w:rFonts w:hint="eastAsia" w:ascii="宋体" w:hAnsi="宋体" w:eastAsia="宋体"/>
                      <w:bCs/>
                      <w:color w:val="FF0000"/>
                      <w:szCs w:val="21"/>
                    </w:rPr>
                    <w:t>，0</w:t>
                  </w:r>
                  <w:r>
                    <w:rPr>
                      <w:rFonts w:ascii="宋体" w:hAnsi="宋体" w:eastAsia="宋体"/>
                      <w:bCs/>
                      <w:color w:val="FF0000"/>
                      <w:szCs w:val="21"/>
                    </w:rPr>
                    <w:t>.34</w:t>
                  </w:r>
                  <w:r>
                    <w:rPr>
                      <w:rFonts w:hint="eastAsia" w:ascii="宋体" w:hAnsi="宋体" w:eastAsia="宋体"/>
                      <w:bCs/>
                      <w:color w:val="FF0000"/>
                      <w:szCs w:val="21"/>
                    </w:rPr>
                    <w:t>kg</w:t>
                  </w:r>
                  <w:r>
                    <w:rPr>
                      <w:rFonts w:ascii="宋体" w:hAnsi="宋体" w:eastAsia="宋体"/>
                      <w:bCs/>
                      <w:color w:val="FF0000"/>
                      <w:szCs w:val="21"/>
                    </w:rPr>
                    <w:t>/</w:t>
                  </w:r>
                  <w:r>
                    <w:rPr>
                      <w:rFonts w:hint="eastAsia" w:ascii="宋体" w:hAnsi="宋体" w:eastAsia="宋体"/>
                      <w:bCs/>
                      <w:color w:val="FF0000"/>
                      <w:szCs w:val="21"/>
                    </w:rPr>
                    <w:t>d</w:t>
                  </w:r>
                </w:p>
              </w:tc>
            </w:tr>
            <w:tr w14:paraId="3278E2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restart"/>
                  <w:tcBorders>
                    <w:top w:val="single" w:color="auto" w:sz="4" w:space="0"/>
                    <w:left w:val="single" w:color="auto" w:sz="12" w:space="0"/>
                    <w:bottom w:val="single" w:color="auto" w:sz="4" w:space="0"/>
                    <w:right w:val="single" w:color="auto" w:sz="4" w:space="0"/>
                  </w:tcBorders>
                  <w:vAlign w:val="center"/>
                </w:tcPr>
                <w:p w14:paraId="1EE47537">
                  <w:pPr>
                    <w:jc w:val="center"/>
                    <w:rPr>
                      <w:rFonts w:ascii="宋体" w:hAnsi="宋体" w:eastAsia="宋体"/>
                      <w:bCs/>
                      <w:color w:val="FF0000"/>
                      <w:szCs w:val="21"/>
                    </w:rPr>
                  </w:pPr>
                  <w:r>
                    <w:rPr>
                      <w:rFonts w:hint="eastAsia" w:ascii="宋体" w:hAnsi="宋体" w:eastAsia="宋体"/>
                      <w:bCs/>
                      <w:color w:val="FF0000"/>
                      <w:szCs w:val="21"/>
                    </w:rPr>
                    <w:t>固废污染物</w:t>
                  </w:r>
                </w:p>
              </w:tc>
              <w:tc>
                <w:tcPr>
                  <w:tcW w:w="789" w:type="pct"/>
                  <w:vMerge w:val="restart"/>
                  <w:tcBorders>
                    <w:top w:val="single" w:color="auto" w:sz="4" w:space="0"/>
                    <w:left w:val="single" w:color="auto" w:sz="4" w:space="0"/>
                    <w:right w:val="single" w:color="auto" w:sz="4" w:space="0"/>
                  </w:tcBorders>
                  <w:vAlign w:val="center"/>
                </w:tcPr>
                <w:p w14:paraId="3D71851D">
                  <w:pPr>
                    <w:jc w:val="center"/>
                    <w:rPr>
                      <w:rFonts w:ascii="宋体" w:hAnsi="宋体" w:eastAsia="宋体"/>
                      <w:bCs/>
                      <w:color w:val="FF0000"/>
                      <w:szCs w:val="21"/>
                    </w:rPr>
                  </w:pPr>
                  <w:r>
                    <w:rPr>
                      <w:rFonts w:hint="eastAsia" w:ascii="宋体" w:hAnsi="宋体" w:eastAsia="宋体"/>
                      <w:bCs/>
                      <w:color w:val="FF0000"/>
                      <w:szCs w:val="21"/>
                    </w:rPr>
                    <w:t>电炉</w:t>
                  </w:r>
                </w:p>
              </w:tc>
              <w:tc>
                <w:tcPr>
                  <w:tcW w:w="1027" w:type="pct"/>
                  <w:tcBorders>
                    <w:top w:val="single" w:color="auto" w:sz="4" w:space="0"/>
                    <w:left w:val="single" w:color="auto" w:sz="4" w:space="0"/>
                    <w:bottom w:val="single" w:color="auto" w:sz="4" w:space="0"/>
                    <w:right w:val="single" w:color="auto" w:sz="4" w:space="0"/>
                  </w:tcBorders>
                  <w:vAlign w:val="center"/>
                </w:tcPr>
                <w:p w14:paraId="27F798C9">
                  <w:pPr>
                    <w:jc w:val="center"/>
                    <w:rPr>
                      <w:rFonts w:ascii="宋体" w:hAnsi="宋体" w:eastAsia="宋体"/>
                      <w:bCs/>
                      <w:color w:val="FF0000"/>
                      <w:szCs w:val="21"/>
                    </w:rPr>
                  </w:pPr>
                  <w:r>
                    <w:rPr>
                      <w:rFonts w:hint="eastAsia" w:ascii="宋体" w:hAnsi="宋体" w:eastAsia="宋体"/>
                      <w:bCs/>
                      <w:color w:val="FF0000"/>
                      <w:szCs w:val="21"/>
                    </w:rPr>
                    <w:t>电炉炉渣</w:t>
                  </w:r>
                </w:p>
              </w:tc>
              <w:tc>
                <w:tcPr>
                  <w:tcW w:w="1307" w:type="pct"/>
                  <w:tcBorders>
                    <w:top w:val="single" w:color="auto" w:sz="4" w:space="0"/>
                    <w:left w:val="single" w:color="auto" w:sz="4" w:space="0"/>
                    <w:bottom w:val="single" w:color="auto" w:sz="4" w:space="0"/>
                    <w:right w:val="single" w:color="auto" w:sz="4" w:space="0"/>
                  </w:tcBorders>
                  <w:vAlign w:val="center"/>
                </w:tcPr>
                <w:p w14:paraId="470C83F9">
                  <w:pPr>
                    <w:jc w:val="center"/>
                    <w:rPr>
                      <w:rFonts w:ascii="宋体" w:hAnsi="宋体" w:eastAsia="宋体"/>
                      <w:bCs/>
                      <w:color w:val="FF0000"/>
                      <w:szCs w:val="21"/>
                    </w:rPr>
                  </w:pPr>
                  <w:r>
                    <w:rPr>
                      <w:rFonts w:hint="eastAsia" w:ascii="宋体" w:hAnsi="宋体" w:eastAsia="宋体"/>
                      <w:bCs/>
                      <w:color w:val="FF0000"/>
                      <w:szCs w:val="21"/>
                    </w:rPr>
                    <w:t>1</w:t>
                  </w:r>
                  <w:r>
                    <w:rPr>
                      <w:rFonts w:ascii="宋体" w:hAnsi="宋体" w:eastAsia="宋体"/>
                      <w:bCs/>
                      <w:color w:val="FF0000"/>
                      <w:szCs w:val="21"/>
                    </w:rPr>
                    <w:t>7000</w:t>
                  </w:r>
                  <w:r>
                    <w:rPr>
                      <w:rFonts w:hint="eastAsia" w:ascii="宋体" w:hAnsi="宋体" w:eastAsia="宋体"/>
                      <w:bCs/>
                      <w:color w:val="FF0000"/>
                      <w:szCs w:val="21"/>
                    </w:rPr>
                    <w:t>t</w:t>
                  </w:r>
                  <w:r>
                    <w:rPr>
                      <w:rFonts w:ascii="宋体" w:hAnsi="宋体" w:eastAsia="宋体"/>
                      <w:bCs/>
                      <w:color w:val="FF0000"/>
                      <w:szCs w:val="21"/>
                    </w:rPr>
                    <w:t>/</w:t>
                  </w:r>
                  <w:r>
                    <w:rPr>
                      <w:rFonts w:hint="eastAsia" w:ascii="宋体" w:hAnsi="宋体" w:eastAsia="宋体"/>
                      <w:bCs/>
                      <w:color w:val="FF0000"/>
                      <w:szCs w:val="21"/>
                    </w:rPr>
                    <w:t>a</w:t>
                  </w:r>
                </w:p>
              </w:tc>
              <w:tc>
                <w:tcPr>
                  <w:tcW w:w="1320" w:type="pct"/>
                  <w:tcBorders>
                    <w:top w:val="single" w:color="auto" w:sz="4" w:space="0"/>
                    <w:left w:val="single" w:color="auto" w:sz="4" w:space="0"/>
                    <w:bottom w:val="single" w:color="auto" w:sz="4" w:space="0"/>
                    <w:right w:val="single" w:color="auto" w:sz="12" w:space="0"/>
                  </w:tcBorders>
                  <w:vAlign w:val="center"/>
                </w:tcPr>
                <w:p w14:paraId="462FCA83">
                  <w:pPr>
                    <w:jc w:val="center"/>
                    <w:rPr>
                      <w:rFonts w:ascii="宋体" w:hAnsi="宋体" w:eastAsia="宋体"/>
                      <w:bCs/>
                      <w:color w:val="FF0000"/>
                      <w:szCs w:val="21"/>
                    </w:rPr>
                  </w:pPr>
                  <w:r>
                    <w:rPr>
                      <w:rFonts w:hint="eastAsia" w:ascii="宋体" w:hAnsi="宋体" w:eastAsia="宋体"/>
                      <w:bCs/>
                      <w:color w:val="FF0000"/>
                      <w:szCs w:val="21"/>
                    </w:rPr>
                    <w:t>回收利用，不外排</w:t>
                  </w:r>
                </w:p>
              </w:tc>
            </w:tr>
            <w:tr w14:paraId="7304BB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continue"/>
                  <w:tcBorders>
                    <w:top w:val="single" w:color="auto" w:sz="4" w:space="0"/>
                    <w:left w:val="single" w:color="auto" w:sz="12" w:space="0"/>
                    <w:bottom w:val="single" w:color="auto" w:sz="4" w:space="0"/>
                    <w:right w:val="single" w:color="auto" w:sz="4" w:space="0"/>
                  </w:tcBorders>
                  <w:vAlign w:val="center"/>
                </w:tcPr>
                <w:p w14:paraId="62914E18">
                  <w:pPr>
                    <w:widowControl/>
                    <w:jc w:val="left"/>
                    <w:rPr>
                      <w:rFonts w:ascii="宋体" w:hAnsi="宋体" w:eastAsia="宋体"/>
                      <w:bCs/>
                      <w:color w:val="FF0000"/>
                      <w:szCs w:val="21"/>
                    </w:rPr>
                  </w:pPr>
                </w:p>
              </w:tc>
              <w:tc>
                <w:tcPr>
                  <w:tcW w:w="789" w:type="pct"/>
                  <w:vMerge w:val="continue"/>
                  <w:tcBorders>
                    <w:left w:val="single" w:color="auto" w:sz="4" w:space="0"/>
                    <w:right w:val="single" w:color="auto" w:sz="4" w:space="0"/>
                  </w:tcBorders>
                  <w:vAlign w:val="center"/>
                </w:tcPr>
                <w:p w14:paraId="7B6DEB05">
                  <w:pPr>
                    <w:jc w:val="center"/>
                    <w:rPr>
                      <w:rFonts w:ascii="宋体" w:hAnsi="宋体" w:eastAsia="宋体"/>
                      <w:color w:val="FF0000"/>
                      <w:szCs w:val="21"/>
                    </w:rPr>
                  </w:pPr>
                </w:p>
              </w:tc>
              <w:tc>
                <w:tcPr>
                  <w:tcW w:w="1027" w:type="pct"/>
                  <w:tcBorders>
                    <w:top w:val="single" w:color="auto" w:sz="4" w:space="0"/>
                    <w:left w:val="single" w:color="auto" w:sz="4" w:space="0"/>
                    <w:bottom w:val="single" w:color="auto" w:sz="4" w:space="0"/>
                    <w:right w:val="single" w:color="auto" w:sz="4" w:space="0"/>
                  </w:tcBorders>
                  <w:vAlign w:val="center"/>
                </w:tcPr>
                <w:p w14:paraId="6F0D1B88">
                  <w:pPr>
                    <w:jc w:val="center"/>
                    <w:rPr>
                      <w:rFonts w:ascii="宋体" w:hAnsi="宋体" w:eastAsia="宋体"/>
                      <w:bCs/>
                      <w:color w:val="FF0000"/>
                      <w:szCs w:val="21"/>
                    </w:rPr>
                  </w:pPr>
                  <w:r>
                    <w:rPr>
                      <w:rFonts w:hint="eastAsia" w:ascii="宋体" w:hAnsi="宋体" w:eastAsia="宋体"/>
                      <w:bCs/>
                      <w:color w:val="FF0000"/>
                      <w:szCs w:val="21"/>
                    </w:rPr>
                    <w:t>磷铁</w:t>
                  </w:r>
                </w:p>
              </w:tc>
              <w:tc>
                <w:tcPr>
                  <w:tcW w:w="1307" w:type="pct"/>
                  <w:tcBorders>
                    <w:top w:val="single" w:color="auto" w:sz="4" w:space="0"/>
                    <w:left w:val="single" w:color="auto" w:sz="4" w:space="0"/>
                    <w:bottom w:val="single" w:color="auto" w:sz="4" w:space="0"/>
                    <w:right w:val="single" w:color="auto" w:sz="4" w:space="0"/>
                  </w:tcBorders>
                  <w:vAlign w:val="center"/>
                </w:tcPr>
                <w:p w14:paraId="42DE2C22">
                  <w:pPr>
                    <w:jc w:val="center"/>
                    <w:rPr>
                      <w:rFonts w:ascii="宋体" w:hAnsi="宋体" w:eastAsia="宋体"/>
                      <w:bCs/>
                      <w:color w:val="FF0000"/>
                      <w:szCs w:val="21"/>
                    </w:rPr>
                  </w:pPr>
                  <w:r>
                    <w:rPr>
                      <w:rFonts w:hint="eastAsia" w:ascii="宋体" w:hAnsi="宋体" w:eastAsia="宋体"/>
                      <w:bCs/>
                      <w:color w:val="FF0000"/>
                      <w:szCs w:val="21"/>
                    </w:rPr>
                    <w:t>4</w:t>
                  </w:r>
                  <w:r>
                    <w:rPr>
                      <w:rFonts w:ascii="宋体" w:hAnsi="宋体" w:eastAsia="宋体"/>
                      <w:bCs/>
                      <w:color w:val="FF0000"/>
                      <w:szCs w:val="21"/>
                    </w:rPr>
                    <w:t>00</w:t>
                  </w:r>
                  <w:r>
                    <w:rPr>
                      <w:rFonts w:hint="eastAsia" w:ascii="宋体" w:hAnsi="宋体" w:eastAsia="宋体"/>
                      <w:bCs/>
                      <w:color w:val="FF0000"/>
                      <w:szCs w:val="21"/>
                    </w:rPr>
                    <w:t xml:space="preserve"> t</w:t>
                  </w:r>
                  <w:r>
                    <w:rPr>
                      <w:rFonts w:ascii="宋体" w:hAnsi="宋体" w:eastAsia="宋体"/>
                      <w:bCs/>
                      <w:color w:val="FF0000"/>
                      <w:szCs w:val="21"/>
                    </w:rPr>
                    <w:t>/</w:t>
                  </w:r>
                  <w:r>
                    <w:rPr>
                      <w:rFonts w:hint="eastAsia" w:ascii="宋体" w:hAnsi="宋体" w:eastAsia="宋体"/>
                      <w:bCs/>
                      <w:color w:val="FF0000"/>
                      <w:szCs w:val="21"/>
                    </w:rPr>
                    <w:t>a</w:t>
                  </w:r>
                </w:p>
              </w:tc>
              <w:tc>
                <w:tcPr>
                  <w:tcW w:w="1320" w:type="pct"/>
                  <w:tcBorders>
                    <w:top w:val="single" w:color="auto" w:sz="4" w:space="0"/>
                    <w:left w:val="single" w:color="auto" w:sz="4" w:space="0"/>
                    <w:bottom w:val="single" w:color="auto" w:sz="4" w:space="0"/>
                    <w:right w:val="single" w:color="auto" w:sz="12" w:space="0"/>
                  </w:tcBorders>
                  <w:vAlign w:val="center"/>
                </w:tcPr>
                <w:p w14:paraId="604FDE01">
                  <w:pPr>
                    <w:jc w:val="center"/>
                    <w:rPr>
                      <w:rFonts w:ascii="宋体" w:hAnsi="宋体" w:eastAsia="宋体"/>
                      <w:color w:val="FF0000"/>
                      <w:szCs w:val="21"/>
                    </w:rPr>
                  </w:pPr>
                  <w:r>
                    <w:rPr>
                      <w:rFonts w:hint="eastAsia" w:ascii="宋体" w:hAnsi="宋体" w:eastAsia="宋体"/>
                      <w:bCs/>
                      <w:color w:val="FF0000"/>
                      <w:szCs w:val="21"/>
                    </w:rPr>
                    <w:t>回收利用，不外排</w:t>
                  </w:r>
                </w:p>
              </w:tc>
            </w:tr>
            <w:tr w14:paraId="7A6849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continue"/>
                  <w:tcBorders>
                    <w:top w:val="single" w:color="auto" w:sz="4" w:space="0"/>
                    <w:left w:val="single" w:color="auto" w:sz="12" w:space="0"/>
                    <w:bottom w:val="single" w:color="auto" w:sz="4" w:space="0"/>
                    <w:right w:val="single" w:color="auto" w:sz="4" w:space="0"/>
                  </w:tcBorders>
                  <w:vAlign w:val="center"/>
                </w:tcPr>
                <w:p w14:paraId="179665F7">
                  <w:pPr>
                    <w:widowControl/>
                    <w:jc w:val="left"/>
                    <w:rPr>
                      <w:rFonts w:ascii="宋体" w:hAnsi="宋体" w:eastAsia="宋体"/>
                      <w:bCs/>
                      <w:color w:val="FF0000"/>
                      <w:szCs w:val="21"/>
                    </w:rPr>
                  </w:pPr>
                </w:p>
              </w:tc>
              <w:tc>
                <w:tcPr>
                  <w:tcW w:w="789" w:type="pct"/>
                  <w:vMerge w:val="continue"/>
                  <w:tcBorders>
                    <w:left w:val="single" w:color="auto" w:sz="4" w:space="0"/>
                    <w:bottom w:val="single" w:color="auto" w:sz="4" w:space="0"/>
                    <w:right w:val="single" w:color="auto" w:sz="4" w:space="0"/>
                  </w:tcBorders>
                  <w:vAlign w:val="center"/>
                </w:tcPr>
                <w:p w14:paraId="7FD27ED5">
                  <w:pPr>
                    <w:jc w:val="center"/>
                    <w:rPr>
                      <w:rFonts w:ascii="宋体" w:hAnsi="宋体" w:eastAsia="宋体"/>
                      <w:bCs/>
                      <w:color w:val="FF0000"/>
                      <w:szCs w:val="21"/>
                    </w:rPr>
                  </w:pPr>
                </w:p>
              </w:tc>
              <w:tc>
                <w:tcPr>
                  <w:tcW w:w="1027" w:type="pct"/>
                  <w:tcBorders>
                    <w:top w:val="single" w:color="auto" w:sz="4" w:space="0"/>
                    <w:left w:val="single" w:color="auto" w:sz="4" w:space="0"/>
                    <w:bottom w:val="single" w:color="auto" w:sz="4" w:space="0"/>
                    <w:right w:val="single" w:color="auto" w:sz="4" w:space="0"/>
                  </w:tcBorders>
                  <w:vAlign w:val="center"/>
                </w:tcPr>
                <w:p w14:paraId="6B965D01">
                  <w:pPr>
                    <w:jc w:val="center"/>
                    <w:rPr>
                      <w:rFonts w:ascii="宋体" w:hAnsi="宋体" w:eastAsia="宋体"/>
                      <w:bCs/>
                      <w:color w:val="FF0000"/>
                      <w:szCs w:val="21"/>
                    </w:rPr>
                  </w:pPr>
                  <w:r>
                    <w:rPr>
                      <w:rFonts w:hint="eastAsia" w:ascii="宋体" w:hAnsi="宋体" w:eastAsia="宋体"/>
                      <w:bCs/>
                      <w:color w:val="FF0000"/>
                      <w:szCs w:val="21"/>
                    </w:rPr>
                    <w:t>泥磷</w:t>
                  </w:r>
                </w:p>
              </w:tc>
              <w:tc>
                <w:tcPr>
                  <w:tcW w:w="1307" w:type="pct"/>
                  <w:tcBorders>
                    <w:top w:val="single" w:color="auto" w:sz="4" w:space="0"/>
                    <w:left w:val="single" w:color="auto" w:sz="4" w:space="0"/>
                    <w:bottom w:val="single" w:color="auto" w:sz="4" w:space="0"/>
                    <w:right w:val="single" w:color="auto" w:sz="4" w:space="0"/>
                  </w:tcBorders>
                  <w:vAlign w:val="center"/>
                </w:tcPr>
                <w:p w14:paraId="4958A3DE">
                  <w:pPr>
                    <w:jc w:val="center"/>
                    <w:rPr>
                      <w:rFonts w:ascii="宋体" w:hAnsi="宋体" w:eastAsia="宋体"/>
                      <w:bCs/>
                      <w:color w:val="FF0000"/>
                      <w:szCs w:val="21"/>
                    </w:rPr>
                  </w:pPr>
                  <w:r>
                    <w:rPr>
                      <w:rFonts w:hint="eastAsia" w:ascii="宋体" w:hAnsi="宋体" w:eastAsia="宋体"/>
                      <w:bCs/>
                      <w:color w:val="FF0000"/>
                      <w:szCs w:val="21"/>
                    </w:rPr>
                    <w:t>1</w:t>
                  </w:r>
                  <w:r>
                    <w:rPr>
                      <w:rFonts w:ascii="宋体" w:hAnsi="宋体" w:eastAsia="宋体"/>
                      <w:bCs/>
                      <w:color w:val="FF0000"/>
                      <w:szCs w:val="21"/>
                    </w:rPr>
                    <w:t>60</w:t>
                  </w:r>
                  <w:r>
                    <w:rPr>
                      <w:rFonts w:hint="eastAsia" w:ascii="宋体" w:hAnsi="宋体" w:eastAsia="宋体"/>
                      <w:bCs/>
                      <w:color w:val="FF0000"/>
                      <w:szCs w:val="21"/>
                    </w:rPr>
                    <w:t xml:space="preserve"> t</w:t>
                  </w:r>
                  <w:r>
                    <w:rPr>
                      <w:rFonts w:ascii="宋体" w:hAnsi="宋体" w:eastAsia="宋体"/>
                      <w:bCs/>
                      <w:color w:val="FF0000"/>
                      <w:szCs w:val="21"/>
                    </w:rPr>
                    <w:t>/</w:t>
                  </w:r>
                  <w:r>
                    <w:rPr>
                      <w:rFonts w:hint="eastAsia" w:ascii="宋体" w:hAnsi="宋体" w:eastAsia="宋体"/>
                      <w:bCs/>
                      <w:color w:val="FF0000"/>
                      <w:szCs w:val="21"/>
                    </w:rPr>
                    <w:t>a</w:t>
                  </w:r>
                </w:p>
              </w:tc>
              <w:tc>
                <w:tcPr>
                  <w:tcW w:w="1320" w:type="pct"/>
                  <w:tcBorders>
                    <w:top w:val="single" w:color="auto" w:sz="4" w:space="0"/>
                    <w:left w:val="single" w:color="auto" w:sz="4" w:space="0"/>
                    <w:bottom w:val="single" w:color="auto" w:sz="4" w:space="0"/>
                    <w:right w:val="single" w:color="auto" w:sz="12" w:space="0"/>
                  </w:tcBorders>
                  <w:vAlign w:val="center"/>
                </w:tcPr>
                <w:p w14:paraId="68936A77">
                  <w:pPr>
                    <w:jc w:val="center"/>
                    <w:rPr>
                      <w:rFonts w:ascii="宋体" w:hAnsi="宋体" w:eastAsia="宋体"/>
                      <w:bCs/>
                      <w:color w:val="FF0000"/>
                      <w:szCs w:val="21"/>
                    </w:rPr>
                  </w:pPr>
                  <w:r>
                    <w:rPr>
                      <w:rFonts w:hint="eastAsia" w:ascii="宋体" w:hAnsi="宋体" w:eastAsia="宋体"/>
                      <w:bCs/>
                      <w:color w:val="FF0000"/>
                      <w:szCs w:val="21"/>
                    </w:rPr>
                    <w:t>回收利用，不外排</w:t>
                  </w:r>
                </w:p>
              </w:tc>
            </w:tr>
            <w:tr w14:paraId="3F9B6C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continue"/>
                  <w:tcBorders>
                    <w:top w:val="single" w:color="auto" w:sz="4" w:space="0"/>
                    <w:left w:val="single" w:color="auto" w:sz="12" w:space="0"/>
                    <w:bottom w:val="single" w:color="auto" w:sz="4" w:space="0"/>
                    <w:right w:val="single" w:color="auto" w:sz="4" w:space="0"/>
                  </w:tcBorders>
                  <w:vAlign w:val="center"/>
                </w:tcPr>
                <w:p w14:paraId="0DE6C668">
                  <w:pPr>
                    <w:widowControl/>
                    <w:jc w:val="left"/>
                    <w:rPr>
                      <w:rFonts w:ascii="宋体" w:hAnsi="宋体" w:eastAsia="宋体"/>
                      <w:bCs/>
                      <w:color w:val="FF0000"/>
                      <w:szCs w:val="21"/>
                    </w:rPr>
                  </w:pPr>
                </w:p>
              </w:tc>
              <w:tc>
                <w:tcPr>
                  <w:tcW w:w="789" w:type="pct"/>
                  <w:tcBorders>
                    <w:top w:val="single" w:color="auto" w:sz="4" w:space="0"/>
                    <w:left w:val="single" w:color="auto" w:sz="4" w:space="0"/>
                    <w:bottom w:val="single" w:color="auto" w:sz="4" w:space="0"/>
                    <w:right w:val="single" w:color="auto" w:sz="4" w:space="0"/>
                  </w:tcBorders>
                  <w:vAlign w:val="center"/>
                </w:tcPr>
                <w:p w14:paraId="695647E4">
                  <w:pPr>
                    <w:jc w:val="center"/>
                    <w:rPr>
                      <w:rFonts w:ascii="宋体" w:hAnsi="宋体" w:eastAsia="宋体"/>
                      <w:bCs/>
                      <w:color w:val="FF0000"/>
                      <w:szCs w:val="21"/>
                    </w:rPr>
                  </w:pPr>
                  <w:r>
                    <w:rPr>
                      <w:rFonts w:hint="eastAsia" w:ascii="宋体" w:hAnsi="宋体" w:eastAsia="宋体"/>
                      <w:bCs/>
                      <w:color w:val="FF0000"/>
                      <w:szCs w:val="21"/>
                    </w:rPr>
                    <w:t>原料工段</w:t>
                  </w:r>
                </w:p>
              </w:tc>
              <w:tc>
                <w:tcPr>
                  <w:tcW w:w="1027" w:type="pct"/>
                  <w:tcBorders>
                    <w:top w:val="single" w:color="auto" w:sz="4" w:space="0"/>
                    <w:left w:val="single" w:color="auto" w:sz="4" w:space="0"/>
                    <w:bottom w:val="single" w:color="auto" w:sz="4" w:space="0"/>
                    <w:right w:val="single" w:color="auto" w:sz="4" w:space="0"/>
                  </w:tcBorders>
                  <w:vAlign w:val="center"/>
                </w:tcPr>
                <w:p w14:paraId="3DAAA903">
                  <w:pPr>
                    <w:jc w:val="center"/>
                    <w:rPr>
                      <w:rFonts w:ascii="宋体" w:hAnsi="宋体" w:eastAsia="宋体"/>
                      <w:bCs/>
                      <w:color w:val="FF0000"/>
                      <w:szCs w:val="21"/>
                    </w:rPr>
                  </w:pPr>
                  <w:r>
                    <w:rPr>
                      <w:rFonts w:hint="eastAsia" w:ascii="宋体" w:hAnsi="宋体" w:eastAsia="宋体"/>
                      <w:bCs/>
                      <w:color w:val="FF0000"/>
                      <w:szCs w:val="21"/>
                    </w:rPr>
                    <w:t>焦矿粉</w:t>
                  </w:r>
                </w:p>
              </w:tc>
              <w:tc>
                <w:tcPr>
                  <w:tcW w:w="1307" w:type="pct"/>
                  <w:tcBorders>
                    <w:top w:val="single" w:color="auto" w:sz="4" w:space="0"/>
                    <w:left w:val="single" w:color="auto" w:sz="4" w:space="0"/>
                    <w:bottom w:val="single" w:color="auto" w:sz="4" w:space="0"/>
                    <w:right w:val="single" w:color="auto" w:sz="4" w:space="0"/>
                  </w:tcBorders>
                  <w:vAlign w:val="center"/>
                </w:tcPr>
                <w:p w14:paraId="2E10D3F1">
                  <w:pPr>
                    <w:jc w:val="center"/>
                    <w:rPr>
                      <w:rFonts w:ascii="宋体" w:hAnsi="宋体" w:eastAsia="宋体"/>
                      <w:bCs/>
                      <w:color w:val="FF0000"/>
                      <w:szCs w:val="21"/>
                    </w:rPr>
                  </w:pPr>
                  <w:r>
                    <w:rPr>
                      <w:rFonts w:hint="eastAsia" w:ascii="宋体" w:hAnsi="宋体" w:eastAsia="宋体"/>
                      <w:bCs/>
                      <w:color w:val="FF0000"/>
                      <w:szCs w:val="21"/>
                    </w:rPr>
                    <w:t>4 t</w:t>
                  </w:r>
                  <w:r>
                    <w:rPr>
                      <w:rFonts w:ascii="宋体" w:hAnsi="宋体" w:eastAsia="宋体"/>
                      <w:bCs/>
                      <w:color w:val="FF0000"/>
                      <w:szCs w:val="21"/>
                    </w:rPr>
                    <w:t>/</w:t>
                  </w:r>
                  <w:r>
                    <w:rPr>
                      <w:rFonts w:hint="eastAsia" w:ascii="宋体" w:hAnsi="宋体" w:eastAsia="宋体"/>
                      <w:bCs/>
                      <w:color w:val="FF0000"/>
                      <w:szCs w:val="21"/>
                    </w:rPr>
                    <w:t>a</w:t>
                  </w:r>
                </w:p>
              </w:tc>
              <w:tc>
                <w:tcPr>
                  <w:tcW w:w="1320" w:type="pct"/>
                  <w:tcBorders>
                    <w:top w:val="single" w:color="auto" w:sz="4" w:space="0"/>
                    <w:left w:val="single" w:color="auto" w:sz="4" w:space="0"/>
                    <w:bottom w:val="single" w:color="auto" w:sz="4" w:space="0"/>
                    <w:right w:val="single" w:color="auto" w:sz="12" w:space="0"/>
                  </w:tcBorders>
                  <w:vAlign w:val="center"/>
                </w:tcPr>
                <w:p w14:paraId="569F7D6C">
                  <w:pPr>
                    <w:jc w:val="center"/>
                    <w:rPr>
                      <w:rFonts w:ascii="宋体" w:hAnsi="宋体" w:eastAsia="宋体"/>
                      <w:bCs/>
                      <w:color w:val="FF0000"/>
                      <w:szCs w:val="21"/>
                    </w:rPr>
                  </w:pPr>
                  <w:r>
                    <w:rPr>
                      <w:rFonts w:hint="eastAsia" w:ascii="宋体" w:hAnsi="宋体" w:eastAsia="宋体"/>
                      <w:bCs/>
                      <w:color w:val="FF0000"/>
                      <w:szCs w:val="21"/>
                    </w:rPr>
                    <w:t>回收利用，不外排</w:t>
                  </w:r>
                </w:p>
              </w:tc>
            </w:tr>
            <w:tr w14:paraId="40647C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vMerge w:val="continue"/>
                  <w:tcBorders>
                    <w:top w:val="single" w:color="auto" w:sz="4" w:space="0"/>
                    <w:left w:val="single" w:color="auto" w:sz="12" w:space="0"/>
                    <w:bottom w:val="single" w:color="auto" w:sz="4" w:space="0"/>
                    <w:right w:val="single" w:color="auto" w:sz="4" w:space="0"/>
                  </w:tcBorders>
                  <w:vAlign w:val="center"/>
                </w:tcPr>
                <w:p w14:paraId="48ADBD7F">
                  <w:pPr>
                    <w:widowControl/>
                    <w:jc w:val="left"/>
                    <w:rPr>
                      <w:rFonts w:ascii="宋体" w:hAnsi="宋体" w:eastAsia="宋体"/>
                      <w:bCs/>
                      <w:color w:val="FF0000"/>
                      <w:szCs w:val="21"/>
                    </w:rPr>
                  </w:pPr>
                </w:p>
              </w:tc>
              <w:tc>
                <w:tcPr>
                  <w:tcW w:w="789" w:type="pct"/>
                  <w:tcBorders>
                    <w:top w:val="single" w:color="auto" w:sz="4" w:space="0"/>
                    <w:left w:val="single" w:color="auto" w:sz="4" w:space="0"/>
                    <w:bottom w:val="single" w:color="auto" w:sz="4" w:space="0"/>
                    <w:right w:val="single" w:color="auto" w:sz="4" w:space="0"/>
                  </w:tcBorders>
                  <w:vAlign w:val="center"/>
                </w:tcPr>
                <w:p w14:paraId="4C4B9A56">
                  <w:pPr>
                    <w:jc w:val="center"/>
                    <w:rPr>
                      <w:rFonts w:ascii="宋体" w:hAnsi="宋体" w:eastAsia="宋体"/>
                      <w:bCs/>
                      <w:color w:val="FF0000"/>
                      <w:szCs w:val="21"/>
                    </w:rPr>
                  </w:pPr>
                  <w:r>
                    <w:rPr>
                      <w:rFonts w:hint="eastAsia" w:ascii="宋体" w:hAnsi="宋体" w:eastAsia="宋体"/>
                      <w:bCs/>
                      <w:color w:val="FF0000"/>
                      <w:szCs w:val="21"/>
                    </w:rPr>
                    <w:t>锅炉</w:t>
                  </w:r>
                </w:p>
              </w:tc>
              <w:tc>
                <w:tcPr>
                  <w:tcW w:w="1027" w:type="pct"/>
                  <w:tcBorders>
                    <w:top w:val="single" w:color="auto" w:sz="4" w:space="0"/>
                    <w:left w:val="single" w:color="auto" w:sz="4" w:space="0"/>
                    <w:bottom w:val="single" w:color="auto" w:sz="4" w:space="0"/>
                    <w:right w:val="single" w:color="auto" w:sz="4" w:space="0"/>
                  </w:tcBorders>
                  <w:vAlign w:val="center"/>
                </w:tcPr>
                <w:p w14:paraId="681C8B20">
                  <w:pPr>
                    <w:jc w:val="center"/>
                    <w:rPr>
                      <w:rFonts w:ascii="宋体" w:hAnsi="宋体" w:eastAsia="宋体"/>
                      <w:bCs/>
                      <w:color w:val="FF0000"/>
                      <w:szCs w:val="21"/>
                    </w:rPr>
                  </w:pPr>
                  <w:r>
                    <w:rPr>
                      <w:rFonts w:hint="eastAsia" w:ascii="宋体" w:hAnsi="宋体" w:eastAsia="宋体"/>
                      <w:bCs/>
                      <w:color w:val="FF0000"/>
                      <w:szCs w:val="21"/>
                    </w:rPr>
                    <w:t>燃煤炉渣</w:t>
                  </w:r>
                </w:p>
              </w:tc>
              <w:tc>
                <w:tcPr>
                  <w:tcW w:w="1307" w:type="pct"/>
                  <w:tcBorders>
                    <w:top w:val="single" w:color="auto" w:sz="4" w:space="0"/>
                    <w:left w:val="single" w:color="auto" w:sz="4" w:space="0"/>
                    <w:bottom w:val="single" w:color="auto" w:sz="4" w:space="0"/>
                    <w:right w:val="single" w:color="auto" w:sz="4" w:space="0"/>
                  </w:tcBorders>
                  <w:vAlign w:val="center"/>
                </w:tcPr>
                <w:p w14:paraId="0B6CAFFC">
                  <w:pPr>
                    <w:jc w:val="center"/>
                    <w:rPr>
                      <w:rFonts w:ascii="宋体" w:hAnsi="宋体" w:eastAsia="宋体"/>
                      <w:bCs/>
                      <w:color w:val="FF0000"/>
                      <w:szCs w:val="21"/>
                    </w:rPr>
                  </w:pPr>
                  <w:r>
                    <w:rPr>
                      <w:rFonts w:ascii="宋体" w:hAnsi="宋体" w:eastAsia="宋体"/>
                      <w:bCs/>
                      <w:color w:val="FF0000"/>
                      <w:szCs w:val="21"/>
                    </w:rPr>
                    <w:t>240</w:t>
                  </w:r>
                  <w:r>
                    <w:rPr>
                      <w:rFonts w:hint="eastAsia" w:ascii="宋体" w:hAnsi="宋体" w:eastAsia="宋体"/>
                      <w:bCs/>
                      <w:color w:val="FF0000"/>
                      <w:szCs w:val="21"/>
                    </w:rPr>
                    <w:t xml:space="preserve"> t</w:t>
                  </w:r>
                  <w:r>
                    <w:rPr>
                      <w:rFonts w:ascii="宋体" w:hAnsi="宋体" w:eastAsia="宋体"/>
                      <w:bCs/>
                      <w:color w:val="FF0000"/>
                      <w:szCs w:val="21"/>
                    </w:rPr>
                    <w:t>/</w:t>
                  </w:r>
                  <w:r>
                    <w:rPr>
                      <w:rFonts w:hint="eastAsia" w:ascii="宋体" w:hAnsi="宋体" w:eastAsia="宋体"/>
                      <w:bCs/>
                      <w:color w:val="FF0000"/>
                      <w:szCs w:val="21"/>
                    </w:rPr>
                    <w:t>a</w:t>
                  </w:r>
                </w:p>
              </w:tc>
              <w:tc>
                <w:tcPr>
                  <w:tcW w:w="1320" w:type="pct"/>
                  <w:tcBorders>
                    <w:top w:val="single" w:color="auto" w:sz="4" w:space="0"/>
                    <w:left w:val="single" w:color="auto" w:sz="4" w:space="0"/>
                    <w:bottom w:val="single" w:color="auto" w:sz="4" w:space="0"/>
                    <w:right w:val="single" w:color="auto" w:sz="12" w:space="0"/>
                  </w:tcBorders>
                  <w:vAlign w:val="center"/>
                </w:tcPr>
                <w:p w14:paraId="63A808BF">
                  <w:pPr>
                    <w:jc w:val="center"/>
                    <w:rPr>
                      <w:rFonts w:ascii="宋体" w:hAnsi="宋体" w:eastAsia="宋体"/>
                      <w:bCs/>
                      <w:color w:val="FF0000"/>
                      <w:szCs w:val="21"/>
                    </w:rPr>
                  </w:pPr>
                  <w:r>
                    <w:rPr>
                      <w:rFonts w:hint="eastAsia" w:ascii="宋体" w:hAnsi="宋体" w:eastAsia="宋体"/>
                      <w:bCs/>
                      <w:color w:val="FF0000"/>
                      <w:szCs w:val="21"/>
                    </w:rPr>
                    <w:t>回收利用，不外排</w:t>
                  </w:r>
                </w:p>
              </w:tc>
            </w:tr>
            <w:tr w14:paraId="18B39F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57" w:type="pct"/>
                  <w:tcBorders>
                    <w:top w:val="single" w:color="auto" w:sz="4" w:space="0"/>
                    <w:left w:val="single" w:color="auto" w:sz="12" w:space="0"/>
                    <w:bottom w:val="single" w:color="auto" w:sz="12" w:space="0"/>
                    <w:right w:val="single" w:color="auto" w:sz="4" w:space="0"/>
                  </w:tcBorders>
                  <w:vAlign w:val="center"/>
                </w:tcPr>
                <w:p w14:paraId="7C4FA4E6">
                  <w:pPr>
                    <w:jc w:val="center"/>
                    <w:rPr>
                      <w:rFonts w:ascii="宋体" w:hAnsi="宋体" w:eastAsia="宋体"/>
                      <w:bCs/>
                      <w:color w:val="FF0000"/>
                      <w:szCs w:val="21"/>
                    </w:rPr>
                  </w:pPr>
                  <w:r>
                    <w:rPr>
                      <w:rFonts w:hint="eastAsia" w:ascii="宋体" w:hAnsi="宋体" w:eastAsia="宋体"/>
                      <w:bCs/>
                      <w:color w:val="FF0000"/>
                      <w:szCs w:val="21"/>
                    </w:rPr>
                    <w:t>噪声</w:t>
                  </w:r>
                </w:p>
              </w:tc>
              <w:tc>
                <w:tcPr>
                  <w:tcW w:w="789" w:type="pct"/>
                  <w:tcBorders>
                    <w:top w:val="single" w:color="auto" w:sz="4" w:space="0"/>
                    <w:left w:val="single" w:color="auto" w:sz="4" w:space="0"/>
                    <w:bottom w:val="single" w:color="auto" w:sz="12" w:space="0"/>
                    <w:right w:val="single" w:color="auto" w:sz="4" w:space="0"/>
                  </w:tcBorders>
                  <w:vAlign w:val="center"/>
                </w:tcPr>
                <w:p w14:paraId="1675F9A1">
                  <w:pPr>
                    <w:jc w:val="center"/>
                    <w:rPr>
                      <w:rFonts w:ascii="宋体" w:hAnsi="宋体" w:eastAsia="宋体"/>
                      <w:bCs/>
                      <w:color w:val="FF0000"/>
                      <w:szCs w:val="21"/>
                    </w:rPr>
                  </w:pPr>
                  <w:r>
                    <w:rPr>
                      <w:rFonts w:hint="eastAsia" w:ascii="宋体" w:hAnsi="宋体" w:eastAsia="宋体"/>
                      <w:bCs/>
                      <w:color w:val="FF0000"/>
                      <w:szCs w:val="21"/>
                    </w:rPr>
                    <w:t>厂界噪声</w:t>
                  </w:r>
                </w:p>
              </w:tc>
              <w:tc>
                <w:tcPr>
                  <w:tcW w:w="1027" w:type="pct"/>
                  <w:tcBorders>
                    <w:top w:val="single" w:color="auto" w:sz="4" w:space="0"/>
                    <w:left w:val="single" w:color="auto" w:sz="4" w:space="0"/>
                    <w:bottom w:val="single" w:color="auto" w:sz="12" w:space="0"/>
                    <w:right w:val="single" w:color="auto" w:sz="4" w:space="0"/>
                  </w:tcBorders>
                  <w:vAlign w:val="center"/>
                </w:tcPr>
                <w:p w14:paraId="2CF1DBF7">
                  <w:pPr>
                    <w:jc w:val="center"/>
                    <w:rPr>
                      <w:rFonts w:ascii="宋体" w:hAnsi="宋体" w:eastAsia="宋体"/>
                      <w:color w:val="FF0000"/>
                      <w:szCs w:val="21"/>
                    </w:rPr>
                  </w:pPr>
                  <w:r>
                    <w:rPr>
                      <w:rFonts w:hint="eastAsia" w:ascii="宋体" w:hAnsi="宋体" w:eastAsia="宋体"/>
                      <w:color w:val="FF0000"/>
                      <w:szCs w:val="21"/>
                    </w:rPr>
                    <w:t>设备噪声</w:t>
                  </w:r>
                </w:p>
              </w:tc>
              <w:tc>
                <w:tcPr>
                  <w:tcW w:w="1307" w:type="pct"/>
                  <w:tcBorders>
                    <w:top w:val="single" w:color="auto" w:sz="4" w:space="0"/>
                    <w:left w:val="single" w:color="auto" w:sz="4" w:space="0"/>
                    <w:bottom w:val="single" w:color="auto" w:sz="12" w:space="0"/>
                    <w:right w:val="single" w:color="auto" w:sz="4" w:space="0"/>
                  </w:tcBorders>
                  <w:vAlign w:val="center"/>
                </w:tcPr>
                <w:p w14:paraId="46F64285">
                  <w:pPr>
                    <w:jc w:val="center"/>
                    <w:rPr>
                      <w:rFonts w:ascii="宋体" w:hAnsi="宋体" w:eastAsia="宋体"/>
                      <w:bCs/>
                      <w:color w:val="FF0000"/>
                      <w:szCs w:val="21"/>
                    </w:rPr>
                  </w:pPr>
                  <w:r>
                    <w:rPr>
                      <w:rFonts w:hint="eastAsia" w:ascii="宋体" w:hAnsi="宋体" w:eastAsia="宋体"/>
                      <w:color w:val="FF0000"/>
                      <w:szCs w:val="21"/>
                    </w:rPr>
                    <w:t>场界噪声</w:t>
                  </w:r>
                </w:p>
              </w:tc>
              <w:tc>
                <w:tcPr>
                  <w:tcW w:w="1320" w:type="pct"/>
                  <w:tcBorders>
                    <w:top w:val="single" w:color="auto" w:sz="4" w:space="0"/>
                    <w:left w:val="single" w:color="auto" w:sz="4" w:space="0"/>
                    <w:bottom w:val="single" w:color="auto" w:sz="12" w:space="0"/>
                    <w:right w:val="single" w:color="auto" w:sz="12" w:space="0"/>
                  </w:tcBorders>
                  <w:vAlign w:val="center"/>
                </w:tcPr>
                <w:p w14:paraId="7062C886">
                  <w:pPr>
                    <w:jc w:val="center"/>
                    <w:rPr>
                      <w:rFonts w:ascii="宋体" w:hAnsi="宋体" w:eastAsia="宋体"/>
                      <w:bCs/>
                      <w:color w:val="FF0000"/>
                      <w:szCs w:val="21"/>
                    </w:rPr>
                  </w:pPr>
                  <w:r>
                    <w:rPr>
                      <w:rFonts w:hint="eastAsia" w:ascii="宋体" w:hAnsi="宋体" w:eastAsia="宋体"/>
                      <w:color w:val="FF0000"/>
                      <w:szCs w:val="21"/>
                    </w:rPr>
                    <w:t>场界内：昼间</w:t>
                  </w:r>
                  <w:r>
                    <w:rPr>
                      <w:rFonts w:ascii="宋体" w:hAnsi="宋体" w:eastAsia="宋体"/>
                      <w:color w:val="FF0000"/>
                      <w:szCs w:val="21"/>
                    </w:rPr>
                    <w:t>&lt;65dB</w:t>
                  </w:r>
                  <w:r>
                    <w:rPr>
                      <w:rFonts w:hint="eastAsia" w:ascii="宋体" w:hAnsi="宋体" w:eastAsia="宋体"/>
                      <w:color w:val="FF0000"/>
                      <w:spacing w:val="-6"/>
                      <w:szCs w:val="21"/>
                    </w:rPr>
                    <w:t>（</w:t>
                  </w:r>
                  <w:r>
                    <w:rPr>
                      <w:rFonts w:ascii="宋体" w:hAnsi="宋体" w:eastAsia="宋体"/>
                      <w:color w:val="FF0000"/>
                      <w:spacing w:val="-6"/>
                      <w:szCs w:val="21"/>
                    </w:rPr>
                    <w:t>A</w:t>
                  </w:r>
                  <w:r>
                    <w:rPr>
                      <w:rFonts w:hint="eastAsia" w:ascii="宋体" w:hAnsi="宋体" w:eastAsia="宋体"/>
                      <w:color w:val="FF0000"/>
                      <w:spacing w:val="-6"/>
                      <w:szCs w:val="21"/>
                    </w:rPr>
                    <w:t>）</w:t>
                  </w:r>
                  <w:r>
                    <w:rPr>
                      <w:rFonts w:hint="eastAsia" w:ascii="宋体" w:hAnsi="宋体" w:eastAsia="宋体"/>
                      <w:color w:val="FF0000"/>
                      <w:szCs w:val="21"/>
                    </w:rPr>
                    <w:t>，夜间</w:t>
                  </w:r>
                  <w:r>
                    <w:rPr>
                      <w:rFonts w:ascii="宋体" w:hAnsi="宋体" w:eastAsia="宋体"/>
                      <w:color w:val="FF0000"/>
                      <w:szCs w:val="21"/>
                    </w:rPr>
                    <w:t>&lt;55dB</w:t>
                  </w:r>
                  <w:r>
                    <w:rPr>
                      <w:rFonts w:hint="eastAsia" w:ascii="宋体" w:hAnsi="宋体" w:eastAsia="宋体"/>
                      <w:color w:val="FF0000"/>
                      <w:spacing w:val="-6"/>
                      <w:szCs w:val="21"/>
                    </w:rPr>
                    <w:t>（</w:t>
                  </w:r>
                  <w:r>
                    <w:rPr>
                      <w:rFonts w:ascii="宋体" w:hAnsi="宋体" w:eastAsia="宋体"/>
                      <w:color w:val="FF0000"/>
                      <w:spacing w:val="-6"/>
                      <w:szCs w:val="21"/>
                    </w:rPr>
                    <w:t>A</w:t>
                  </w:r>
                  <w:r>
                    <w:rPr>
                      <w:rFonts w:hint="eastAsia" w:ascii="宋体" w:hAnsi="宋体" w:eastAsia="宋体"/>
                      <w:color w:val="FF0000"/>
                      <w:spacing w:val="-6"/>
                      <w:szCs w:val="21"/>
                    </w:rPr>
                    <w:t>）</w:t>
                  </w:r>
                </w:p>
              </w:tc>
            </w:tr>
          </w:tbl>
          <w:p w14:paraId="3B8CE98C">
            <w:pPr>
              <w:spacing w:line="360" w:lineRule="auto"/>
              <w:ind w:firstLine="482" w:firstLineChars="200"/>
              <w:rPr>
                <w:rFonts w:ascii="Times New Roman" w:hAnsi="Times New Roman" w:eastAsia="宋体" w:cs="Times New Roman"/>
                <w:b/>
                <w:color w:val="FF0000"/>
                <w:sz w:val="24"/>
                <w:szCs w:val="24"/>
              </w:rPr>
            </w:pPr>
            <w:r>
              <w:rPr>
                <w:rFonts w:ascii="Times New Roman" w:hAnsi="Times New Roman" w:eastAsia="宋体" w:cs="Times New Roman"/>
                <w:b/>
                <w:color w:val="FF0000"/>
                <w:sz w:val="24"/>
                <w:szCs w:val="24"/>
              </w:rPr>
              <w:t>2</w:t>
            </w:r>
            <w:r>
              <w:rPr>
                <w:rFonts w:hint="eastAsia" w:ascii="Times New Roman" w:hAnsi="Times New Roman" w:eastAsia="宋体" w:cs="Times New Roman"/>
                <w:b/>
                <w:color w:val="FF0000"/>
                <w:sz w:val="24"/>
                <w:szCs w:val="24"/>
              </w:rPr>
              <w:t>、原有</w:t>
            </w:r>
            <w:r>
              <w:rPr>
                <w:rFonts w:ascii="Times New Roman" w:hAnsi="Times New Roman" w:eastAsia="宋体" w:cs="Times New Roman"/>
                <w:b/>
                <w:color w:val="FF0000"/>
                <w:sz w:val="24"/>
                <w:szCs w:val="24"/>
              </w:rPr>
              <w:t>“</w:t>
            </w:r>
            <w:r>
              <w:rPr>
                <w:rFonts w:hint="eastAsia" w:ascii="Times New Roman" w:hAnsi="Times New Roman" w:eastAsia="宋体" w:cs="Times New Roman"/>
                <w:b/>
                <w:color w:val="FF0000"/>
                <w:sz w:val="24"/>
                <w:szCs w:val="24"/>
              </w:rPr>
              <w:t>三废</w:t>
            </w:r>
            <w:r>
              <w:rPr>
                <w:rFonts w:ascii="Times New Roman" w:hAnsi="Times New Roman" w:eastAsia="宋体" w:cs="Times New Roman"/>
                <w:b/>
                <w:color w:val="FF0000"/>
                <w:sz w:val="24"/>
                <w:szCs w:val="24"/>
              </w:rPr>
              <w:t>”</w:t>
            </w:r>
            <w:r>
              <w:rPr>
                <w:rFonts w:hint="eastAsia" w:ascii="Times New Roman" w:hAnsi="Times New Roman" w:eastAsia="宋体" w:cs="Times New Roman"/>
                <w:b/>
                <w:color w:val="FF0000"/>
                <w:sz w:val="24"/>
                <w:szCs w:val="24"/>
              </w:rPr>
              <w:t>治理及排放情况</w:t>
            </w:r>
          </w:p>
          <w:p w14:paraId="27E885B0">
            <w:pPr>
              <w:spacing w:line="360" w:lineRule="auto"/>
              <w:ind w:firstLine="468" w:firstLineChars="195"/>
              <w:jc w:val="left"/>
              <w:rPr>
                <w:rFonts w:ascii="Times New Roman" w:hAnsi="Times New Roman" w:eastAsia="宋体" w:cs="Times New Roman"/>
                <w:bCs/>
                <w:color w:val="FF0000"/>
                <w:sz w:val="24"/>
                <w:szCs w:val="24"/>
              </w:rPr>
            </w:pPr>
            <w:r>
              <w:rPr>
                <w:rFonts w:ascii="Times New Roman" w:hAnsi="Times New Roman" w:eastAsia="宋体" w:cs="Times New Roman"/>
                <w:bCs/>
                <w:color w:val="FF0000"/>
                <w:sz w:val="24"/>
                <w:szCs w:val="24"/>
              </w:rPr>
              <w:t>2.1</w:t>
            </w:r>
            <w:r>
              <w:rPr>
                <w:rFonts w:hint="eastAsia" w:ascii="Times New Roman" w:hAnsi="Times New Roman" w:eastAsia="宋体" w:cs="Times New Roman"/>
                <w:bCs/>
                <w:color w:val="FF0000"/>
                <w:sz w:val="24"/>
                <w:szCs w:val="24"/>
              </w:rPr>
              <w:t>项目废水运营期污染物治理及排放</w:t>
            </w:r>
          </w:p>
          <w:p w14:paraId="4F2DF56F">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本工程黄磷生产每天产生含磷废水</w:t>
            </w:r>
            <w:r>
              <w:rPr>
                <w:rFonts w:hint="eastAsia" w:ascii="宋体" w:hAnsi="宋体" w:eastAsia="宋体"/>
                <w:color w:val="FF0000"/>
                <w:kern w:val="0"/>
                <w:sz w:val="24"/>
                <w:lang w:eastAsia="zh-CN"/>
              </w:rPr>
              <w:t>（</w:t>
            </w:r>
            <w:r>
              <w:rPr>
                <w:rFonts w:hint="eastAsia" w:ascii="宋体" w:hAnsi="宋体" w:eastAsia="宋体"/>
                <w:color w:val="FF0000"/>
                <w:kern w:val="0"/>
                <w:sz w:val="24"/>
              </w:rPr>
              <w:t>包括黄磷生产、冲渣、洗手、洗器具、冲地等废水</w:t>
            </w:r>
            <w:r>
              <w:rPr>
                <w:rFonts w:hint="eastAsia" w:ascii="宋体" w:hAnsi="宋体" w:eastAsia="宋体"/>
                <w:color w:val="FF0000"/>
                <w:kern w:val="0"/>
                <w:sz w:val="24"/>
                <w:lang w:eastAsia="zh-CN"/>
              </w:rPr>
              <w:t>）</w:t>
            </w:r>
            <w:r>
              <w:rPr>
                <w:rFonts w:hint="eastAsia" w:ascii="宋体" w:hAnsi="宋体" w:eastAsia="宋体"/>
                <w:color w:val="FF0000"/>
                <w:kern w:val="0"/>
                <w:sz w:val="24"/>
              </w:rPr>
              <w:t>875m</w:t>
            </w:r>
            <w:r>
              <w:rPr>
                <w:rFonts w:ascii="宋体" w:hAnsi="宋体" w:eastAsia="宋体"/>
                <w:color w:val="FF0000"/>
                <w:kern w:val="0"/>
                <w:sz w:val="24"/>
                <w:vertAlign w:val="superscript"/>
              </w:rPr>
              <w:t>3</w:t>
            </w:r>
            <w:r>
              <w:rPr>
                <w:rFonts w:hint="eastAsia" w:ascii="宋体" w:hAnsi="宋体" w:eastAsia="宋体"/>
                <w:color w:val="FF0000"/>
                <w:kern w:val="0"/>
                <w:sz w:val="24"/>
              </w:rPr>
              <w:t>,全部进入含磷废水处理系统经处理后循环使用，不外排。</w:t>
            </w:r>
          </w:p>
          <w:p w14:paraId="37DCF4CE">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黄磷生产中变压器冷却水不含磷，其排放量为50m</w:t>
            </w:r>
            <w:r>
              <w:rPr>
                <w:rFonts w:hint="eastAsia" w:ascii="宋体" w:hAnsi="宋体" w:eastAsia="宋体"/>
                <w:color w:val="FF0000"/>
                <w:kern w:val="0"/>
                <w:sz w:val="24"/>
                <w:vertAlign w:val="superscript"/>
              </w:rPr>
              <w:t>2</w:t>
            </w:r>
            <w:r>
              <w:rPr>
                <w:rFonts w:hint="eastAsia" w:ascii="宋体" w:hAnsi="宋体" w:eastAsia="宋体"/>
                <w:color w:val="FF0000"/>
                <w:kern w:val="0"/>
                <w:sz w:val="24"/>
              </w:rPr>
              <w:t>/d，全部回到清水池循环使用。</w:t>
            </w:r>
          </w:p>
          <w:p w14:paraId="43D2A48D">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本工程的外排废水主要为燃煤锅炉冷却水和生活废水，排放量分别为2m</w:t>
            </w:r>
            <w:r>
              <w:rPr>
                <w:rFonts w:hint="eastAsia" w:ascii="宋体" w:hAnsi="宋体" w:eastAsia="宋体"/>
                <w:color w:val="FF0000"/>
                <w:kern w:val="0"/>
                <w:sz w:val="24"/>
                <w:vertAlign w:val="superscript"/>
              </w:rPr>
              <w:t>2</w:t>
            </w:r>
            <w:r>
              <w:rPr>
                <w:rFonts w:hint="eastAsia" w:ascii="宋体" w:hAnsi="宋体" w:eastAsia="宋体"/>
                <w:color w:val="FF0000"/>
                <w:kern w:val="0"/>
                <w:sz w:val="24"/>
              </w:rPr>
              <w:t>/d和10.8m</w:t>
            </w:r>
            <w:r>
              <w:rPr>
                <w:rFonts w:hint="eastAsia" w:ascii="宋体" w:hAnsi="宋体" w:eastAsia="宋体"/>
                <w:color w:val="FF0000"/>
                <w:kern w:val="0"/>
                <w:sz w:val="24"/>
                <w:vertAlign w:val="superscript"/>
              </w:rPr>
              <w:t>2</w:t>
            </w:r>
            <w:r>
              <w:rPr>
                <w:rFonts w:hint="eastAsia" w:ascii="宋体" w:hAnsi="宋体" w:eastAsia="宋体"/>
                <w:color w:val="FF0000"/>
                <w:kern w:val="0"/>
                <w:sz w:val="24"/>
              </w:rPr>
              <w:t>/d，外排废水总量为12.8m</w:t>
            </w:r>
            <w:r>
              <w:rPr>
                <w:rFonts w:hint="eastAsia" w:ascii="宋体" w:hAnsi="宋体" w:eastAsia="宋体"/>
                <w:color w:val="FF0000"/>
                <w:kern w:val="0"/>
                <w:sz w:val="24"/>
                <w:vertAlign w:val="superscript"/>
              </w:rPr>
              <w:t>2</w:t>
            </w:r>
            <w:r>
              <w:rPr>
                <w:rFonts w:hint="eastAsia" w:ascii="宋体" w:hAnsi="宋体" w:eastAsia="宋体"/>
                <w:color w:val="FF0000"/>
                <w:kern w:val="0"/>
                <w:sz w:val="24"/>
              </w:rPr>
              <w:t>/d。外排废水中除SS外，其它污染物均能达标排放。</w:t>
            </w:r>
          </w:p>
          <w:p w14:paraId="30405F58">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本工程外排废水受纳水体为庞沟，庞沟系一小河流，目前地表水环境质量较好，监测期间的流量大约为0.5m</w:t>
            </w:r>
            <w:r>
              <w:rPr>
                <w:rFonts w:ascii="宋体" w:hAnsi="宋体" w:eastAsia="宋体"/>
                <w:color w:val="FF0000"/>
                <w:kern w:val="0"/>
                <w:sz w:val="24"/>
                <w:vertAlign w:val="superscript"/>
              </w:rPr>
              <w:t>3</w:t>
            </w:r>
            <w:r>
              <w:rPr>
                <w:rFonts w:hint="eastAsia" w:ascii="宋体" w:hAnsi="宋体" w:eastAsia="宋体"/>
                <w:color w:val="FF0000"/>
                <w:kern w:val="0"/>
                <w:sz w:val="24"/>
              </w:rPr>
              <w:t>/s。在正常生产情况下，全部含磷废水经处理后循环使用，此时，外排废水由于废水量较小，废水中污染物浓度值较低，排入庞沟后对庞沟的影响较小。</w:t>
            </w:r>
          </w:p>
          <w:p w14:paraId="6305A5F0">
            <w:pPr>
              <w:widowControl/>
              <w:spacing w:line="360" w:lineRule="auto"/>
              <w:ind w:firstLine="480" w:firstLineChars="200"/>
              <w:rPr>
                <w:rFonts w:ascii="宋体" w:hAnsi="宋体" w:eastAsia="宋体"/>
                <w:color w:val="FF0000"/>
                <w:kern w:val="0"/>
                <w:sz w:val="24"/>
              </w:rPr>
            </w:pPr>
            <w:r>
              <w:rPr>
                <w:rFonts w:ascii="Times New Roman" w:hAnsi="Times New Roman" w:eastAsia="宋体" w:cs="Times New Roman"/>
                <w:color w:val="FF0000"/>
                <w:kern w:val="0"/>
                <w:sz w:val="24"/>
              </w:rPr>
              <w:t>2.2</w:t>
            </w:r>
            <w:r>
              <w:rPr>
                <w:rFonts w:hint="eastAsia" w:ascii="Times New Roman" w:hAnsi="Times New Roman" w:eastAsia="宋体" w:cs="Times New Roman"/>
                <w:bCs/>
                <w:color w:val="FF0000"/>
                <w:sz w:val="24"/>
                <w:szCs w:val="24"/>
              </w:rPr>
              <w:t>项目废气运营期污染物治理及排放</w:t>
            </w:r>
          </w:p>
          <w:p w14:paraId="4AB374E6">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本工程大气污染源主要是黄磷生产工艺废气和燃煤锅炉烟气，主要大气污染物为P</w:t>
            </w:r>
            <w:r>
              <w:rPr>
                <w:rFonts w:hint="eastAsia" w:ascii="宋体" w:hAnsi="宋体" w:eastAsia="宋体"/>
                <w:color w:val="FF0000"/>
                <w:kern w:val="0"/>
                <w:sz w:val="24"/>
                <w:vertAlign w:val="subscript"/>
              </w:rPr>
              <w:t>2</w:t>
            </w:r>
            <w:r>
              <w:rPr>
                <w:rFonts w:hint="eastAsia" w:ascii="宋体" w:hAnsi="宋体" w:eastAsia="宋体"/>
                <w:color w:val="FF0000"/>
                <w:kern w:val="0"/>
                <w:sz w:val="24"/>
              </w:rPr>
              <w:t>O</w:t>
            </w:r>
            <w:r>
              <w:rPr>
                <w:rFonts w:hint="eastAsia" w:ascii="宋体" w:hAnsi="宋体" w:eastAsia="宋体"/>
                <w:color w:val="FF0000"/>
                <w:kern w:val="0"/>
                <w:sz w:val="24"/>
                <w:vertAlign w:val="subscript"/>
              </w:rPr>
              <w:t>5</w:t>
            </w:r>
            <w:r>
              <w:rPr>
                <w:rFonts w:hint="eastAsia" w:ascii="宋体" w:hAnsi="宋体" w:eastAsia="宋体"/>
                <w:color w:val="FF0000"/>
                <w:kern w:val="0"/>
                <w:sz w:val="24"/>
              </w:rPr>
              <w:t>、F、SO</w:t>
            </w:r>
            <w:r>
              <w:rPr>
                <w:rFonts w:hint="eastAsia" w:ascii="宋体" w:hAnsi="宋体" w:eastAsia="宋体"/>
                <w:color w:val="FF0000"/>
                <w:kern w:val="0"/>
                <w:sz w:val="24"/>
                <w:vertAlign w:val="subscript"/>
              </w:rPr>
              <w:t>2</w:t>
            </w:r>
            <w:r>
              <w:rPr>
                <w:rFonts w:hint="eastAsia" w:ascii="宋体" w:hAnsi="宋体" w:eastAsia="宋体"/>
                <w:color w:val="FF0000"/>
                <w:kern w:val="0"/>
                <w:sz w:val="24"/>
              </w:rPr>
              <w:t>、TSP。按照环境影响评价技术导则规定的模式，预测结果如下：</w:t>
            </w:r>
          </w:p>
          <w:p w14:paraId="6EF73974">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在最不利气象条件下</w:t>
            </w:r>
            <w:r>
              <w:rPr>
                <w:rFonts w:hint="eastAsia" w:ascii="宋体" w:hAnsi="宋体" w:eastAsia="宋体"/>
                <w:color w:val="FF0000"/>
                <w:kern w:val="0"/>
                <w:sz w:val="24"/>
                <w:lang w:eastAsia="zh-CN"/>
              </w:rPr>
              <w:t>（</w:t>
            </w:r>
            <w:r>
              <w:rPr>
                <w:rFonts w:hint="eastAsia" w:ascii="宋体" w:hAnsi="宋体" w:eastAsia="宋体"/>
                <w:color w:val="FF0000"/>
                <w:kern w:val="0"/>
                <w:sz w:val="24"/>
              </w:rPr>
              <w:t>逆温、静风</w:t>
            </w:r>
            <w:r>
              <w:rPr>
                <w:rFonts w:hint="eastAsia" w:ascii="宋体" w:hAnsi="宋体" w:eastAsia="宋体"/>
                <w:color w:val="FF0000"/>
                <w:kern w:val="0"/>
                <w:sz w:val="24"/>
                <w:lang w:eastAsia="zh-CN"/>
              </w:rPr>
              <w:t>）</w:t>
            </w:r>
            <w:r>
              <w:rPr>
                <w:rFonts w:hint="eastAsia" w:ascii="宋体" w:hAnsi="宋体" w:eastAsia="宋体"/>
                <w:color w:val="FF0000"/>
                <w:kern w:val="0"/>
                <w:sz w:val="24"/>
              </w:rPr>
              <w:t>，厂界外200米范围内SO2预测值为0.192mg/m</w:t>
            </w:r>
            <w:r>
              <w:rPr>
                <w:rFonts w:ascii="宋体" w:hAnsi="宋体" w:eastAsia="宋体"/>
                <w:color w:val="FF0000"/>
                <w:kern w:val="0"/>
                <w:sz w:val="24"/>
                <w:vertAlign w:val="superscript"/>
              </w:rPr>
              <w:t>3</w:t>
            </w:r>
            <w:r>
              <w:rPr>
                <w:rFonts w:hint="eastAsia" w:ascii="宋体" w:hAnsi="宋体" w:eastAsia="宋体"/>
                <w:color w:val="FF0000"/>
                <w:kern w:val="0"/>
                <w:sz w:val="24"/>
              </w:rPr>
              <w:t>,TSP预测值为0.176mg/m</w:t>
            </w:r>
            <w:r>
              <w:rPr>
                <w:rFonts w:ascii="宋体" w:hAnsi="宋体" w:eastAsia="宋体"/>
                <w:color w:val="FF0000"/>
                <w:kern w:val="0"/>
                <w:sz w:val="24"/>
                <w:vertAlign w:val="superscript"/>
              </w:rPr>
              <w:t>3</w:t>
            </w:r>
            <w:r>
              <w:rPr>
                <w:rFonts w:hint="eastAsia" w:ascii="宋体" w:hAnsi="宋体" w:eastAsia="宋体"/>
                <w:color w:val="FF0000"/>
                <w:kern w:val="0"/>
                <w:sz w:val="24"/>
              </w:rPr>
              <w:t>,P</w:t>
            </w:r>
            <w:r>
              <w:rPr>
                <w:rFonts w:hint="eastAsia" w:ascii="宋体" w:hAnsi="宋体" w:eastAsia="宋体"/>
                <w:color w:val="FF0000"/>
                <w:kern w:val="0"/>
                <w:sz w:val="24"/>
                <w:vertAlign w:val="subscript"/>
              </w:rPr>
              <w:t>2</w:t>
            </w:r>
            <w:r>
              <w:rPr>
                <w:rFonts w:hint="eastAsia" w:ascii="宋体" w:hAnsi="宋体" w:eastAsia="宋体"/>
                <w:color w:val="FF0000"/>
                <w:kern w:val="0"/>
                <w:sz w:val="24"/>
              </w:rPr>
              <w:t>O</w:t>
            </w:r>
            <w:r>
              <w:rPr>
                <w:rFonts w:hint="eastAsia" w:ascii="宋体" w:hAnsi="宋体" w:eastAsia="宋体"/>
                <w:color w:val="FF0000"/>
                <w:kern w:val="0"/>
                <w:sz w:val="24"/>
                <w:vertAlign w:val="subscript"/>
              </w:rPr>
              <w:t>5</w:t>
            </w:r>
            <w:r>
              <w:rPr>
                <w:rFonts w:hint="eastAsia" w:ascii="宋体" w:hAnsi="宋体" w:eastAsia="宋体"/>
                <w:color w:val="FF0000"/>
                <w:kern w:val="0"/>
                <w:sz w:val="24"/>
              </w:rPr>
              <w:t>预测值为0.051mg/m</w:t>
            </w:r>
            <w:r>
              <w:rPr>
                <w:rFonts w:ascii="宋体" w:hAnsi="宋体" w:eastAsia="宋体"/>
                <w:color w:val="FF0000"/>
                <w:kern w:val="0"/>
                <w:sz w:val="24"/>
                <w:vertAlign w:val="superscript"/>
              </w:rPr>
              <w:t>3</w:t>
            </w:r>
            <w:r>
              <w:rPr>
                <w:rFonts w:hint="eastAsia" w:ascii="宋体" w:hAnsi="宋体" w:eastAsia="宋体"/>
                <w:color w:val="FF0000"/>
                <w:kern w:val="0"/>
                <w:sz w:val="24"/>
              </w:rPr>
              <w:t>,F预测值为0.0026mg/m</w:t>
            </w:r>
            <w:r>
              <w:rPr>
                <w:rFonts w:ascii="宋体" w:hAnsi="宋体" w:eastAsia="宋体"/>
                <w:color w:val="FF0000"/>
                <w:kern w:val="0"/>
                <w:sz w:val="24"/>
                <w:vertAlign w:val="superscript"/>
              </w:rPr>
              <w:t>3</w:t>
            </w:r>
            <w:r>
              <w:rPr>
                <w:rFonts w:hint="eastAsia" w:ascii="宋体" w:hAnsi="宋体" w:eastAsia="宋体"/>
                <w:color w:val="FF0000"/>
                <w:kern w:val="0"/>
                <w:sz w:val="24"/>
              </w:rPr>
              <w:t>,均符合相应的环境空气质量标准，但受厂址周围特殊的地理条件的影响，厂址周围污染物浓度值此时有可能超过相应的环境空气质量标准，对厂址周围的局部地区造成污染影响。</w:t>
            </w:r>
          </w:p>
          <w:p w14:paraId="779A98F8">
            <w:pPr>
              <w:widowControl/>
              <w:spacing w:line="360" w:lineRule="auto"/>
              <w:ind w:firstLine="480" w:firstLineChars="200"/>
              <w:rPr>
                <w:rFonts w:ascii="宋体" w:hAnsi="宋体" w:eastAsia="宋体"/>
                <w:color w:val="FF0000"/>
                <w:kern w:val="0"/>
                <w:sz w:val="24"/>
              </w:rPr>
            </w:pPr>
            <w:r>
              <w:rPr>
                <w:rFonts w:ascii="Times New Roman" w:hAnsi="Times New Roman" w:eastAsia="宋体" w:cs="Times New Roman"/>
                <w:color w:val="FF0000"/>
                <w:kern w:val="0"/>
                <w:sz w:val="24"/>
              </w:rPr>
              <w:t>2.3</w:t>
            </w:r>
            <w:r>
              <w:rPr>
                <w:rFonts w:hint="eastAsia" w:ascii="Times New Roman" w:hAnsi="Times New Roman" w:eastAsia="宋体" w:cs="Times New Roman"/>
                <w:bCs/>
                <w:color w:val="FF0000"/>
                <w:sz w:val="24"/>
                <w:szCs w:val="24"/>
              </w:rPr>
              <w:t>项目噪声运营期污染物治理及排放</w:t>
            </w:r>
          </w:p>
          <w:p w14:paraId="4325D4A6">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工程的主要噪声源为原料破碎机、提升机、原料输送设备、水泵等，声源强度在75</w:t>
            </w:r>
            <w:r>
              <w:rPr>
                <w:rFonts w:hint="eastAsia" w:ascii="宋体" w:hAnsi="宋体" w:eastAsia="宋体"/>
                <w:color w:val="FF0000"/>
                <w:kern w:val="0"/>
                <w:sz w:val="24"/>
                <w:lang w:eastAsia="zh-CN"/>
              </w:rPr>
              <w:t>～</w:t>
            </w:r>
            <w:r>
              <w:rPr>
                <w:rFonts w:hint="eastAsia" w:ascii="宋体" w:hAnsi="宋体" w:eastAsia="宋体"/>
                <w:color w:val="FF0000"/>
                <w:kern w:val="0"/>
                <w:sz w:val="24"/>
              </w:rPr>
              <w:t>90分贝。治理措施主要采用:将破碎机半埋入地下、在高噪设备上加减震机座、封闭围护的建筑结构等措施，并在车间周围、道路两旁以及厂区空地种植树木对噪声进行吸、隔、消。由于庞远娣家离生产车间较近</w:t>
            </w:r>
            <w:r>
              <w:rPr>
                <w:rFonts w:hint="eastAsia" w:ascii="宋体" w:hAnsi="宋体" w:eastAsia="宋体"/>
                <w:color w:val="FF0000"/>
                <w:kern w:val="0"/>
                <w:sz w:val="24"/>
                <w:lang w:eastAsia="zh-CN"/>
              </w:rPr>
              <w:t>（</w:t>
            </w:r>
            <w:r>
              <w:rPr>
                <w:rFonts w:hint="eastAsia" w:ascii="宋体" w:hAnsi="宋体" w:eastAsia="宋体"/>
                <w:color w:val="FF0000"/>
                <w:kern w:val="0"/>
                <w:sz w:val="24"/>
              </w:rPr>
              <w:t>大约10米</w:t>
            </w:r>
            <w:r>
              <w:rPr>
                <w:rFonts w:hint="eastAsia" w:ascii="宋体" w:hAnsi="宋体" w:eastAsia="宋体"/>
                <w:color w:val="FF0000"/>
                <w:kern w:val="0"/>
                <w:sz w:val="24"/>
                <w:lang w:eastAsia="zh-CN"/>
              </w:rPr>
              <w:t>）</w:t>
            </w:r>
            <w:r>
              <w:rPr>
                <w:rFonts w:hint="eastAsia" w:ascii="宋体" w:hAnsi="宋体" w:eastAsia="宋体"/>
                <w:color w:val="FF0000"/>
                <w:kern w:val="0"/>
                <w:sz w:val="24"/>
              </w:rPr>
              <w:t>，生产噪声将对其正常生活产生一定的影响。</w:t>
            </w:r>
          </w:p>
          <w:p w14:paraId="00EB4B39">
            <w:pPr>
              <w:widowControl/>
              <w:spacing w:line="360" w:lineRule="auto"/>
              <w:ind w:firstLine="480" w:firstLineChars="200"/>
              <w:rPr>
                <w:rFonts w:ascii="宋体" w:hAnsi="宋体" w:eastAsia="宋体"/>
                <w:color w:val="FF0000"/>
                <w:kern w:val="0"/>
                <w:sz w:val="24"/>
              </w:rPr>
            </w:pPr>
            <w:r>
              <w:rPr>
                <w:rFonts w:ascii="Times New Roman" w:hAnsi="Times New Roman" w:eastAsia="宋体" w:cs="Times New Roman"/>
                <w:color w:val="FF0000"/>
                <w:kern w:val="0"/>
                <w:sz w:val="24"/>
              </w:rPr>
              <w:t>2.4</w:t>
            </w:r>
            <w:r>
              <w:rPr>
                <w:rFonts w:hint="eastAsia" w:ascii="Times New Roman" w:hAnsi="Times New Roman" w:eastAsia="宋体" w:cs="Times New Roman"/>
                <w:bCs/>
                <w:color w:val="FF0000"/>
                <w:sz w:val="24"/>
                <w:szCs w:val="24"/>
              </w:rPr>
              <w:t>项目固废运营期污染物治理及排放</w:t>
            </w:r>
          </w:p>
          <w:p w14:paraId="03074A5A">
            <w:pPr>
              <w:widowControl/>
              <w:spacing w:line="360" w:lineRule="auto"/>
              <w:ind w:firstLine="480" w:firstLineChars="200"/>
              <w:rPr>
                <w:rFonts w:ascii="宋体" w:hAnsi="宋体" w:eastAsia="宋体"/>
                <w:color w:val="FF0000"/>
                <w:kern w:val="0"/>
                <w:sz w:val="24"/>
              </w:rPr>
            </w:pPr>
            <w:r>
              <w:rPr>
                <w:rFonts w:hint="eastAsia" w:ascii="宋体" w:hAnsi="宋体" w:eastAsia="宋体"/>
                <w:color w:val="FF0000"/>
                <w:kern w:val="0"/>
                <w:sz w:val="24"/>
              </w:rPr>
              <w:t>工程建成后，生产中将产生黄磷电炉炉渣、磷铁、泥磷、矿渣</w:t>
            </w:r>
            <w:r>
              <w:rPr>
                <w:rFonts w:hint="eastAsia" w:ascii="宋体" w:hAnsi="宋体" w:eastAsia="宋体"/>
                <w:color w:val="FF0000"/>
                <w:kern w:val="0"/>
                <w:sz w:val="24"/>
                <w:lang w:eastAsia="zh-CN"/>
              </w:rPr>
              <w:t>（</w:t>
            </w:r>
            <w:r>
              <w:rPr>
                <w:rFonts w:hint="eastAsia" w:ascii="宋体" w:hAnsi="宋体" w:eastAsia="宋体"/>
                <w:color w:val="FF0000"/>
                <w:kern w:val="0"/>
                <w:sz w:val="24"/>
              </w:rPr>
              <w:t>粉</w:t>
            </w:r>
            <w:r>
              <w:rPr>
                <w:rFonts w:hint="eastAsia" w:ascii="宋体" w:hAnsi="宋体" w:eastAsia="宋体"/>
                <w:color w:val="FF0000"/>
                <w:kern w:val="0"/>
                <w:sz w:val="24"/>
                <w:lang w:eastAsia="zh-CN"/>
              </w:rPr>
              <w:t>）</w:t>
            </w:r>
            <w:r>
              <w:rPr>
                <w:rFonts w:hint="eastAsia" w:ascii="宋体" w:hAnsi="宋体" w:eastAsia="宋体"/>
                <w:color w:val="FF0000"/>
                <w:kern w:val="0"/>
                <w:sz w:val="24"/>
              </w:rPr>
              <w:t>、燃煤锅炉炉渣等固体废弃物，其产生总量约为17804t/a.其中，电炉炉渣销售给水泥厂作水泥掺合剂，磷铁和矿渣</w:t>
            </w:r>
            <w:r>
              <w:rPr>
                <w:rFonts w:hint="eastAsia" w:ascii="宋体" w:hAnsi="宋体" w:eastAsia="宋体"/>
                <w:color w:val="FF0000"/>
                <w:kern w:val="0"/>
                <w:sz w:val="24"/>
                <w:lang w:eastAsia="zh-CN"/>
              </w:rPr>
              <w:t>（</w:t>
            </w:r>
            <w:r>
              <w:rPr>
                <w:rFonts w:hint="eastAsia" w:ascii="宋体" w:hAnsi="宋体" w:eastAsia="宋体"/>
                <w:color w:val="FF0000"/>
                <w:kern w:val="0"/>
                <w:sz w:val="24"/>
              </w:rPr>
              <w:t>粉</w:t>
            </w:r>
            <w:r>
              <w:rPr>
                <w:rFonts w:hint="eastAsia" w:ascii="宋体" w:hAnsi="宋体" w:eastAsia="宋体"/>
                <w:color w:val="FF0000"/>
                <w:kern w:val="0"/>
                <w:sz w:val="24"/>
                <w:lang w:eastAsia="zh-CN"/>
              </w:rPr>
              <w:t>）</w:t>
            </w:r>
            <w:r>
              <w:rPr>
                <w:rFonts w:hint="eastAsia" w:ascii="宋体" w:hAnsi="宋体" w:eastAsia="宋体"/>
                <w:color w:val="FF0000"/>
                <w:kern w:val="0"/>
                <w:sz w:val="24"/>
              </w:rPr>
              <w:t>外销，泥磷销售到什邡用于制磷酸，锅炉炉渣可用于填坑铺路、建材材料或房屋屋面处理。因此，本工程产生的固体废弃物全部得到综合利用，不会对环境造成影响。</w:t>
            </w:r>
          </w:p>
          <w:p w14:paraId="519016F3">
            <w:pPr>
              <w:widowControl/>
              <w:spacing w:line="360" w:lineRule="auto"/>
              <w:ind w:firstLine="482" w:firstLineChars="200"/>
              <w:rPr>
                <w:rFonts w:ascii="宋体" w:hAnsi="宋体" w:eastAsia="宋体"/>
                <w:b/>
                <w:bCs/>
                <w:kern w:val="0"/>
                <w:sz w:val="24"/>
              </w:rPr>
            </w:pPr>
            <w:r>
              <w:rPr>
                <w:rFonts w:hint="eastAsia" w:ascii="宋体" w:hAnsi="宋体" w:eastAsia="宋体"/>
                <w:b/>
                <w:bCs/>
                <w:kern w:val="0"/>
                <w:sz w:val="24"/>
              </w:rPr>
              <w:t>3、现场勘探情况</w:t>
            </w:r>
          </w:p>
          <w:p w14:paraId="077577DF">
            <w:pPr>
              <w:widowControl/>
              <w:spacing w:line="360" w:lineRule="auto"/>
              <w:ind w:firstLine="480" w:firstLineChars="200"/>
              <w:rPr>
                <w:rFonts w:ascii="宋体" w:hAnsi="宋体" w:eastAsia="宋体"/>
                <w:b/>
                <w:bCs/>
                <w:kern w:val="0"/>
                <w:sz w:val="24"/>
              </w:rPr>
            </w:pPr>
            <w:r>
              <w:rPr>
                <w:rFonts w:hint="eastAsia" w:ascii="宋体" w:hAnsi="宋体" w:eastAsia="宋体"/>
                <w:kern w:val="0"/>
                <w:sz w:val="24"/>
              </w:rPr>
              <w:t>因原四川峨边林河电力有限公司新场磷化厂歇业停产，本次环评以现状调查为主。经现场勘查，</w:t>
            </w:r>
            <w:r>
              <w:rPr>
                <w:rFonts w:hint="eastAsia" w:ascii="宋体" w:hAnsi="宋体" w:eastAsia="宋体"/>
                <w:b/>
                <w:bCs/>
                <w:kern w:val="0"/>
                <w:sz w:val="24"/>
              </w:rPr>
              <w:t>项目为闲置状态，各车间设备均外搬。</w:t>
            </w:r>
          </w:p>
          <w:p w14:paraId="40845BF6">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对周边居民、业主介绍和现场勘查，项目堆场为露天堆存，设置有围墙且低于围墙，主要污染物为堆存扬尘，呈弥散性无组织排放。</w:t>
            </w:r>
          </w:p>
          <w:p w14:paraId="10372372">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现场勘查照片见下：</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45"/>
              <w:gridCol w:w="4001"/>
            </w:tblGrid>
            <w:tr w14:paraId="50B4AE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2E577A59">
                  <w:pPr>
                    <w:spacing w:line="360" w:lineRule="auto"/>
                    <w:jc w:val="center"/>
                    <w:rPr>
                      <w:rFonts w:ascii="Times New Roman" w:hAnsi="Times New Roman" w:eastAsia="宋体" w:cs="Times New Roman"/>
                      <w:bCs/>
                      <w:szCs w:val="21"/>
                    </w:rPr>
                  </w:pPr>
                  <w:r>
                    <w:drawing>
                      <wp:inline distT="0" distB="0" distL="0" distR="0">
                        <wp:extent cx="2367915" cy="23679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367915" cy="2367915"/>
                                </a:xfrm>
                                <a:prstGeom prst="rect">
                                  <a:avLst/>
                                </a:prstGeom>
                                <a:noFill/>
                                <a:ln>
                                  <a:noFill/>
                                </a:ln>
                              </pic:spPr>
                            </pic:pic>
                          </a:graphicData>
                        </a:graphic>
                      </wp:inline>
                    </w:drawing>
                  </w:r>
                </w:p>
              </w:tc>
              <w:tc>
                <w:tcPr>
                  <w:tcW w:w="0" w:type="auto"/>
                  <w:shd w:val="clear" w:color="auto" w:fill="auto"/>
                  <w:vAlign w:val="center"/>
                </w:tcPr>
                <w:p w14:paraId="6CFD6911">
                  <w:pPr>
                    <w:spacing w:line="360" w:lineRule="auto"/>
                    <w:jc w:val="center"/>
                    <w:rPr>
                      <w:rFonts w:ascii="Times New Roman" w:hAnsi="Times New Roman" w:eastAsia="宋体" w:cs="Times New Roman"/>
                      <w:bCs/>
                      <w:szCs w:val="21"/>
                    </w:rPr>
                  </w:pPr>
                  <w:r>
                    <w:drawing>
                      <wp:inline distT="0" distB="0" distL="0" distR="0">
                        <wp:extent cx="2391410" cy="23444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391410" cy="2344420"/>
                                </a:xfrm>
                                <a:prstGeom prst="rect">
                                  <a:avLst/>
                                </a:prstGeom>
                                <a:noFill/>
                                <a:ln>
                                  <a:noFill/>
                                </a:ln>
                              </pic:spPr>
                            </pic:pic>
                          </a:graphicData>
                        </a:graphic>
                      </wp:inline>
                    </w:drawing>
                  </w:r>
                </w:p>
              </w:tc>
            </w:tr>
            <w:tr w14:paraId="57F7DD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3EA9AC20">
                  <w:pPr>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原有废弃厂房现状</w:t>
                  </w:r>
                </w:p>
              </w:tc>
              <w:tc>
                <w:tcPr>
                  <w:tcW w:w="0" w:type="auto"/>
                  <w:shd w:val="clear" w:color="auto" w:fill="auto"/>
                  <w:vAlign w:val="center"/>
                </w:tcPr>
                <w:p w14:paraId="0E3D1268">
                  <w:pPr>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原有废弃厂房现状航拍图</w:t>
                  </w:r>
                </w:p>
              </w:tc>
            </w:tr>
            <w:tr w14:paraId="36CA68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5B088A48">
                  <w:pPr>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drawing>
                      <wp:inline distT="0" distB="0" distL="0" distR="0">
                        <wp:extent cx="2367915" cy="23679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67915" cy="2367915"/>
                                </a:xfrm>
                                <a:prstGeom prst="rect">
                                  <a:avLst/>
                                </a:prstGeom>
                                <a:noFill/>
                                <a:ln>
                                  <a:noFill/>
                                </a:ln>
                              </pic:spPr>
                            </pic:pic>
                          </a:graphicData>
                        </a:graphic>
                      </wp:inline>
                    </w:drawing>
                  </w:r>
                </w:p>
              </w:tc>
              <w:tc>
                <w:tcPr>
                  <w:tcW w:w="0" w:type="auto"/>
                  <w:shd w:val="clear" w:color="auto" w:fill="auto"/>
                  <w:vAlign w:val="center"/>
                </w:tcPr>
                <w:p w14:paraId="71ADE22A">
                  <w:pPr>
                    <w:spacing w:line="360" w:lineRule="auto"/>
                    <w:jc w:val="center"/>
                    <w:rPr>
                      <w:rFonts w:ascii="Times New Roman" w:hAnsi="Times New Roman" w:eastAsia="宋体" w:cs="Times New Roman"/>
                      <w:bCs/>
                      <w:szCs w:val="21"/>
                    </w:rPr>
                  </w:pPr>
                  <w:r>
                    <w:drawing>
                      <wp:inline distT="0" distB="0" distL="0" distR="0">
                        <wp:extent cx="2403475" cy="24034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403475" cy="2403475"/>
                                </a:xfrm>
                                <a:prstGeom prst="rect">
                                  <a:avLst/>
                                </a:prstGeom>
                                <a:noFill/>
                                <a:ln>
                                  <a:noFill/>
                                </a:ln>
                              </pic:spPr>
                            </pic:pic>
                          </a:graphicData>
                        </a:graphic>
                      </wp:inline>
                    </w:drawing>
                  </w:r>
                </w:p>
              </w:tc>
            </w:tr>
            <w:tr w14:paraId="1A05B3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0E1ECC22">
                  <w:pPr>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厂区进场道路</w:t>
                  </w:r>
                </w:p>
              </w:tc>
              <w:tc>
                <w:tcPr>
                  <w:tcW w:w="0" w:type="auto"/>
                  <w:shd w:val="clear" w:color="auto" w:fill="auto"/>
                  <w:vAlign w:val="center"/>
                </w:tcPr>
                <w:p w14:paraId="4E89DD90">
                  <w:pPr>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原有办公生活区</w:t>
                  </w:r>
                </w:p>
              </w:tc>
            </w:tr>
          </w:tbl>
          <w:p w14:paraId="0700C6F3">
            <w:pPr>
              <w:spacing w:line="360" w:lineRule="auto"/>
              <w:ind w:firstLine="470" w:firstLineChars="195"/>
              <w:jc w:val="left"/>
              <w:rPr>
                <w:rFonts w:ascii="Times New Roman" w:hAnsi="Times New Roman" w:eastAsia="宋体" w:cs="Times New Roman"/>
                <w:b/>
                <w:color w:val="FF0000"/>
                <w:sz w:val="24"/>
                <w:szCs w:val="24"/>
              </w:rPr>
            </w:pPr>
            <w:r>
              <w:rPr>
                <w:rFonts w:ascii="Times New Roman" w:hAnsi="Times New Roman" w:eastAsia="宋体" w:cs="Times New Roman"/>
                <w:b/>
                <w:color w:val="FF0000"/>
                <w:sz w:val="24"/>
                <w:szCs w:val="24"/>
              </w:rPr>
              <w:t>4</w:t>
            </w:r>
            <w:r>
              <w:rPr>
                <w:rFonts w:hint="eastAsia" w:ascii="Times New Roman" w:hAnsi="Times New Roman" w:eastAsia="宋体" w:cs="Times New Roman"/>
                <w:b/>
                <w:color w:val="FF0000"/>
                <w:sz w:val="24"/>
                <w:szCs w:val="24"/>
              </w:rPr>
              <w:t>、</w:t>
            </w:r>
            <w:r>
              <w:rPr>
                <w:rFonts w:ascii="Times New Roman" w:hAnsi="Times New Roman" w:eastAsia="宋体" w:cs="Times New Roman"/>
                <w:b/>
                <w:color w:val="FF0000"/>
                <w:sz w:val="24"/>
                <w:szCs w:val="24"/>
              </w:rPr>
              <w:t>“</w:t>
            </w:r>
            <w:r>
              <w:rPr>
                <w:rFonts w:hint="eastAsia" w:ascii="Times New Roman" w:hAnsi="Times New Roman" w:eastAsia="宋体" w:cs="Times New Roman"/>
                <w:b/>
                <w:color w:val="FF0000"/>
                <w:sz w:val="24"/>
                <w:szCs w:val="24"/>
              </w:rPr>
              <w:t>以新带老</w:t>
            </w:r>
            <w:r>
              <w:rPr>
                <w:rFonts w:ascii="Times New Roman" w:hAnsi="Times New Roman" w:eastAsia="宋体" w:cs="Times New Roman"/>
                <w:b/>
                <w:color w:val="FF0000"/>
                <w:sz w:val="24"/>
                <w:szCs w:val="24"/>
              </w:rPr>
              <w:t>”</w:t>
            </w:r>
            <w:r>
              <w:rPr>
                <w:rFonts w:hint="eastAsia" w:ascii="Times New Roman" w:hAnsi="Times New Roman" w:eastAsia="宋体" w:cs="Times New Roman"/>
                <w:b/>
                <w:color w:val="FF0000"/>
                <w:sz w:val="24"/>
                <w:szCs w:val="24"/>
              </w:rPr>
              <w:t>措施</w:t>
            </w:r>
          </w:p>
          <w:p w14:paraId="43DD0576">
            <w:pPr>
              <w:spacing w:line="360" w:lineRule="auto"/>
              <w:ind w:firstLine="468" w:firstLineChars="195"/>
              <w:rPr>
                <w:rFonts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rPr>
              <w:t>经过对项目工程进行梳理，项目主要环保问题在于项目改建后新增产量增加了废水、废气处理设施处理负荷对环境的影响及现有厂区扬尘问题。经过现场勘查，项目所在地处于工业园区内，距离居民较远，扬尘污染影响较小，主要问题在于厂区规划未完成，闲置空地产生扬尘，项目改建后占地利用率增大，减少扬尘产生。同时，在管理水平上需要加强。本次</w:t>
            </w:r>
            <w:r>
              <w:rPr>
                <w:rFonts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rPr>
              <w:t>以新带老</w:t>
            </w:r>
            <w:r>
              <w:rPr>
                <w:rFonts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rPr>
              <w:t>措施主要为：项目新建二级生化处理装置，增加废水处理负荷、处理效率；同时，增加废气处理设施。加强管理人员及员工的环保知识教育，提高环保教育和认识水平，对厂区进行勤打扫、洒水降尘、保持清洁，建设单位按照上述实施后可有效防止现有污染问题。</w:t>
            </w:r>
          </w:p>
          <w:p w14:paraId="67C06B4E">
            <w:pPr>
              <w:spacing w:line="360" w:lineRule="auto"/>
              <w:ind w:firstLine="468" w:firstLineChars="195"/>
              <w:jc w:val="left"/>
              <w:rPr>
                <w:rFonts w:ascii="Times New Roman" w:hAnsi="Times New Roman" w:eastAsia="宋体" w:cs="Times New Roman"/>
                <w:bCs/>
                <w:sz w:val="24"/>
              </w:rPr>
            </w:pPr>
          </w:p>
          <w:p w14:paraId="5BE176F6">
            <w:pPr>
              <w:spacing w:line="360" w:lineRule="auto"/>
              <w:ind w:firstLine="468" w:firstLineChars="195"/>
              <w:jc w:val="left"/>
              <w:rPr>
                <w:rFonts w:ascii="Times New Roman" w:hAnsi="Times New Roman" w:eastAsia="宋体" w:cs="Times New Roman"/>
                <w:bCs/>
                <w:sz w:val="24"/>
              </w:rPr>
            </w:pPr>
          </w:p>
          <w:p w14:paraId="00A57618">
            <w:pPr>
              <w:spacing w:line="360" w:lineRule="auto"/>
              <w:ind w:firstLine="468" w:firstLineChars="195"/>
              <w:jc w:val="left"/>
              <w:rPr>
                <w:rFonts w:ascii="Times New Roman" w:hAnsi="Times New Roman" w:eastAsia="宋体" w:cs="Times New Roman"/>
                <w:bCs/>
                <w:sz w:val="24"/>
              </w:rPr>
            </w:pPr>
          </w:p>
          <w:p w14:paraId="66B016DC">
            <w:pPr>
              <w:spacing w:line="360" w:lineRule="auto"/>
              <w:ind w:firstLine="468" w:firstLineChars="195"/>
              <w:jc w:val="left"/>
              <w:rPr>
                <w:rFonts w:ascii="Times New Roman" w:hAnsi="Times New Roman" w:eastAsia="宋体" w:cs="Times New Roman"/>
                <w:bCs/>
                <w:sz w:val="24"/>
              </w:rPr>
            </w:pPr>
          </w:p>
          <w:p w14:paraId="60BB2D87">
            <w:pPr>
              <w:spacing w:line="360" w:lineRule="auto"/>
              <w:ind w:firstLine="468" w:firstLineChars="195"/>
              <w:jc w:val="left"/>
              <w:rPr>
                <w:rFonts w:ascii="Times New Roman" w:hAnsi="Times New Roman" w:eastAsia="宋体" w:cs="Times New Roman"/>
                <w:bCs/>
                <w:sz w:val="24"/>
              </w:rPr>
            </w:pPr>
          </w:p>
          <w:p w14:paraId="1A28916D">
            <w:pPr>
              <w:spacing w:line="360" w:lineRule="auto"/>
              <w:ind w:firstLine="468" w:firstLineChars="195"/>
              <w:jc w:val="left"/>
              <w:rPr>
                <w:rFonts w:ascii="Times New Roman" w:hAnsi="Times New Roman" w:eastAsia="宋体" w:cs="Times New Roman"/>
                <w:bCs/>
                <w:sz w:val="24"/>
              </w:rPr>
            </w:pPr>
          </w:p>
          <w:p w14:paraId="6FEA07CC">
            <w:pPr>
              <w:spacing w:line="360" w:lineRule="auto"/>
              <w:ind w:firstLine="468" w:firstLineChars="195"/>
              <w:jc w:val="left"/>
              <w:rPr>
                <w:rFonts w:ascii="Times New Roman" w:hAnsi="Times New Roman" w:eastAsia="宋体" w:cs="Times New Roman"/>
                <w:bCs/>
                <w:sz w:val="24"/>
              </w:rPr>
            </w:pPr>
          </w:p>
          <w:p w14:paraId="4CBD8343">
            <w:pPr>
              <w:spacing w:line="360" w:lineRule="auto"/>
              <w:ind w:firstLine="468" w:firstLineChars="195"/>
              <w:jc w:val="left"/>
              <w:rPr>
                <w:rFonts w:ascii="Times New Roman" w:hAnsi="Times New Roman" w:eastAsia="宋体" w:cs="Times New Roman"/>
                <w:bCs/>
                <w:sz w:val="24"/>
              </w:rPr>
            </w:pPr>
          </w:p>
          <w:p w14:paraId="4143824F">
            <w:pPr>
              <w:spacing w:line="360" w:lineRule="auto"/>
              <w:ind w:firstLine="468" w:firstLineChars="195"/>
              <w:jc w:val="left"/>
              <w:rPr>
                <w:rFonts w:ascii="Times New Roman" w:hAnsi="Times New Roman" w:eastAsia="宋体" w:cs="Times New Roman"/>
                <w:bCs/>
                <w:sz w:val="24"/>
              </w:rPr>
            </w:pPr>
          </w:p>
          <w:p w14:paraId="0C69F335">
            <w:pPr>
              <w:spacing w:line="360" w:lineRule="auto"/>
              <w:ind w:firstLine="468" w:firstLineChars="195"/>
              <w:jc w:val="left"/>
              <w:rPr>
                <w:rFonts w:ascii="Times New Roman" w:hAnsi="Times New Roman" w:eastAsia="宋体" w:cs="Times New Roman"/>
                <w:bCs/>
                <w:sz w:val="24"/>
              </w:rPr>
            </w:pPr>
          </w:p>
          <w:p w14:paraId="57A3EBCE">
            <w:pPr>
              <w:spacing w:line="360" w:lineRule="auto"/>
              <w:ind w:firstLine="468" w:firstLineChars="195"/>
              <w:jc w:val="left"/>
              <w:rPr>
                <w:rFonts w:ascii="Times New Roman" w:hAnsi="Times New Roman" w:eastAsia="宋体" w:cs="Times New Roman"/>
                <w:sz w:val="24"/>
                <w:szCs w:val="24"/>
              </w:rPr>
            </w:pPr>
          </w:p>
        </w:tc>
      </w:tr>
    </w:tbl>
    <w:p w14:paraId="205D1B97">
      <w:pPr>
        <w:spacing w:line="20" w:lineRule="exact"/>
        <w:rPr>
          <w:rFonts w:ascii="Times New Roman" w:hAnsi="Times New Roman" w:eastAsia="宋体" w:cs="Times New Roman"/>
        </w:rPr>
      </w:pPr>
    </w:p>
    <w:p w14:paraId="2EF83E75">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建设项目所在地自然环境简况（表二）</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15B63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5000" w:type="pct"/>
            <w:vAlign w:val="center"/>
          </w:tcPr>
          <w:p w14:paraId="0480D6BD">
            <w:pPr>
              <w:spacing w:before="180" w:after="180"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自然环境简况</w:t>
            </w:r>
            <w:r>
              <w:rPr>
                <w:rFonts w:hint="eastAsia" w:ascii="Times New Roman" w:hAnsi="Times New Roman" w:eastAsia="宋体" w:cs="Times New Roman"/>
                <w:b/>
                <w:sz w:val="28"/>
                <w:szCs w:val="28"/>
                <w:lang w:eastAsia="zh-CN"/>
              </w:rPr>
              <w:t>（</w:t>
            </w:r>
            <w:r>
              <w:rPr>
                <w:rFonts w:ascii="Times New Roman" w:hAnsi="Times New Roman" w:eastAsia="宋体" w:cs="Times New Roman"/>
                <w:b/>
                <w:sz w:val="28"/>
                <w:szCs w:val="28"/>
              </w:rPr>
              <w:t>地形、地貌、地质、气候、气象、水文、植被、生物多样性等</w:t>
            </w:r>
            <w:r>
              <w:rPr>
                <w:rFonts w:hint="eastAsia" w:ascii="Times New Roman" w:hAnsi="Times New Roman" w:eastAsia="宋体" w:cs="Times New Roman"/>
                <w:b/>
                <w:sz w:val="28"/>
                <w:szCs w:val="28"/>
                <w:lang w:eastAsia="zh-CN"/>
              </w:rPr>
              <w:t>）</w:t>
            </w:r>
            <w:r>
              <w:rPr>
                <w:rFonts w:ascii="Times New Roman" w:hAnsi="Times New Roman" w:eastAsia="宋体" w:cs="Times New Roman"/>
                <w:b/>
                <w:sz w:val="28"/>
                <w:szCs w:val="28"/>
              </w:rPr>
              <w:t>：</w:t>
            </w:r>
          </w:p>
          <w:p w14:paraId="5DBAC808">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一、地理位置</w:t>
            </w:r>
          </w:p>
          <w:p w14:paraId="6198BDA9">
            <w:pPr>
              <w:spacing w:line="360" w:lineRule="auto"/>
              <w:ind w:firstLine="480" w:firstLineChars="200"/>
              <w:rPr>
                <w:rFonts w:ascii="Times New Roman" w:hAnsi="Times New Roman" w:eastAsia="宋体" w:cs="Times New Roman"/>
                <w:sz w:val="24"/>
                <w:szCs w:val="24"/>
                <w:lang w:val="zh-CN"/>
              </w:rPr>
            </w:pPr>
            <w:r>
              <w:rPr>
                <w:rFonts w:hint="eastAsia" w:ascii="Times New Roman" w:hAnsi="Times New Roman" w:eastAsia="宋体" w:cs="Times New Roman"/>
                <w:sz w:val="24"/>
                <w:szCs w:val="24"/>
                <w:lang w:val="zh-CN"/>
              </w:rPr>
              <w:t>峨边位于四川省西南部的小凉山区，与佛教圣地峨眉山毗邻。县城沙坪镇介于东经</w:t>
            </w:r>
            <w:r>
              <w:rPr>
                <w:rFonts w:ascii="Times New Roman" w:hAnsi="Times New Roman" w:eastAsia="宋体" w:cs="Times New Roman"/>
                <w:sz w:val="24"/>
                <w:szCs w:val="24"/>
                <w:lang w:val="zh-CN"/>
              </w:rPr>
              <w:t>103°15′</w:t>
            </w:r>
            <w:r>
              <w:rPr>
                <w:rFonts w:hint="eastAsia" w:ascii="Times New Roman" w:hAnsi="Times New Roman" w:eastAsia="宋体" w:cs="Times New Roman"/>
                <w:sz w:val="24"/>
                <w:szCs w:val="24"/>
                <w:lang w:val="zh-CN"/>
              </w:rPr>
              <w:t>至</w:t>
            </w:r>
            <w:r>
              <w:rPr>
                <w:rFonts w:ascii="Times New Roman" w:hAnsi="Times New Roman" w:eastAsia="宋体" w:cs="Times New Roman"/>
                <w:sz w:val="24"/>
                <w:szCs w:val="24"/>
                <w:lang w:val="zh-CN"/>
              </w:rPr>
              <w:t>103°33′</w:t>
            </w:r>
            <w:r>
              <w:rPr>
                <w:rFonts w:hint="eastAsia" w:ascii="Times New Roman" w:hAnsi="Times New Roman" w:eastAsia="宋体" w:cs="Times New Roman"/>
                <w:sz w:val="24"/>
                <w:szCs w:val="24"/>
                <w:lang w:val="zh-CN"/>
              </w:rPr>
              <w:t>，北纬</w:t>
            </w:r>
            <w:r>
              <w:rPr>
                <w:rFonts w:ascii="Times New Roman" w:hAnsi="Times New Roman" w:eastAsia="宋体" w:cs="Times New Roman"/>
                <w:sz w:val="24"/>
                <w:szCs w:val="24"/>
                <w:lang w:val="zh-CN"/>
              </w:rPr>
              <w:t>29°15′</w:t>
            </w:r>
            <w:r>
              <w:rPr>
                <w:rFonts w:hint="eastAsia" w:ascii="Times New Roman" w:hAnsi="Times New Roman" w:eastAsia="宋体" w:cs="Times New Roman"/>
                <w:sz w:val="24"/>
                <w:szCs w:val="24"/>
                <w:lang w:val="zh-CN"/>
              </w:rPr>
              <w:t>之间。东西宽</w:t>
            </w:r>
            <w:r>
              <w:rPr>
                <w:rFonts w:ascii="Times New Roman" w:hAnsi="Times New Roman" w:eastAsia="宋体" w:cs="Times New Roman"/>
                <w:sz w:val="24"/>
                <w:szCs w:val="24"/>
                <w:lang w:val="zh-CN"/>
              </w:rPr>
              <w:t>56</w:t>
            </w:r>
            <w:r>
              <w:rPr>
                <w:rFonts w:hint="eastAsia" w:ascii="Times New Roman" w:hAnsi="Times New Roman" w:eastAsia="宋体" w:cs="Times New Roman"/>
                <w:sz w:val="24"/>
                <w:szCs w:val="24"/>
                <w:lang w:val="zh-CN"/>
              </w:rPr>
              <w:t>千米，南北长</w:t>
            </w:r>
            <w:r>
              <w:rPr>
                <w:rFonts w:ascii="Times New Roman" w:hAnsi="Times New Roman" w:eastAsia="宋体" w:cs="Times New Roman"/>
                <w:sz w:val="24"/>
                <w:szCs w:val="24"/>
                <w:lang w:val="zh-CN"/>
              </w:rPr>
              <w:t>73</w:t>
            </w:r>
            <w:r>
              <w:rPr>
                <w:rFonts w:hint="eastAsia" w:ascii="Times New Roman" w:hAnsi="Times New Roman" w:eastAsia="宋体" w:cs="Times New Roman"/>
                <w:sz w:val="24"/>
                <w:szCs w:val="24"/>
                <w:lang w:val="zh-CN"/>
              </w:rPr>
              <w:t>千米，全县幅员面积</w:t>
            </w:r>
            <w:r>
              <w:rPr>
                <w:rFonts w:ascii="Times New Roman" w:hAnsi="Times New Roman" w:eastAsia="宋体" w:cs="Times New Roman"/>
                <w:sz w:val="24"/>
                <w:szCs w:val="24"/>
                <w:lang w:val="zh-CN"/>
              </w:rPr>
              <w:t>2395.5</w:t>
            </w:r>
            <w:r>
              <w:rPr>
                <w:rFonts w:hint="eastAsia" w:ascii="Times New Roman" w:hAnsi="Times New Roman" w:eastAsia="宋体" w:cs="Times New Roman"/>
                <w:sz w:val="24"/>
                <w:szCs w:val="24"/>
                <w:lang w:val="zh-CN"/>
              </w:rPr>
              <w:t>平方千米。成（都）昆（明）铁路横越县城，省道</w:t>
            </w:r>
            <w:r>
              <w:rPr>
                <w:rFonts w:ascii="Times New Roman" w:hAnsi="Times New Roman" w:eastAsia="宋体" w:cs="Times New Roman"/>
                <w:sz w:val="24"/>
                <w:szCs w:val="24"/>
                <w:lang w:val="zh-CN"/>
              </w:rPr>
              <w:t>306</w:t>
            </w:r>
            <w:r>
              <w:rPr>
                <w:rFonts w:hint="eastAsia" w:ascii="Times New Roman" w:hAnsi="Times New Roman" w:eastAsia="宋体" w:cs="Times New Roman"/>
                <w:sz w:val="24"/>
                <w:szCs w:val="24"/>
                <w:lang w:val="zh-CN"/>
              </w:rPr>
              <w:t>线穿过县境，距乐山大佛</w:t>
            </w:r>
            <w:r>
              <w:rPr>
                <w:rFonts w:ascii="Times New Roman" w:hAnsi="Times New Roman" w:eastAsia="宋体" w:cs="Times New Roman"/>
                <w:sz w:val="24"/>
                <w:szCs w:val="24"/>
                <w:lang w:val="zh-CN"/>
              </w:rPr>
              <w:t>108</w:t>
            </w:r>
            <w:r>
              <w:rPr>
                <w:rFonts w:hint="eastAsia" w:ascii="Times New Roman" w:hAnsi="Times New Roman" w:eastAsia="宋体" w:cs="Times New Roman"/>
                <w:sz w:val="24"/>
                <w:szCs w:val="24"/>
                <w:lang w:val="zh-CN"/>
              </w:rPr>
              <w:t>千米，是通往大凉山的门户。</w:t>
            </w:r>
          </w:p>
          <w:p w14:paraId="3BB0E5AB">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本项目位于乐山市峨边彝族自治县峨边新场工业园区（原林河集团黄磷厂厂区）（</w:t>
            </w:r>
            <w:r>
              <w:rPr>
                <w:rFonts w:ascii="Times New Roman" w:hAnsi="Times New Roman" w:eastAsia="宋体" w:cs="Times New Roman"/>
                <w:sz w:val="24"/>
                <w:szCs w:val="24"/>
              </w:rPr>
              <w:t>E103.2732°，N29.3078°）</w:t>
            </w:r>
            <w:r>
              <w:rPr>
                <w:rFonts w:hint="eastAsia" w:ascii="Times New Roman" w:hAnsi="Times New Roman" w:eastAsia="宋体" w:cs="Times New Roman"/>
                <w:sz w:val="24"/>
                <w:szCs w:val="24"/>
              </w:rPr>
              <w:t>。项目地理位置见附图</w:t>
            </w:r>
            <w:r>
              <w:rPr>
                <w:rFonts w:ascii="Times New Roman" w:hAnsi="Times New Roman" w:eastAsia="宋体" w:cs="Times New Roman"/>
                <w:sz w:val="24"/>
                <w:szCs w:val="24"/>
              </w:rPr>
              <w:t>1</w:t>
            </w:r>
            <w:r>
              <w:rPr>
                <w:rFonts w:hint="eastAsia" w:ascii="Times New Roman" w:hAnsi="Times New Roman" w:eastAsia="宋体" w:cs="Times New Roman"/>
                <w:sz w:val="24"/>
                <w:szCs w:val="24"/>
              </w:rPr>
              <w:t>。</w:t>
            </w:r>
          </w:p>
          <w:p w14:paraId="0C67B2D5">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二、地质、地形、地貌</w:t>
            </w:r>
          </w:p>
          <w:p w14:paraId="0144437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自治县地处四川盆地与云贵高原的过渡地带，属亚热带湿润季风气候，境内群山耸峙、山峦重叠、沟壑纵横、高差悬殊，最高马鞍山主峰海拔4288米，最低海拔469米。相对高差悬殊达3800米，形成西南高东北低逐渐倾斜地势。由于高差悬殊，使得地貌、气候、植被、土壤及农业利用方式，都呈现出明显的垂直分布规律。</w:t>
            </w:r>
          </w:p>
          <w:p w14:paraId="32DCD48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厂区属四川盆地西南边缘大渡河北岸中、高山，中深切割区，总体地势西部较高，南、北、东三边皆为沟谷。最高海拔1410m，最低海拔940m，相对高差470m。区内多圆顶山，馒头山，因出露地层以碳酸盐岩石为主，岩溶地貌较为发育，溶蚀漏斗、溶蚀洼地、溶洞和溶丘较发育。</w:t>
            </w:r>
          </w:p>
          <w:p w14:paraId="5CD2A7B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按《四川省工程地质分区图》划分，厂区属玉龙复式向斜次级褶皱为子岗鼻状宽缓向斜南东翼，区内断裂构造不发育。受2008年 “5.12汶川”大地震及2013年“4.20芦山”地震影响，本区均有十分明显的震感，且使部份房屋产生裂缝，因此，本区为地震波及区。按《建筑抗震设计规范》（GB50011—2010）规定，乐山市</w:t>
            </w:r>
            <w:r>
              <w:rPr>
                <w:rFonts w:hint="eastAsia" w:ascii="Times New Roman" w:hAnsi="Times New Roman" w:eastAsia="宋体" w:cs="Times New Roman"/>
                <w:sz w:val="24"/>
                <w:szCs w:val="24"/>
                <w:lang w:eastAsia="zh-CN"/>
              </w:rPr>
              <w:t>峨边彝族自治县</w:t>
            </w:r>
            <w:r>
              <w:rPr>
                <w:rFonts w:hint="eastAsia" w:ascii="Times New Roman" w:hAnsi="Times New Roman" w:eastAsia="宋体" w:cs="Times New Roman"/>
                <w:sz w:val="24"/>
                <w:szCs w:val="24"/>
              </w:rPr>
              <w:t>抗震设防烈度为7度，设计基本地震加速度值为0.10g，属设计地震第二组，区域上处于不稳定区。目前该区域岩层结构相对较完整稳定，除局部地段有小规模的崩塌外，其余地段均无大面积崩塌、滑坡、泥石流等地质灾害现象。</w:t>
            </w:r>
          </w:p>
          <w:p w14:paraId="18783CC8">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三、气候特征</w:t>
            </w:r>
          </w:p>
          <w:p w14:paraId="57C0900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rPr>
              <w:t>峨边属亚热带湿润季风气候，由于地形高差悬殊，气温随</w:t>
            </w:r>
            <w:r>
              <w:rPr>
                <w:rFonts w:hint="eastAsia" w:ascii="Times New Roman" w:hAnsi="Times New Roman" w:eastAsia="宋体" w:cs="Times New Roman"/>
                <w:sz w:val="24"/>
                <w:lang w:eastAsia="zh-CN"/>
              </w:rPr>
              <w:t>海拔</w:t>
            </w:r>
            <w:r>
              <w:rPr>
                <w:rFonts w:hint="eastAsia" w:ascii="Times New Roman" w:hAnsi="Times New Roman" w:eastAsia="宋体" w:cs="Times New Roman"/>
                <w:sz w:val="24"/>
              </w:rPr>
              <w:t>而异，垂直差异明显，形成“一山分四季，十里不同天；山顶戴雪帽，山脚百花鲜”的小凉山区气象景观。具有气</w:t>
            </w:r>
            <w:r>
              <w:rPr>
                <w:rFonts w:hint="eastAsia" w:ascii="Times New Roman" w:hAnsi="Times New Roman" w:eastAsia="宋体" w:cs="Times New Roman"/>
                <w:sz w:val="24"/>
                <w:szCs w:val="24"/>
              </w:rPr>
              <w:t>候温和，雨量充沛，云雾多，湿度大，光照少，无霜期长，农业气候四季分明，有春迟、夏短、秋早、冬长的特点。</w:t>
            </w:r>
          </w:p>
          <w:p w14:paraId="116278C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县境内气温年平均为16.6℃，极端高温为35.7℃，极端低温为－3.2℃。7月最热，月平均为25.3℃；1月最冷，月平均为6.5℃。年极变化微小，高低相差1℃。历年日照平均总时数为1049.3时，日平均近6小时，实照时数占全年可照时数的24％。日照时数随</w:t>
            </w:r>
            <w:r>
              <w:rPr>
                <w:rFonts w:hint="eastAsia" w:ascii="Times New Roman" w:hAnsi="Times New Roman" w:eastAsia="宋体" w:cs="Times New Roman"/>
                <w:sz w:val="24"/>
                <w:szCs w:val="24"/>
                <w:lang w:eastAsia="zh-CN"/>
              </w:rPr>
              <w:t>海拔</w:t>
            </w:r>
            <w:r>
              <w:rPr>
                <w:rFonts w:hint="eastAsia" w:ascii="Times New Roman" w:hAnsi="Times New Roman" w:eastAsia="宋体" w:cs="Times New Roman"/>
                <w:sz w:val="24"/>
                <w:szCs w:val="24"/>
              </w:rPr>
              <w:t>不同而变化各异。</w:t>
            </w:r>
          </w:p>
          <w:p w14:paraId="09BFECB2">
            <w:pPr>
              <w:adjustRightInd w:val="0"/>
              <w:snapToGrid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szCs w:val="24"/>
              </w:rPr>
              <w:t>降水：在县境内随着海拔高低而分布不均。低山河谷区历年平均降水量为831.9毫米，中山区降水量年均</w:t>
            </w:r>
            <w:r>
              <w:rPr>
                <w:rFonts w:hint="eastAsia" w:ascii="Times New Roman" w:hAnsi="Times New Roman" w:eastAsia="宋体" w:cs="Times New Roman"/>
                <w:sz w:val="24"/>
              </w:rPr>
              <w:t>为1000毫米左右，高山区年均降水量为1000－1500毫米，海拔在2250米以上的原始森林区，年降水量在1500－2000毫米。降水分配不均，降水量从东北向西南逐渐递减，年度变化率在23－16％左右，例如东部的五渡镇龚嘴地带，年均降水量1275.5毫米，在西南部的勒乌乡地区，年均降水量则为725.5毫米，并形成冬干、春旱、夏洪、秋涝的气象特点。</w:t>
            </w:r>
          </w:p>
          <w:p w14:paraId="22E814F3">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四、水文特征</w:t>
            </w:r>
          </w:p>
          <w:p w14:paraId="3C786F2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县境内河流众多，均属大渡河水系，水源丰富，水质优良。最大河流为大渡河，是全国重点治理开发的河流之一。大渡河从西北的金口河流入境内，而后转为东西向，流经本县的宜坪、沙坪、新场、共和、毛坪、龚嘴电站至五渡等六个乡镇，流入沙湾区，县境流程68公里。</w:t>
            </w:r>
          </w:p>
          <w:p w14:paraId="734D83A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除大渡河之外，县境内还有常年性全程流水的大小河流42条。集雨面积在100平方公里以上的主要溪河有8条，总长309.1公里，集雨面积共1836平方公里，水面积合计4700余亩，它们发源于高山原始森林或岩层涌泉，蜿蜒于崇山峻岭之中，水质清澈甘醇，流量稳定，洪枯季节变数不大。</w:t>
            </w:r>
          </w:p>
          <w:p w14:paraId="7FBFD4D6">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五、矿产资源概况</w:t>
            </w:r>
          </w:p>
          <w:p w14:paraId="7D5500A9">
            <w:pPr>
              <w:spacing w:before="120" w:after="12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境内已发现矿产种类有：可燃有机岩、黑色金属、有色金属、贵金属、非金属和食用微墨元素补充剂六大类，主要矿种有：煤、铁、铜、铅、锌、铝、砂、金、硬质耐火粘土、熔剂石灰岩、硫铁、重晶石、磷块岩、伊利石、水泥原料石灰岩、钾长石、脉石英、石膏、石棉、水晶、大理岩、花岗岩、方解石、石墨、玄武岩、砖瓦粘土及饮用矿泉水和医疗温泉等</w:t>
            </w:r>
            <w:r>
              <w:rPr>
                <w:rFonts w:ascii="Times New Roman" w:hAnsi="Times New Roman" w:eastAsia="宋体" w:cs="Times New Roman"/>
                <w:sz w:val="24"/>
                <w:szCs w:val="24"/>
              </w:rPr>
              <w:t>28</w:t>
            </w:r>
            <w:r>
              <w:rPr>
                <w:rFonts w:hint="eastAsia" w:ascii="Times New Roman" w:hAnsi="Times New Roman" w:eastAsia="宋体" w:cs="Times New Roman"/>
                <w:sz w:val="24"/>
                <w:szCs w:val="24"/>
              </w:rPr>
              <w:t>个矿种。</w:t>
            </w:r>
          </w:p>
          <w:p w14:paraId="41075B64">
            <w:pPr>
              <w:spacing w:before="120" w:after="120"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根据现场调查，项目评价范围内无珍稀、濒危动植物，无生态保护物种和自然保护区等生态敏感点，不在拟定的生态红线区内。</w:t>
            </w:r>
          </w:p>
          <w:p w14:paraId="5249D8E1">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六、主要植被及动物资源</w:t>
            </w:r>
            <w:r>
              <w:rPr>
                <w:rFonts w:ascii="Times New Roman" w:hAnsi="Times New Roman" w:eastAsia="宋体" w:cs="Times New Roman"/>
                <w:b/>
                <w:sz w:val="28"/>
                <w:szCs w:val="28"/>
              </w:rPr>
              <w:t xml:space="preserve">  </w:t>
            </w:r>
          </w:p>
          <w:p w14:paraId="7612098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峨边彝族自治县森林植被属于亚热带常绿阔叶林区，川东盆地偏湿性常绿阔叶林亚带，全县森林覆盖率为</w:t>
            </w:r>
            <w:r>
              <w:rPr>
                <w:rFonts w:ascii="Times New Roman" w:hAnsi="Times New Roman" w:eastAsia="宋体" w:cs="Times New Roman"/>
                <w:sz w:val="24"/>
                <w:szCs w:val="24"/>
              </w:rPr>
              <w:t>42%</w:t>
            </w:r>
            <w:r>
              <w:rPr>
                <w:rFonts w:hint="eastAsia" w:ascii="Times New Roman" w:hAnsi="Times New Roman" w:eastAsia="宋体" w:cs="Times New Roman"/>
                <w:sz w:val="24"/>
                <w:szCs w:val="24"/>
              </w:rPr>
              <w:t>，河源地区森林覆盖率达</w:t>
            </w:r>
            <w:r>
              <w:rPr>
                <w:rFonts w:ascii="Times New Roman" w:hAnsi="Times New Roman" w:eastAsia="宋体" w:cs="Times New Roman"/>
                <w:sz w:val="24"/>
                <w:szCs w:val="24"/>
              </w:rPr>
              <w:t>62.2%</w:t>
            </w:r>
            <w:r>
              <w:rPr>
                <w:rFonts w:hint="eastAsia" w:ascii="Times New Roman" w:hAnsi="Times New Roman" w:eastAsia="宋体" w:cs="Times New Roman"/>
                <w:sz w:val="24"/>
                <w:szCs w:val="24"/>
              </w:rPr>
              <w:t>。由于受山地地形制约，形成了相应的山地生物垂直带，植被垂直带谱明显，由低到高依次为：</w:t>
            </w:r>
          </w:p>
          <w:p w14:paraId="2D036491">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海拔</w:t>
            </w:r>
            <w:r>
              <w:rPr>
                <w:rFonts w:ascii="Times New Roman" w:hAnsi="Times New Roman" w:eastAsia="宋体" w:cs="Times New Roman"/>
                <w:sz w:val="24"/>
                <w:szCs w:val="24"/>
              </w:rPr>
              <w:t>1300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2000m</w:t>
            </w:r>
            <w:r>
              <w:rPr>
                <w:rFonts w:hint="eastAsia" w:ascii="Times New Roman" w:hAnsi="Times New Roman" w:eastAsia="宋体" w:cs="Times New Roman"/>
                <w:sz w:val="24"/>
                <w:szCs w:val="24"/>
              </w:rPr>
              <w:t>，为亚热带常绿阔叶林带；海拔</w:t>
            </w:r>
            <w:r>
              <w:rPr>
                <w:rFonts w:ascii="Times New Roman" w:hAnsi="Times New Roman" w:eastAsia="宋体" w:cs="Times New Roman"/>
                <w:sz w:val="24"/>
                <w:szCs w:val="24"/>
              </w:rPr>
              <w:t>2000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2400m</w:t>
            </w:r>
            <w:r>
              <w:rPr>
                <w:rFonts w:hint="eastAsia" w:ascii="Times New Roman" w:hAnsi="Times New Roman" w:eastAsia="宋体" w:cs="Times New Roman"/>
                <w:sz w:val="24"/>
                <w:szCs w:val="24"/>
              </w:rPr>
              <w:t>，为针阔叶林混交林带；海拔</w:t>
            </w:r>
            <w:r>
              <w:rPr>
                <w:rFonts w:ascii="Times New Roman" w:hAnsi="Times New Roman" w:eastAsia="宋体" w:cs="Times New Roman"/>
                <w:sz w:val="24"/>
                <w:szCs w:val="24"/>
              </w:rPr>
              <w:t>2400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3700m</w:t>
            </w:r>
            <w:r>
              <w:rPr>
                <w:rFonts w:hint="eastAsia" w:ascii="Times New Roman" w:hAnsi="Times New Roman" w:eastAsia="宋体" w:cs="Times New Roman"/>
                <w:sz w:val="24"/>
                <w:szCs w:val="24"/>
              </w:rPr>
              <w:t>，为暗针叶林带；海拔</w:t>
            </w:r>
            <w:r>
              <w:rPr>
                <w:rFonts w:ascii="Times New Roman" w:hAnsi="Times New Roman" w:eastAsia="宋体" w:cs="Times New Roman"/>
                <w:sz w:val="24"/>
                <w:szCs w:val="24"/>
              </w:rPr>
              <w:t>3700</w:t>
            </w:r>
            <w:r>
              <w:rPr>
                <w:rFonts w:hint="eastAsia" w:ascii="Times New Roman" w:hAnsi="Times New Roman" w:eastAsia="宋体" w:cs="Times New Roman"/>
                <w:sz w:val="24"/>
                <w:szCs w:val="24"/>
              </w:rPr>
              <w:t>以上，为高山灌丛和草甸带。</w:t>
            </w:r>
          </w:p>
          <w:p w14:paraId="7635EC42">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峨边彝族自治县有林草地面积</w:t>
            </w:r>
            <w:r>
              <w:rPr>
                <w:rFonts w:ascii="Times New Roman" w:hAnsi="Times New Roman" w:eastAsia="宋体" w:cs="Times New Roman"/>
                <w:sz w:val="24"/>
                <w:szCs w:val="24"/>
              </w:rPr>
              <w:t>25.09</w:t>
            </w:r>
            <w:r>
              <w:rPr>
                <w:rFonts w:hint="eastAsia" w:ascii="Times New Roman" w:hAnsi="Times New Roman" w:eastAsia="宋体" w:cs="Times New Roman"/>
                <w:sz w:val="24"/>
                <w:szCs w:val="24"/>
              </w:rPr>
              <w:t>万</w:t>
            </w:r>
            <w:r>
              <w:rPr>
                <w:rFonts w:ascii="Times New Roman" w:hAnsi="Times New Roman" w:eastAsia="宋体" w:cs="Times New Roman"/>
                <w:sz w:val="24"/>
                <w:szCs w:val="24"/>
              </w:rPr>
              <w:t>hm</w:t>
            </w:r>
            <w:r>
              <w:rPr>
                <w:rFonts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，占全县总面积的</w:t>
            </w:r>
            <w:r>
              <w:rPr>
                <w:rFonts w:ascii="Times New Roman" w:hAnsi="Times New Roman" w:eastAsia="宋体" w:cs="Times New Roman"/>
                <w:sz w:val="24"/>
                <w:szCs w:val="24"/>
              </w:rPr>
              <w:t>37.1%</w:t>
            </w:r>
            <w:r>
              <w:rPr>
                <w:rFonts w:hint="eastAsia" w:ascii="Times New Roman" w:hAnsi="Times New Roman" w:eastAsia="宋体" w:cs="Times New Roman"/>
                <w:sz w:val="24"/>
                <w:szCs w:val="24"/>
              </w:rPr>
              <w:t>，天然草场面积</w:t>
            </w:r>
            <w:r>
              <w:rPr>
                <w:rFonts w:ascii="Times New Roman" w:hAnsi="Times New Roman" w:eastAsia="宋体" w:cs="Times New Roman"/>
                <w:sz w:val="24"/>
                <w:szCs w:val="24"/>
              </w:rPr>
              <w:t>33.44</w:t>
            </w:r>
            <w:r>
              <w:rPr>
                <w:rFonts w:hint="eastAsia" w:ascii="Times New Roman" w:hAnsi="Times New Roman" w:eastAsia="宋体" w:cs="Times New Roman"/>
                <w:sz w:val="24"/>
                <w:szCs w:val="24"/>
              </w:rPr>
              <w:t>万</w:t>
            </w:r>
            <w:r>
              <w:rPr>
                <w:rFonts w:ascii="Times New Roman" w:hAnsi="Times New Roman" w:eastAsia="宋体" w:cs="Times New Roman"/>
                <w:sz w:val="24"/>
                <w:szCs w:val="24"/>
              </w:rPr>
              <w:t>hm</w:t>
            </w:r>
            <w:r>
              <w:rPr>
                <w:rFonts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，占全县总面积的</w:t>
            </w:r>
            <w:r>
              <w:rPr>
                <w:rFonts w:ascii="Times New Roman" w:hAnsi="Times New Roman" w:eastAsia="宋体" w:cs="Times New Roman"/>
                <w:sz w:val="24"/>
                <w:szCs w:val="24"/>
              </w:rPr>
              <w:t>49.4%</w:t>
            </w:r>
            <w:r>
              <w:rPr>
                <w:rFonts w:hint="eastAsia" w:ascii="Times New Roman" w:hAnsi="Times New Roman" w:eastAsia="宋体" w:cs="Times New Roman"/>
                <w:sz w:val="24"/>
                <w:szCs w:val="24"/>
              </w:rPr>
              <w:t>。</w:t>
            </w:r>
          </w:p>
          <w:p w14:paraId="0DB59B29">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据调查，峨边彝族自治县树种包括针叶树种、阔叶树种、灌木树种及经济树种。其中针叶树种主要包括松科的云杉树、冷杉树、铁杉树、落叶松树、松树，柏科的侧柏树，树种有云杉、巴山冷杉、苍山冷杉、云南铁杉、红杉、云南松、高山松和侧柏等；阔叶乔木树种主要包括杨柳科、壳斗科、桦木科的山杨、川杨、青杨、刺叶栎、细叶青冈和红桦等；灌木树种主要有枸子木、三颗针、野蔷薇和杜鹃等。全县主要草种有高山寒草、高山早熟禾、珠牙蓼、黑花苔草、羊茅、披碱草等，主要分布在海拔</w:t>
            </w:r>
            <w:r>
              <w:rPr>
                <w:rFonts w:ascii="Times New Roman" w:hAnsi="Times New Roman" w:eastAsia="宋体" w:cs="Times New Roman"/>
                <w:sz w:val="24"/>
                <w:szCs w:val="24"/>
              </w:rPr>
              <w:t>3700m</w:t>
            </w:r>
            <w:r>
              <w:rPr>
                <w:rFonts w:hint="eastAsia" w:ascii="Times New Roman" w:hAnsi="Times New Roman" w:eastAsia="宋体" w:cs="Times New Roman"/>
                <w:sz w:val="24"/>
                <w:szCs w:val="24"/>
              </w:rPr>
              <w:t>以上的高山宽谷、缓坡和小型台地。</w:t>
            </w:r>
          </w:p>
          <w:p w14:paraId="0B0E3F0D">
            <w:pPr>
              <w:pStyle w:val="11"/>
              <w:spacing w:line="360" w:lineRule="auto"/>
              <w:ind w:firstLine="480" w:firstLineChars="200"/>
              <w:jc w:val="left"/>
              <w:rPr>
                <w:rFonts w:ascii="Times New Roman" w:hAnsi="Times New Roman" w:eastAsia="宋体" w:cs="Times New Roman"/>
                <w:b/>
                <w:bCs/>
                <w:sz w:val="24"/>
                <w:szCs w:val="24"/>
              </w:rPr>
            </w:pPr>
            <w:r>
              <w:rPr>
                <w:rFonts w:hint="eastAsia" w:ascii="Times New Roman" w:hAnsi="Times New Roman" w:eastAsia="宋体" w:cs="Times New Roman"/>
                <w:sz w:val="24"/>
                <w:szCs w:val="24"/>
              </w:rPr>
              <w:t>国家珍稀保护的野生动物如大熊猫、羚羊、豹、小熊猫、黑熊、岩羊等均分布在黑竹沟自然保护区、黑竹沟风景名胜区和黑竹沟森林公园内的高海拔林区，不受工程建设的影响。</w:t>
            </w:r>
            <w:r>
              <w:rPr>
                <w:rFonts w:hint="eastAsia" w:ascii="Times New Roman" w:hAnsi="Times New Roman" w:eastAsia="宋体" w:cs="Times New Roman"/>
                <w:sz w:val="24"/>
                <w:szCs w:val="24"/>
                <w:u w:val="single"/>
              </w:rPr>
              <w:t>项目拟建厂址位于乐山市峨边彝族自治县峨边新场工业园区，属于工业园区，该区域人类活动频繁，受人类活动的干扰，区内无珍稀保护动物。</w:t>
            </w:r>
            <w:r>
              <w:rPr>
                <w:rFonts w:ascii="Times New Roman" w:hAnsi="Times New Roman" w:eastAsia="宋体" w:cs="Times New Roman"/>
                <w:sz w:val="24"/>
                <w:szCs w:val="24"/>
                <w:u w:val="single"/>
              </w:rPr>
              <w:t>无重点保护的历史遗迹和文物古迹。工程所在地无风景名胜和文物保护单位。</w:t>
            </w:r>
          </w:p>
          <w:p w14:paraId="50CE4EEA">
            <w:pPr>
              <w:pStyle w:val="11"/>
              <w:spacing w:line="360" w:lineRule="auto"/>
              <w:ind w:firstLine="480" w:firstLineChars="200"/>
              <w:jc w:val="left"/>
              <w:rPr>
                <w:rFonts w:ascii="Times New Roman" w:hAnsi="Times New Roman" w:eastAsia="宋体" w:cs="Times New Roman"/>
                <w:sz w:val="24"/>
                <w:szCs w:val="24"/>
              </w:rPr>
            </w:pPr>
          </w:p>
        </w:tc>
      </w:tr>
    </w:tbl>
    <w:p w14:paraId="0AA384DD">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环境质量状况（表三）</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3C9BE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1" w:hRule="atLeast"/>
          <w:jc w:val="center"/>
        </w:trPr>
        <w:tc>
          <w:tcPr>
            <w:tcW w:w="5000" w:type="pct"/>
          </w:tcPr>
          <w:p w14:paraId="3E2CC264">
            <w:pPr>
              <w:spacing w:before="180" w:after="18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建设项目所在地区域环境质量现状及主要环境问题（环境空气、声环境、生态环境等）</w:t>
            </w:r>
          </w:p>
          <w:p w14:paraId="562A4155">
            <w:pPr>
              <w:spacing w:before="120" w:after="120"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本项目位于</w:t>
            </w:r>
            <w:r>
              <w:rPr>
                <w:rFonts w:hint="eastAsia" w:ascii="Times New Roman" w:hAnsi="Times New Roman" w:eastAsia="宋体" w:cs="Times New Roman"/>
                <w:sz w:val="24"/>
              </w:rPr>
              <w:t>乐山市峨边彝族自治县峨边新场工业园区（原林河集团黄磷厂厂区）（</w:t>
            </w:r>
            <w:r>
              <w:rPr>
                <w:rFonts w:ascii="Times New Roman" w:hAnsi="Times New Roman" w:eastAsia="宋体" w:cs="Times New Roman"/>
                <w:sz w:val="24"/>
              </w:rPr>
              <w:t>E103.2732°，N29.3078°</w:t>
            </w:r>
            <w:r>
              <w:rPr>
                <w:rFonts w:hint="eastAsia" w:ascii="Times New Roman" w:hAnsi="Times New Roman" w:eastAsia="宋体" w:cs="Times New Roman"/>
                <w:sz w:val="24"/>
              </w:rPr>
              <w:t>，</w:t>
            </w:r>
            <w:r>
              <w:rPr>
                <w:rFonts w:ascii="Times New Roman" w:hAnsi="Times New Roman" w:eastAsia="宋体" w:cs="Times New Roman"/>
                <w:sz w:val="24"/>
              </w:rPr>
              <w:t>详见附图1），系利用现有场地进行改扩建。</w:t>
            </w:r>
          </w:p>
          <w:p w14:paraId="2E192CE7">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一、环境空气质量</w:t>
            </w:r>
          </w:p>
          <w:p w14:paraId="16DC5749">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环境空气数据来源</w:t>
            </w:r>
          </w:p>
          <w:p w14:paraId="1E0D5C4B">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t>本次环境空气质量引用乐山市2019年环境质量公报中的监测数据，符合《环境影响评价技术导则 大气环境》（HJ2.2-2018）中“6.2数据来源”的要求。</w:t>
            </w:r>
          </w:p>
          <w:p w14:paraId="019A7BBF">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t>根据《乐山市2019年环境质量公报》，本项目所在区域大气环境质量现状情况见表3-1。</w:t>
            </w:r>
          </w:p>
          <w:p w14:paraId="1E8A0157">
            <w:pPr>
              <w:pStyle w:val="61"/>
              <w:ind w:firstLine="0" w:firstLineChars="0"/>
              <w:jc w:val="center"/>
              <w:rPr>
                <w:rFonts w:ascii="Times New Roman" w:hAnsi="Times New Roman" w:eastAsia="宋体" w:cs="Times New Roman"/>
              </w:rPr>
            </w:pPr>
            <w:r>
              <w:rPr>
                <w:rFonts w:ascii="Times New Roman" w:hAnsi="Times New Roman" w:eastAsia="宋体" w:cs="Times New Roman"/>
                <w:snapToGrid w:val="0"/>
                <w:kern w:val="0"/>
                <w:szCs w:val="24"/>
              </w:rPr>
              <w:t>表3-1  2019年乐山市空气质量数据统计表    单位：</w:t>
            </w:r>
            <w:r>
              <w:rPr>
                <w:rFonts w:hint="eastAsia" w:ascii="Times New Roman" w:hAnsi="Times New Roman" w:eastAsia="宋体" w:cs="Times New Roman"/>
                <w:snapToGrid w:val="0"/>
                <w:kern w:val="0"/>
                <w:szCs w:val="24"/>
                <w:lang w:eastAsia="zh-CN"/>
              </w:rPr>
              <w:t>μg/m3</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28"/>
              <w:gridCol w:w="991"/>
              <w:gridCol w:w="1134"/>
              <w:gridCol w:w="1134"/>
              <w:gridCol w:w="1134"/>
              <w:gridCol w:w="1134"/>
              <w:gridCol w:w="1273"/>
            </w:tblGrid>
            <w:tr w14:paraId="22F4C3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192" w:type="pct"/>
                  <w:vAlign w:val="center"/>
                </w:tcPr>
                <w:p w14:paraId="2F622DDD">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555" w:type="pct"/>
                  <w:vAlign w:val="center"/>
                </w:tcPr>
                <w:p w14:paraId="648652A9">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635" w:type="pct"/>
                  <w:vAlign w:val="center"/>
                </w:tcPr>
                <w:p w14:paraId="101DF7A6">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635" w:type="pct"/>
                  <w:vAlign w:val="center"/>
                </w:tcPr>
                <w:p w14:paraId="68B259C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CO</w:t>
                  </w:r>
                </w:p>
              </w:tc>
              <w:tc>
                <w:tcPr>
                  <w:tcW w:w="635" w:type="pct"/>
                  <w:vAlign w:val="center"/>
                </w:tcPr>
                <w:p w14:paraId="1D2BAD52">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635" w:type="pct"/>
                  <w:vAlign w:val="center"/>
                </w:tcPr>
                <w:p w14:paraId="2FA4DDD5">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714" w:type="pct"/>
                  <w:vAlign w:val="center"/>
                </w:tcPr>
                <w:p w14:paraId="62DF1350">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r>
            <w:tr w14:paraId="30DC76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192" w:type="pct"/>
                  <w:vAlign w:val="center"/>
                </w:tcPr>
                <w:p w14:paraId="22F22F69">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平均浓度</w:t>
                  </w:r>
                </w:p>
              </w:tc>
              <w:tc>
                <w:tcPr>
                  <w:tcW w:w="555" w:type="pct"/>
                  <w:vAlign w:val="center"/>
                </w:tcPr>
                <w:p w14:paraId="4011907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12.9</w:t>
                  </w:r>
                </w:p>
              </w:tc>
              <w:tc>
                <w:tcPr>
                  <w:tcW w:w="635" w:type="pct"/>
                  <w:vAlign w:val="center"/>
                </w:tcPr>
                <w:p w14:paraId="7CE0A781">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24.0</w:t>
                  </w:r>
                </w:p>
              </w:tc>
              <w:tc>
                <w:tcPr>
                  <w:tcW w:w="635" w:type="pct"/>
                  <w:vAlign w:val="center"/>
                </w:tcPr>
                <w:p w14:paraId="5187047C">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1.4</w:t>
                  </w:r>
                </w:p>
              </w:tc>
              <w:tc>
                <w:tcPr>
                  <w:tcW w:w="635" w:type="pct"/>
                  <w:vAlign w:val="center"/>
                </w:tcPr>
                <w:p w14:paraId="43C3F65E">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121.4</w:t>
                  </w:r>
                </w:p>
              </w:tc>
              <w:tc>
                <w:tcPr>
                  <w:tcW w:w="635" w:type="pct"/>
                  <w:vAlign w:val="center"/>
                </w:tcPr>
                <w:p w14:paraId="4FCF4E83">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39.1</w:t>
                  </w:r>
                </w:p>
              </w:tc>
              <w:tc>
                <w:tcPr>
                  <w:tcW w:w="714" w:type="pct"/>
                  <w:vAlign w:val="center"/>
                </w:tcPr>
                <w:p w14:paraId="5F03D3AD">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61.7</w:t>
                  </w:r>
                </w:p>
              </w:tc>
            </w:tr>
            <w:tr w14:paraId="1B569D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192" w:type="pct"/>
                  <w:vAlign w:val="center"/>
                </w:tcPr>
                <w:p w14:paraId="14C49AF7">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质量标准（年平均）</w:t>
                  </w:r>
                </w:p>
              </w:tc>
              <w:tc>
                <w:tcPr>
                  <w:tcW w:w="555" w:type="pct"/>
                  <w:vAlign w:val="center"/>
                </w:tcPr>
                <w:p w14:paraId="5579A8D5">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60</w:t>
                  </w:r>
                </w:p>
              </w:tc>
              <w:tc>
                <w:tcPr>
                  <w:tcW w:w="635" w:type="pct"/>
                  <w:vAlign w:val="center"/>
                </w:tcPr>
                <w:p w14:paraId="374EC893">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40</w:t>
                  </w:r>
                </w:p>
              </w:tc>
              <w:tc>
                <w:tcPr>
                  <w:tcW w:w="635" w:type="pct"/>
                  <w:vAlign w:val="center"/>
                </w:tcPr>
                <w:p w14:paraId="64717708">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4</w:t>
                  </w:r>
                </w:p>
              </w:tc>
              <w:tc>
                <w:tcPr>
                  <w:tcW w:w="635" w:type="pct"/>
                  <w:vAlign w:val="center"/>
                </w:tcPr>
                <w:p w14:paraId="6FF0609E">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160</w:t>
                  </w:r>
                </w:p>
              </w:tc>
              <w:tc>
                <w:tcPr>
                  <w:tcW w:w="635" w:type="pct"/>
                  <w:vAlign w:val="center"/>
                </w:tcPr>
                <w:p w14:paraId="73B7911F">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35</w:t>
                  </w:r>
                </w:p>
              </w:tc>
              <w:tc>
                <w:tcPr>
                  <w:tcW w:w="714" w:type="pct"/>
                  <w:vAlign w:val="center"/>
                </w:tcPr>
                <w:p w14:paraId="644738B0">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70</w:t>
                  </w:r>
                </w:p>
              </w:tc>
            </w:tr>
            <w:tr w14:paraId="0FCE74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5000" w:type="pct"/>
                  <w:gridSpan w:val="7"/>
                  <w:vAlign w:val="center"/>
                </w:tcPr>
                <w:p w14:paraId="64E3BCCA">
                  <w:pPr>
                    <w:spacing w:line="360" w:lineRule="exact"/>
                    <w:jc w:val="left"/>
                    <w:rPr>
                      <w:rFonts w:ascii="Times New Roman" w:hAnsi="Times New Roman" w:eastAsia="宋体" w:cs="Times New Roman"/>
                      <w:szCs w:val="21"/>
                    </w:rPr>
                  </w:pPr>
                  <w:r>
                    <w:rPr>
                      <w:rFonts w:ascii="Times New Roman" w:hAnsi="Times New Roman" w:eastAsia="宋体" w:cs="Times New Roman"/>
                      <w:szCs w:val="21"/>
                    </w:rPr>
                    <w:t>备注：一氧化碳年均值为24小时平均第95百分位数，臭氧年均值为日最大8小时滑动平均第90百分位数。</w:t>
                  </w:r>
                </w:p>
              </w:tc>
            </w:tr>
          </w:tbl>
          <w:p w14:paraId="7E476C1D">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评价方法和评价标准</w:t>
            </w:r>
          </w:p>
          <w:p w14:paraId="150BA0BB">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kern w:val="0"/>
                <w:sz w:val="24"/>
              </w:rPr>
              <w:t>依据《环境空气质量标准》（GB 3095-2012）对乐山市2019年二氧化硫</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SO</w:t>
            </w:r>
            <w:r>
              <w:rPr>
                <w:rFonts w:ascii="Times New Roman" w:hAnsi="Times New Roman" w:eastAsia="宋体" w:cs="Times New Roman"/>
                <w:kern w:val="0"/>
                <w:sz w:val="24"/>
                <w:vertAlign w:val="subscript"/>
              </w:rPr>
              <w:t>2</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、二氧化氮</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NO</w:t>
            </w:r>
            <w:r>
              <w:rPr>
                <w:rFonts w:ascii="Times New Roman" w:hAnsi="Times New Roman" w:eastAsia="宋体" w:cs="Times New Roman"/>
                <w:kern w:val="0"/>
                <w:sz w:val="24"/>
                <w:vertAlign w:val="subscript"/>
              </w:rPr>
              <w:t>2</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、可吸入颗粒物</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10</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、细颗粒物</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2.5</w:t>
            </w:r>
            <w:r>
              <w:rPr>
                <w:rFonts w:ascii="Times New Roman" w:hAnsi="Times New Roman" w:eastAsia="宋体" w:cs="Times New Roman"/>
                <w:kern w:val="0"/>
                <w:sz w:val="24"/>
              </w:rPr>
              <w:t>)、一氧化碳</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CO</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、臭氧</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O</w:t>
            </w:r>
            <w:r>
              <w:rPr>
                <w:rFonts w:ascii="Times New Roman" w:hAnsi="Times New Roman" w:eastAsia="宋体" w:cs="Times New Roman"/>
                <w:kern w:val="0"/>
                <w:sz w:val="24"/>
                <w:vertAlign w:val="subscript"/>
              </w:rPr>
              <w:t>3</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六项污染物进行评价，六项污染物全部达标即为城市环境空气质量达标。SO</w:t>
            </w:r>
            <w:r>
              <w:rPr>
                <w:rFonts w:ascii="Times New Roman" w:hAnsi="Times New Roman" w:eastAsia="宋体" w:cs="Times New Roman"/>
                <w:kern w:val="0"/>
                <w:sz w:val="24"/>
                <w:vertAlign w:val="subscript"/>
              </w:rPr>
              <w:t>2</w:t>
            </w:r>
            <w:r>
              <w:rPr>
                <w:rFonts w:ascii="Times New Roman" w:hAnsi="Times New Roman" w:eastAsia="宋体" w:cs="Times New Roman"/>
                <w:kern w:val="0"/>
                <w:sz w:val="24"/>
              </w:rPr>
              <w:t>、NO</w:t>
            </w:r>
            <w:r>
              <w:rPr>
                <w:rFonts w:ascii="Times New Roman" w:hAnsi="Times New Roman" w:eastAsia="宋体" w:cs="Times New Roman"/>
                <w:kern w:val="0"/>
                <w:sz w:val="24"/>
                <w:vertAlign w:val="subscript"/>
              </w:rPr>
              <w:t>2</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10</w:t>
            </w:r>
            <w:r>
              <w:rPr>
                <w:rFonts w:ascii="Times New Roman" w:hAnsi="Times New Roman" w:eastAsia="宋体" w:cs="Times New Roman"/>
                <w:kern w:val="0"/>
                <w:sz w:val="24"/>
              </w:rPr>
              <w:t>和PM</w:t>
            </w:r>
            <w:r>
              <w:rPr>
                <w:rFonts w:ascii="Times New Roman" w:hAnsi="Times New Roman" w:eastAsia="宋体" w:cs="Times New Roman"/>
                <w:kern w:val="0"/>
                <w:sz w:val="24"/>
                <w:vertAlign w:val="subscript"/>
              </w:rPr>
              <w:t>2.5</w:t>
            </w:r>
            <w:r>
              <w:rPr>
                <w:rFonts w:ascii="Times New Roman" w:hAnsi="Times New Roman" w:eastAsia="宋体" w:cs="Times New Roman"/>
                <w:kern w:val="0"/>
                <w:sz w:val="24"/>
              </w:rPr>
              <w:t>年度达标情况由该项污染物年平均浓度对照年平均标准确定，CO年度达标情况由CO日</w:t>
            </w:r>
            <w:r>
              <w:rPr>
                <w:rFonts w:ascii="Times New Roman" w:hAnsi="Times New Roman" w:eastAsia="宋体" w:cs="Times New Roman"/>
                <w:sz w:val="24"/>
              </w:rPr>
              <w:t>均值第95百分位数浓度对照24小时平均标准确定，O</w:t>
            </w:r>
            <w:r>
              <w:rPr>
                <w:rFonts w:ascii="Times New Roman" w:hAnsi="Times New Roman" w:eastAsia="宋体" w:cs="Times New Roman"/>
                <w:sz w:val="24"/>
                <w:vertAlign w:val="subscript"/>
              </w:rPr>
              <w:t>3</w:t>
            </w:r>
            <w:r>
              <w:rPr>
                <w:rFonts w:ascii="Times New Roman" w:hAnsi="Times New Roman" w:eastAsia="宋体" w:cs="Times New Roman"/>
                <w:sz w:val="24"/>
              </w:rPr>
              <w:t>年度达标情况由O3日最大8小时平均第90百分位数浓度对照8小时平均标准确定。达到或好于国家环境空气质量二级标准为达标，超过二级标准为超标。</w:t>
            </w:r>
          </w:p>
          <w:p w14:paraId="7A21D3B6">
            <w:pPr>
              <w:adjustRightInd w:val="0"/>
              <w:snapToGrid w:val="0"/>
              <w:spacing w:line="480" w:lineRule="exact"/>
              <w:ind w:right="78" w:rightChars="37" w:firstLine="482" w:firstLineChars="200"/>
              <w:jc w:val="left"/>
              <w:rPr>
                <w:rFonts w:ascii="Times New Roman" w:hAnsi="Times New Roman" w:eastAsia="宋体" w:cs="Times New Roman"/>
                <w:sz w:val="24"/>
                <w:szCs w:val="24"/>
              </w:rPr>
            </w:pPr>
            <w:r>
              <w:rPr>
                <w:rFonts w:ascii="Times New Roman" w:hAnsi="Times New Roman" w:eastAsia="宋体" w:cs="Times New Roman"/>
                <w:b/>
                <w:bCs/>
                <w:sz w:val="24"/>
              </w:rPr>
              <w:t>报告数据显示</w:t>
            </w:r>
            <w:r>
              <w:rPr>
                <w:rFonts w:ascii="Times New Roman" w:hAnsi="Times New Roman" w:eastAsia="宋体" w:cs="Times New Roman"/>
                <w:sz w:val="24"/>
              </w:rPr>
              <w:t>：全市11个</w:t>
            </w:r>
            <w:r>
              <w:rPr>
                <w:rFonts w:hint="eastAsia" w:ascii="Times New Roman" w:hAnsi="Times New Roman" w:eastAsia="宋体" w:cs="Times New Roman"/>
                <w:sz w:val="24"/>
                <w:lang w:eastAsia="zh-CN"/>
              </w:rPr>
              <w:t>县（市、区）</w:t>
            </w:r>
            <w:r>
              <w:rPr>
                <w:rFonts w:ascii="Times New Roman" w:hAnsi="Times New Roman" w:eastAsia="宋体" w:cs="Times New Roman"/>
                <w:sz w:val="24"/>
              </w:rPr>
              <w:t>环境空气中二氧化硫、二氧化氮、臭氧</w:t>
            </w:r>
            <w:r>
              <w:rPr>
                <w:rFonts w:hint="eastAsia" w:ascii="Times New Roman" w:hAnsi="Times New Roman" w:eastAsia="宋体" w:cs="Times New Roman"/>
                <w:sz w:val="24"/>
              </w:rPr>
              <w:t>、</w:t>
            </w:r>
            <w:r>
              <w:rPr>
                <w:rFonts w:ascii="Times New Roman" w:hAnsi="Times New Roman" w:eastAsia="宋体" w:cs="Times New Roman"/>
                <w:sz w:val="24"/>
              </w:rPr>
              <w:t>一氧化碳和</w:t>
            </w:r>
            <w:r>
              <w:rPr>
                <w:rFonts w:hint="eastAsia" w:ascii="Times New Roman" w:hAnsi="Times New Roman" w:eastAsia="宋体" w:cs="Times New Roman"/>
                <w:sz w:val="24"/>
              </w:rPr>
              <w:t>可吸入颗粒物</w:t>
            </w:r>
            <w:r>
              <w:rPr>
                <w:rFonts w:ascii="Times New Roman" w:hAnsi="Times New Roman" w:eastAsia="宋体" w:cs="Times New Roman"/>
                <w:sz w:val="24"/>
              </w:rPr>
              <w:t>年均浓</w:t>
            </w:r>
            <w:r>
              <w:rPr>
                <w:rFonts w:ascii="Times New Roman" w:hAnsi="Times New Roman" w:eastAsia="宋体" w:cs="Times New Roman"/>
                <w:sz w:val="24"/>
                <w:szCs w:val="24"/>
              </w:rPr>
              <w:t>度分别为12.9μg/m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、24.0μg/m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、121.4μg/m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r>
              <w:rPr>
                <w:rFonts w:ascii="Times New Roman" w:hAnsi="Times New Roman" w:eastAsia="宋体" w:cs="Times New Roman"/>
                <w:sz w:val="24"/>
                <w:szCs w:val="24"/>
              </w:rPr>
              <w:t>1.4μg/m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和61.7mg/m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，均优于国家环境空气二级标准；细颗粒物平均浓度为39.1μg/m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，超过国家环境空气二级标准。</w:t>
            </w:r>
          </w:p>
          <w:p w14:paraId="7EC3ECA4">
            <w:pPr>
              <w:adjustRightInd w:val="0"/>
              <w:snapToGrid w:val="0"/>
              <w:spacing w:line="480" w:lineRule="exact"/>
              <w:ind w:right="78" w:rightChars="37" w:firstLine="482" w:firstLineChars="200"/>
              <w:jc w:val="left"/>
              <w:rPr>
                <w:rFonts w:ascii="Times New Roman" w:hAnsi="Times New Roman" w:eastAsia="宋体" w:cs="Times New Roman"/>
                <w:b/>
                <w:sz w:val="24"/>
              </w:rPr>
            </w:pPr>
            <w:r>
              <w:rPr>
                <w:rFonts w:ascii="Times New Roman" w:hAnsi="Times New Roman" w:eastAsia="宋体" w:cs="Times New Roman"/>
                <w:b/>
                <w:sz w:val="24"/>
              </w:rPr>
              <w:t>根据以上分析，项目所在区域环境空气质量不达标，属于不达标区。</w:t>
            </w:r>
          </w:p>
          <w:p w14:paraId="3D5A55C6">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GB3 </w:instrText>
            </w:r>
            <w:r>
              <w:rPr>
                <w:rFonts w:ascii="Times New Roman" w:hAnsi="Times New Roman" w:eastAsia="宋体" w:cs="Times New Roman"/>
                <w:sz w:val="24"/>
              </w:rPr>
              <w:fldChar w:fldCharType="separate"/>
            </w:r>
            <w:r>
              <w:rPr>
                <w:rFonts w:hint="eastAsia" w:ascii="宋体" w:hAnsi="宋体" w:eastAsia="宋体" w:cs="宋体"/>
                <w:sz w:val="24"/>
              </w:rPr>
              <w:t>③</w:t>
            </w:r>
            <w:r>
              <w:rPr>
                <w:rFonts w:ascii="Times New Roman" w:hAnsi="Times New Roman" w:eastAsia="宋体" w:cs="Times New Roman"/>
                <w:sz w:val="24"/>
              </w:rPr>
              <w:fldChar w:fldCharType="end"/>
            </w:r>
            <w:r>
              <w:rPr>
                <w:rFonts w:hint="eastAsia" w:ascii="Times New Roman" w:hAnsi="Times New Roman" w:eastAsia="宋体" w:cs="Times New Roman"/>
                <w:sz w:val="24"/>
              </w:rPr>
              <w:t>峨边彝族自治县</w:t>
            </w:r>
            <w:r>
              <w:rPr>
                <w:rFonts w:ascii="Times New Roman" w:hAnsi="Times New Roman" w:eastAsia="宋体" w:cs="Times New Roman"/>
                <w:sz w:val="24"/>
                <w:szCs w:val="24"/>
                <w:shd w:val="clear" w:color="auto" w:fill="FFFFFF"/>
              </w:rPr>
              <w:t>空气质量限期达标规划</w:t>
            </w:r>
          </w:p>
          <w:p w14:paraId="4D99730E">
            <w:pPr>
              <w:adjustRightInd w:val="0"/>
              <w:snapToGrid w:val="0"/>
              <w:spacing w:line="480" w:lineRule="exact"/>
              <w:ind w:right="78" w:rightChars="37" w:firstLine="480" w:firstLineChars="200"/>
              <w:rPr>
                <w:rFonts w:ascii="Times New Roman" w:hAnsi="Times New Roman" w:eastAsia="宋体" w:cs="Times New Roman"/>
                <w:sz w:val="24"/>
              </w:rPr>
            </w:pPr>
            <w:r>
              <w:rPr>
                <w:rFonts w:hint="eastAsia" w:ascii="Times New Roman" w:hAnsi="Times New Roman" w:eastAsia="宋体" w:cs="Times New Roman"/>
                <w:sz w:val="24"/>
              </w:rPr>
              <w:t>《峨边彝族自治县环境空气质量限期达标规划（2018年</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2025年）》规划目标与阶段性目标：近期目标：到2020年，全县PM2.5年均浓度控制在45μg/m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以内，大气环境优良天数率比例达到85%以上。远期目标：力争到2025年，PM10控制在70μg/m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以内，PM2.5控制在35μg/m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以内，达到国家二级标准要求。阶段性目标：以基准年为基础，达标期限内实施阶段式滚动目标，分两个阶段逐步改善空气质量，第一阶段，近期2018</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2020年，第二阶段，中长期2021</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2025年。</w:t>
            </w:r>
          </w:p>
          <w:p w14:paraId="12DFD008">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rPr>
              <w:t>综合考虑峨边彝族自治县经济发展特点和大气污染状况，峨边彝族自治县空气质量达标战略主要包括以下内容：一是通过调整能源结构、升级产业结构、优化空间布局、强化污染减排等手段，逐步推进大气污染源头控制；二是以矿山、建材、铁合金、化工、扬尘、机动车、餐饮、秸秆燃烧为重点污染源，推进多污染源综合控制；三是针对SO</w:t>
            </w:r>
            <w:r>
              <w:rPr>
                <w:rFonts w:hint="eastAsia" w:ascii="Times New Roman" w:hAnsi="Times New Roman" w:eastAsia="宋体" w:cs="Times New Roman"/>
                <w:sz w:val="24"/>
                <w:vertAlign w:val="subscript"/>
              </w:rPr>
              <w:t>2</w:t>
            </w:r>
            <w:r>
              <w:rPr>
                <w:rFonts w:hint="eastAsia" w:ascii="Times New Roman" w:hAnsi="Times New Roman" w:eastAsia="宋体" w:cs="Times New Roman"/>
                <w:sz w:val="24"/>
              </w:rPr>
              <w:t>、NOx、PM、VOCs等大气污染物，推进多污染物协同控制，同时把对NH</w:t>
            </w:r>
            <w:r>
              <w:rPr>
                <w:rFonts w:hint="eastAsia" w:ascii="Times New Roman" w:hAnsi="Times New Roman" w:eastAsia="宋体" w:cs="Times New Roman"/>
                <w:sz w:val="24"/>
                <w:vertAlign w:val="subscript"/>
              </w:rPr>
              <w:t>3</w:t>
            </w:r>
            <w:r>
              <w:rPr>
                <w:rFonts w:hint="eastAsia" w:ascii="Times New Roman" w:hAnsi="Times New Roman" w:eastAsia="宋体" w:cs="Times New Roman"/>
                <w:sz w:val="24"/>
              </w:rPr>
              <w:t>的排放控制纳入政策视野。在2020年、2022年、2024年对空气质量达标规划实施情况开展跟踪评价，查找不足，有针对性地提出改进措施，逐步实现城市空气质量达标。</w:t>
            </w:r>
          </w:p>
          <w:p w14:paraId="2F3C849F">
            <w:pPr>
              <w:adjustRightInd w:val="0"/>
              <w:snapToGrid w:val="0"/>
              <w:spacing w:line="480" w:lineRule="exact"/>
              <w:ind w:right="78" w:rightChars="37" w:firstLine="480" w:firstLineChars="200"/>
              <w:rPr>
                <w:rFonts w:ascii="Times New Roman" w:hAnsi="Times New Roman" w:eastAsia="宋体" w:cs="Times New Roman"/>
                <w:sz w:val="24"/>
              </w:rPr>
            </w:pPr>
            <w:r>
              <w:rPr>
                <w:rFonts w:ascii="Times New Roman" w:hAnsi="Times New Roman" w:eastAsia="宋体" w:cs="Times New Roman"/>
                <w:sz w:val="24"/>
              </w:rPr>
              <w:t>综上，项目所在区域不达标指标PM</w:t>
            </w:r>
            <w:r>
              <w:rPr>
                <w:rFonts w:ascii="Times New Roman" w:hAnsi="Times New Roman" w:eastAsia="宋体" w:cs="Times New Roman"/>
                <w:sz w:val="24"/>
                <w:vertAlign w:val="subscript"/>
              </w:rPr>
              <w:t>10</w:t>
            </w:r>
            <w:r>
              <w:rPr>
                <w:rFonts w:ascii="Times New Roman" w:hAnsi="Times New Roman" w:eastAsia="宋体" w:cs="Times New Roman"/>
                <w:sz w:val="24"/>
              </w:rPr>
              <w:t>、PM</w:t>
            </w:r>
            <w:r>
              <w:rPr>
                <w:rFonts w:ascii="Times New Roman" w:hAnsi="Times New Roman" w:eastAsia="宋体" w:cs="Times New Roman"/>
                <w:sz w:val="24"/>
                <w:vertAlign w:val="subscript"/>
              </w:rPr>
              <w:t>2.5</w:t>
            </w:r>
            <w:r>
              <w:rPr>
                <w:rFonts w:ascii="Times New Roman" w:hAnsi="Times New Roman" w:eastAsia="宋体" w:cs="Times New Roman"/>
                <w:sz w:val="24"/>
              </w:rPr>
              <w:t>预期可满足《环境空气质量标准》（GB3095-2012）及其修改单中二级标准要求。</w:t>
            </w:r>
          </w:p>
          <w:p w14:paraId="3FB886B4">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二、地表水环境质量</w:t>
            </w:r>
          </w:p>
          <w:p w14:paraId="2514710C">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根据《乐山市2019年环境质量公报》数据显示：</w:t>
            </w:r>
            <w:r>
              <w:rPr>
                <w:rFonts w:hint="eastAsia" w:ascii="Times New Roman" w:hAnsi="Times New Roman" w:eastAsia="宋体" w:cs="Times New Roman"/>
                <w:sz w:val="24"/>
                <w:szCs w:val="24"/>
              </w:rPr>
              <w:t>2019年，乐山市47个监测断面中达到或优于</w:t>
            </w:r>
            <w:r>
              <w:rPr>
                <w:rFonts w:ascii="Times New Roman" w:hAnsi="Times New Roman" w:eastAsia="宋体" w:cs="Times New Roman"/>
                <w:sz w:val="24"/>
                <w:szCs w:val="24"/>
              </w:rPr>
              <w:t>Ⅲ</w:t>
            </w:r>
            <w:r>
              <w:rPr>
                <w:rFonts w:hint="eastAsia" w:ascii="Times New Roman" w:hAnsi="Times New Roman" w:eastAsia="宋体" w:cs="Times New Roman"/>
                <w:sz w:val="24"/>
                <w:szCs w:val="24"/>
              </w:rPr>
              <w:t>类水质断面3</w:t>
            </w:r>
            <w:r>
              <w:rPr>
                <w:rFonts w:ascii="Times New Roman" w:hAnsi="Times New Roman" w:eastAsia="宋体" w:cs="Times New Roman"/>
                <w:sz w:val="24"/>
                <w:szCs w:val="24"/>
              </w:rPr>
              <w:t>9</w:t>
            </w:r>
            <w:r>
              <w:rPr>
                <w:rFonts w:hint="eastAsia" w:ascii="Times New Roman" w:hAnsi="Times New Roman" w:eastAsia="宋体" w:cs="Times New Roman"/>
                <w:sz w:val="24"/>
                <w:szCs w:val="24"/>
              </w:rPr>
              <w:t>个，达标率8</w:t>
            </w:r>
            <w:r>
              <w:rPr>
                <w:rFonts w:ascii="Times New Roman" w:hAnsi="Times New Roman" w:eastAsia="宋体" w:cs="Times New Roman"/>
                <w:sz w:val="24"/>
                <w:szCs w:val="24"/>
              </w:rPr>
              <w:t>3.0</w:t>
            </w:r>
            <w:r>
              <w:rPr>
                <w:rFonts w:hint="eastAsia" w:ascii="Times New Roman" w:hAnsi="Times New Roman" w:eastAsia="宋体" w:cs="Times New Roman"/>
                <w:sz w:val="24"/>
                <w:szCs w:val="24"/>
              </w:rPr>
              <w:t>%，同比上升了4</w:t>
            </w:r>
            <w:r>
              <w:rPr>
                <w:rFonts w:ascii="Times New Roman" w:hAnsi="Times New Roman" w:eastAsia="宋体" w:cs="Times New Roman"/>
                <w:sz w:val="24"/>
                <w:szCs w:val="24"/>
              </w:rPr>
              <w:t>.3</w:t>
            </w:r>
            <w:r>
              <w:rPr>
                <w:rFonts w:hint="eastAsia" w:ascii="Times New Roman" w:hAnsi="Times New Roman" w:eastAsia="宋体" w:cs="Times New Roman"/>
                <w:sz w:val="24"/>
                <w:szCs w:val="24"/>
              </w:rPr>
              <w:t>%；Ⅱ类、Ⅲ类、Ⅳ类、Ⅴ类和劣Ⅴ类水质所占比例分别为5</w:t>
            </w:r>
            <w:r>
              <w:rPr>
                <w:rFonts w:ascii="Times New Roman" w:hAnsi="Times New Roman" w:eastAsia="宋体" w:cs="Times New Roman"/>
                <w:sz w:val="24"/>
                <w:szCs w:val="24"/>
              </w:rPr>
              <w:t>3.2</w:t>
            </w:r>
            <w:r>
              <w:rPr>
                <w:rFonts w:hint="eastAsia" w:ascii="Times New Roman" w:hAnsi="Times New Roman" w:eastAsia="宋体" w:cs="Times New Roman"/>
                <w:sz w:val="24"/>
                <w:szCs w:val="24"/>
              </w:rPr>
              <w:t>%、2</w:t>
            </w:r>
            <w:r>
              <w:rPr>
                <w:rFonts w:ascii="Times New Roman" w:hAnsi="Times New Roman" w:eastAsia="宋体" w:cs="Times New Roman"/>
                <w:sz w:val="24"/>
                <w:szCs w:val="24"/>
              </w:rPr>
              <w:t>9.8</w:t>
            </w:r>
            <w:r>
              <w:rPr>
                <w:rFonts w:hint="eastAsia" w:ascii="Times New Roman" w:hAnsi="Times New Roman" w:eastAsia="宋体" w:cs="Times New Roman"/>
                <w:sz w:val="24"/>
                <w:szCs w:val="24"/>
              </w:rPr>
              <w:t>%、4</w:t>
            </w:r>
            <w:r>
              <w:rPr>
                <w:rFonts w:ascii="Times New Roman" w:hAnsi="Times New Roman" w:eastAsia="宋体" w:cs="Times New Roman"/>
                <w:sz w:val="24"/>
                <w:szCs w:val="24"/>
              </w:rPr>
              <w:t>.3</w:t>
            </w:r>
            <w:r>
              <w:rPr>
                <w:rFonts w:hint="eastAsia" w:ascii="Times New Roman" w:hAnsi="Times New Roman" w:eastAsia="宋体" w:cs="Times New Roman"/>
                <w:sz w:val="24"/>
                <w:szCs w:val="24"/>
              </w:rPr>
              <w:t>%、6</w:t>
            </w:r>
            <w:r>
              <w:rPr>
                <w:rFonts w:ascii="Times New Roman" w:hAnsi="Times New Roman" w:eastAsia="宋体" w:cs="Times New Roman"/>
                <w:sz w:val="24"/>
                <w:szCs w:val="24"/>
              </w:rPr>
              <w:t>.4</w:t>
            </w:r>
            <w:r>
              <w:rPr>
                <w:rFonts w:hint="eastAsia" w:ascii="Times New Roman" w:hAnsi="Times New Roman" w:eastAsia="宋体" w:cs="Times New Roman"/>
                <w:sz w:val="24"/>
                <w:szCs w:val="24"/>
              </w:rPr>
              <w:t>%、和6</w:t>
            </w:r>
            <w:r>
              <w:rPr>
                <w:rFonts w:ascii="Times New Roman" w:hAnsi="Times New Roman" w:eastAsia="宋体" w:cs="Times New Roman"/>
                <w:sz w:val="24"/>
                <w:szCs w:val="24"/>
              </w:rPr>
              <w:t>.4</w:t>
            </w:r>
            <w:r>
              <w:rPr>
                <w:rFonts w:hint="eastAsia" w:ascii="Times New Roman" w:hAnsi="Times New Roman" w:eastAsia="宋体" w:cs="Times New Roman"/>
                <w:sz w:val="24"/>
                <w:szCs w:val="24"/>
              </w:rPr>
              <w:t>%。地表水断面水质监测中主要污染指标为总磷。</w:t>
            </w:r>
          </w:p>
          <w:p w14:paraId="1C41A20B">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乐山市1</w:t>
            </w:r>
            <w:r>
              <w:rPr>
                <w:rFonts w:ascii="Times New Roman" w:hAnsi="Times New Roman" w:eastAsia="宋体" w:cs="Times New Roman"/>
                <w:sz w:val="24"/>
                <w:szCs w:val="24"/>
              </w:rPr>
              <w:t>0</w:t>
            </w:r>
            <w:r>
              <w:rPr>
                <w:rFonts w:hint="eastAsia" w:ascii="Times New Roman" w:hAnsi="Times New Roman" w:eastAsia="宋体" w:cs="Times New Roman"/>
                <w:sz w:val="24"/>
                <w:szCs w:val="24"/>
              </w:rPr>
              <w:t>个国控、省控地表水断面中，监测断面总体达标率为9</w:t>
            </w:r>
            <w:r>
              <w:rPr>
                <w:rFonts w:ascii="Times New Roman" w:hAnsi="Times New Roman" w:eastAsia="宋体" w:cs="Times New Roman"/>
                <w:sz w:val="24"/>
                <w:szCs w:val="24"/>
              </w:rPr>
              <w:t>0</w:t>
            </w:r>
            <w:r>
              <w:rPr>
                <w:rFonts w:hint="eastAsia" w:ascii="Times New Roman" w:hAnsi="Times New Roman" w:eastAsia="宋体" w:cs="Times New Roman"/>
                <w:sz w:val="24"/>
                <w:szCs w:val="24"/>
              </w:rPr>
              <w:t>%；青衣江、大渡河、马边河、龙溪河水质优，岷江乐山段水质良好，茫溪河水质受到中度污染。</w:t>
            </w:r>
          </w:p>
          <w:p w14:paraId="1CF23AD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根据导则和项目所在地环境特征，委托</w:t>
            </w:r>
            <w:r>
              <w:rPr>
                <w:rFonts w:hint="eastAsia" w:ascii="Times New Roman" w:hAnsi="Times New Roman" w:eastAsia="宋体" w:cs="Times New Roman"/>
                <w:sz w:val="24"/>
                <w:szCs w:val="24"/>
              </w:rPr>
              <w:t>四川羽润晨环保科技有限公司</w:t>
            </w:r>
            <w:r>
              <w:rPr>
                <w:rFonts w:ascii="Times New Roman" w:hAnsi="Times New Roman" w:eastAsia="宋体" w:cs="Times New Roman"/>
                <w:sz w:val="24"/>
                <w:szCs w:val="24"/>
              </w:rPr>
              <w:t>于2020年</w:t>
            </w:r>
            <w:r>
              <w:rPr>
                <w:rFonts w:hint="eastAsia" w:ascii="Times New Roman" w:hAnsi="Times New Roman" w:eastAsia="宋体" w:cs="Times New Roman"/>
                <w:sz w:val="24"/>
                <w:szCs w:val="24"/>
                <w:lang w:eastAsia="zh-CN"/>
              </w:rPr>
              <w:t>7月6日</w:t>
            </w:r>
            <w:r>
              <w:rPr>
                <w:rFonts w:hint="eastAsia" w:ascii="Times New Roman" w:hAnsi="Times New Roman" w:eastAsia="宋体" w:cs="Times New Roman"/>
                <w:sz w:val="24"/>
                <w:szCs w:val="24"/>
              </w:rPr>
              <w:t>~</w:t>
            </w:r>
            <w:r>
              <w:rPr>
                <w:rFonts w:ascii="Times New Roman" w:hAnsi="Times New Roman" w:eastAsia="宋体" w:cs="Times New Roman"/>
                <w:sz w:val="24"/>
                <w:szCs w:val="24"/>
              </w:rPr>
              <w:t>8日在项目</w:t>
            </w:r>
            <w:r>
              <w:rPr>
                <w:rFonts w:hint="eastAsia" w:ascii="Times New Roman" w:hAnsi="Times New Roman" w:eastAsia="宋体" w:cs="Times New Roman"/>
                <w:sz w:val="24"/>
                <w:szCs w:val="24"/>
              </w:rPr>
              <w:t>上下游进行水质断面监测。</w:t>
            </w:r>
            <w:r>
              <w:rPr>
                <w:rFonts w:ascii="Times New Roman" w:hAnsi="Times New Roman" w:eastAsia="宋体" w:cs="Times New Roman"/>
                <w:sz w:val="24"/>
                <w:szCs w:val="24"/>
              </w:rPr>
              <w:t>监测统计结果见下表3-2所示。</w:t>
            </w:r>
          </w:p>
          <w:p w14:paraId="13C72DF5">
            <w:pPr>
              <w:spacing w:line="360" w:lineRule="auto"/>
              <w:ind w:firstLine="480" w:firstLineChars="200"/>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表3</w:t>
            </w:r>
            <w:r>
              <w:rPr>
                <w:rFonts w:ascii="Times New Roman" w:hAnsi="Times New Roman" w:eastAsia="宋体" w:cs="Times New Roman"/>
                <w:sz w:val="24"/>
                <w:szCs w:val="24"/>
              </w:rPr>
              <w:t xml:space="preserve">-2 </w:t>
            </w:r>
            <w:r>
              <w:rPr>
                <w:rFonts w:hint="eastAsia" w:ascii="Times New Roman" w:hAnsi="Times New Roman" w:eastAsia="宋体" w:cs="Times New Roman"/>
                <w:sz w:val="24"/>
                <w:szCs w:val="24"/>
              </w:rPr>
              <w:t>地表水检测结果统计表</w:t>
            </w:r>
          </w:p>
          <w:tbl>
            <w:tblPr>
              <w:tblStyle w:val="26"/>
              <w:tblW w:w="5000" w:type="pct"/>
              <w:jc w:val="center"/>
              <w:tblLayout w:type="autofit"/>
              <w:tblCellMar>
                <w:top w:w="0" w:type="dxa"/>
                <w:left w:w="0" w:type="dxa"/>
                <w:bottom w:w="0" w:type="dxa"/>
                <w:right w:w="0" w:type="dxa"/>
              </w:tblCellMar>
            </w:tblPr>
            <w:tblGrid>
              <w:gridCol w:w="1621"/>
              <w:gridCol w:w="702"/>
              <w:gridCol w:w="1903"/>
              <w:gridCol w:w="1903"/>
              <w:gridCol w:w="1903"/>
              <w:gridCol w:w="926"/>
            </w:tblGrid>
            <w:tr w14:paraId="41F875A5">
              <w:tblPrEx>
                <w:tblCellMar>
                  <w:top w:w="0" w:type="dxa"/>
                  <w:left w:w="0" w:type="dxa"/>
                  <w:bottom w:w="0" w:type="dxa"/>
                  <w:right w:w="0" w:type="dxa"/>
                </w:tblCellMar>
              </w:tblPrEx>
              <w:trPr>
                <w:jc w:val="center"/>
              </w:trPr>
              <w:tc>
                <w:tcPr>
                  <w:tcW w:w="1297" w:type="pct"/>
                  <w:gridSpan w:val="2"/>
                  <w:tcBorders>
                    <w:top w:val="single" w:color="auto" w:sz="12" w:space="0"/>
                    <w:left w:val="single" w:color="auto" w:sz="12" w:space="0"/>
                    <w:bottom w:val="single" w:color="000000" w:sz="4" w:space="0"/>
                    <w:right w:val="single" w:color="000000" w:sz="4" w:space="0"/>
                  </w:tcBorders>
                  <w:shd w:val="clear" w:color="auto" w:fill="auto"/>
                  <w:vAlign w:val="center"/>
                </w:tcPr>
                <w:p w14:paraId="5B3AD529">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检测点位</w:t>
                  </w:r>
                </w:p>
              </w:tc>
              <w:tc>
                <w:tcPr>
                  <w:tcW w:w="3703" w:type="pct"/>
                  <w:gridSpan w:val="4"/>
                  <w:tcBorders>
                    <w:top w:val="single" w:color="auto" w:sz="12" w:space="0"/>
                    <w:left w:val="single" w:color="000000" w:sz="4" w:space="0"/>
                    <w:bottom w:val="single" w:color="000000" w:sz="4" w:space="0"/>
                    <w:right w:val="single" w:color="auto" w:sz="12" w:space="0"/>
                  </w:tcBorders>
                  <w:shd w:val="clear" w:color="auto" w:fill="auto"/>
                  <w:vAlign w:val="center"/>
                </w:tcPr>
                <w:p w14:paraId="7B1078D5">
                  <w:pPr>
                    <w:pStyle w:val="149"/>
                    <w:spacing w:line="360" w:lineRule="auto"/>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 xml:space="preserve">1#  </w:t>
                  </w:r>
                  <w:r>
                    <w:rPr>
                      <w:rFonts w:ascii="宋体" w:hAnsi="宋体" w:eastAsia="宋体" w:cs="宋体"/>
                      <w:sz w:val="21"/>
                      <w:szCs w:val="21"/>
                      <w:lang w:eastAsia="zh-CN"/>
                    </w:rPr>
                    <w:t>庞沟上游</w:t>
                  </w:r>
                  <w:r>
                    <w:rPr>
                      <w:rFonts w:ascii="宋体" w:hAnsi="宋体" w:eastAsia="宋体" w:cs="宋体"/>
                      <w:spacing w:val="-54"/>
                      <w:sz w:val="21"/>
                      <w:szCs w:val="21"/>
                      <w:lang w:eastAsia="zh-CN"/>
                    </w:rPr>
                    <w:t xml:space="preserve"> </w:t>
                  </w:r>
                  <w:r>
                    <w:rPr>
                      <w:rFonts w:ascii="Times New Roman" w:hAnsi="Times New Roman" w:eastAsia="Times New Roman" w:cs="Times New Roman"/>
                      <w:sz w:val="21"/>
                      <w:szCs w:val="21"/>
                      <w:lang w:eastAsia="zh-CN"/>
                    </w:rPr>
                    <w:t>500m</w:t>
                  </w:r>
                </w:p>
              </w:tc>
            </w:tr>
            <w:tr w14:paraId="7BBC97F8">
              <w:tblPrEx>
                <w:tblCellMar>
                  <w:top w:w="0" w:type="dxa"/>
                  <w:left w:w="0" w:type="dxa"/>
                  <w:bottom w:w="0" w:type="dxa"/>
                  <w:right w:w="0" w:type="dxa"/>
                </w:tblCellMar>
              </w:tblPrEx>
              <w:trPr>
                <w:jc w:val="center"/>
              </w:trPr>
              <w:tc>
                <w:tcPr>
                  <w:tcW w:w="1297" w:type="pct"/>
                  <w:gridSpan w:val="2"/>
                  <w:tcBorders>
                    <w:top w:val="single" w:color="000000" w:sz="4" w:space="0"/>
                    <w:left w:val="single" w:color="auto" w:sz="12" w:space="0"/>
                    <w:bottom w:val="single" w:color="000000" w:sz="4" w:space="0"/>
                    <w:right w:val="single" w:color="000000" w:sz="4" w:space="0"/>
                  </w:tcBorders>
                  <w:shd w:val="clear" w:color="auto" w:fill="auto"/>
                  <w:vAlign w:val="center"/>
                </w:tcPr>
                <w:p w14:paraId="73C614ED">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采样日期</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DCE13">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06</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759B0">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883E9">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08</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518" w:type="pct"/>
                  <w:vMerge w:val="restart"/>
                  <w:tcBorders>
                    <w:top w:val="single" w:color="000000" w:sz="4" w:space="0"/>
                    <w:left w:val="single" w:color="000000" w:sz="4" w:space="0"/>
                    <w:right w:val="single" w:color="auto" w:sz="12" w:space="0"/>
                  </w:tcBorders>
                  <w:shd w:val="clear" w:color="auto" w:fill="auto"/>
                  <w:vAlign w:val="center"/>
                </w:tcPr>
                <w:p w14:paraId="21A96CB8">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标准限值</w:t>
                  </w:r>
                </w:p>
              </w:tc>
            </w:tr>
            <w:tr w14:paraId="4D53058B">
              <w:tblPrEx>
                <w:tblCellMar>
                  <w:top w:w="0" w:type="dxa"/>
                  <w:left w:w="0" w:type="dxa"/>
                  <w:bottom w:w="0" w:type="dxa"/>
                  <w:right w:w="0" w:type="dxa"/>
                </w:tblCellMar>
              </w:tblPrEx>
              <w:trPr>
                <w:jc w:val="center"/>
              </w:trPr>
              <w:tc>
                <w:tcPr>
                  <w:tcW w:w="1297" w:type="pct"/>
                  <w:gridSpan w:val="2"/>
                  <w:tcBorders>
                    <w:top w:val="single" w:color="000000" w:sz="4" w:space="0"/>
                    <w:left w:val="single" w:color="auto" w:sz="12" w:space="0"/>
                    <w:bottom w:val="single" w:color="000000" w:sz="4" w:space="0"/>
                    <w:right w:val="single" w:color="000000" w:sz="4" w:space="0"/>
                  </w:tcBorders>
                  <w:shd w:val="clear" w:color="auto" w:fill="auto"/>
                  <w:vAlign w:val="center"/>
                </w:tcPr>
                <w:p w14:paraId="0D1F1017">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样品编号</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8F3BB">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DB1-1-1</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B41AD">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DB2-1-1</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33D54">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DB3-1-1</w:t>
                  </w:r>
                </w:p>
              </w:tc>
              <w:tc>
                <w:tcPr>
                  <w:tcW w:w="518" w:type="pct"/>
                  <w:vMerge w:val="continue"/>
                  <w:tcBorders>
                    <w:left w:val="single" w:color="000000" w:sz="4" w:space="0"/>
                    <w:right w:val="single" w:color="auto" w:sz="12" w:space="0"/>
                  </w:tcBorders>
                  <w:shd w:val="clear" w:color="auto" w:fill="auto"/>
                  <w:vAlign w:val="center"/>
                </w:tcPr>
                <w:p w14:paraId="7F146AD2">
                  <w:pPr>
                    <w:spacing w:line="360" w:lineRule="auto"/>
                    <w:jc w:val="center"/>
                    <w:rPr>
                      <w:rFonts w:ascii="Calibri" w:hAnsi="Calibri" w:eastAsia="宋体" w:cs="Times New Roman"/>
                      <w:szCs w:val="21"/>
                    </w:rPr>
                  </w:pPr>
                </w:p>
              </w:tc>
            </w:tr>
            <w:tr w14:paraId="7232DE21">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0508827C">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检测项目</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2927C">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单位</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A64CE">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A10CC">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33368">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518" w:type="pct"/>
                  <w:vMerge w:val="continue"/>
                  <w:tcBorders>
                    <w:left w:val="single" w:color="000000" w:sz="4" w:space="0"/>
                    <w:bottom w:val="single" w:color="000000" w:sz="4" w:space="0"/>
                    <w:right w:val="single" w:color="auto" w:sz="12" w:space="0"/>
                  </w:tcBorders>
                  <w:shd w:val="clear" w:color="auto" w:fill="auto"/>
                  <w:vAlign w:val="center"/>
                </w:tcPr>
                <w:p w14:paraId="06F7F9B2">
                  <w:pPr>
                    <w:spacing w:line="360" w:lineRule="auto"/>
                    <w:jc w:val="center"/>
                    <w:rPr>
                      <w:rFonts w:ascii="Calibri" w:hAnsi="Calibri" w:eastAsia="宋体" w:cs="Times New Roman"/>
                      <w:szCs w:val="21"/>
                    </w:rPr>
                  </w:pPr>
                </w:p>
              </w:tc>
            </w:tr>
            <w:tr w14:paraId="049FFA5B">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2480883C">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pH</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值</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71D2B">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无量纲</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6DD61">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7.99</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7954C">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8.00</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77440">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7.97</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2733ADD1">
                  <w:pPr>
                    <w:pStyle w:val="149"/>
                    <w:spacing w:line="360" w:lineRule="auto"/>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6</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9</w:t>
                  </w:r>
                </w:p>
              </w:tc>
            </w:tr>
            <w:tr w14:paraId="2106292D">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085416DB">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化学需氧量</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D7FF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2E73E">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E1E6D">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8</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1FA76">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6</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78E269EA">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20</w:t>
                  </w:r>
                </w:p>
              </w:tc>
            </w:tr>
            <w:tr w14:paraId="319A815F">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04665DDF">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五日生化需氧量</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BE22A">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06144">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2.2</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038C9">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2.7</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F2AA5">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2.0</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43D3DB8D">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4</w:t>
                  </w:r>
                </w:p>
              </w:tc>
            </w:tr>
            <w:tr w14:paraId="311E15A4">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0F61E87D">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悬浮物</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0C81F">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A1665">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25</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9DEF6">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15</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B34AB">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25</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490071E4">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w:t>
                  </w:r>
                </w:p>
              </w:tc>
            </w:tr>
            <w:tr w14:paraId="6EE6828F">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6A30F7F0">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氨氮</w:t>
                  </w:r>
                  <w:r>
                    <w:rPr>
                      <w:rFonts w:hint="eastAsia" w:ascii="宋体" w:hAnsi="宋体" w:eastAsia="宋体" w:cs="宋体"/>
                      <w:sz w:val="21"/>
                      <w:szCs w:val="21"/>
                      <w:lang w:eastAsia="zh-CN"/>
                    </w:rPr>
                    <w:t>（</w:t>
                  </w:r>
                  <w:r>
                    <w:rPr>
                      <w:rFonts w:ascii="宋体" w:hAnsi="宋体" w:eastAsia="宋体" w:cs="宋体"/>
                      <w:sz w:val="21"/>
                      <w:szCs w:val="21"/>
                      <w:lang w:eastAsia="zh-CN"/>
                    </w:rPr>
                    <w:t>以</w:t>
                  </w:r>
                  <w:r>
                    <w:rPr>
                      <w:rFonts w:ascii="宋体" w:hAnsi="宋体" w:eastAsia="宋体" w:cs="宋体"/>
                      <w:spacing w:val="-53"/>
                      <w:sz w:val="21"/>
                      <w:szCs w:val="21"/>
                      <w:lang w:eastAsia="zh-CN"/>
                    </w:rPr>
                    <w:t xml:space="preserve"> </w:t>
                  </w:r>
                  <w:r>
                    <w:rPr>
                      <w:rFonts w:ascii="Times New Roman" w:hAnsi="Times New Roman" w:eastAsia="Times New Roman" w:cs="Times New Roman"/>
                      <w:sz w:val="21"/>
                      <w:szCs w:val="21"/>
                      <w:lang w:eastAsia="zh-CN"/>
                    </w:rPr>
                    <w:t>N</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计</w:t>
                  </w:r>
                  <w:r>
                    <w:rPr>
                      <w:rFonts w:hint="eastAsia" w:ascii="宋体" w:hAnsi="宋体" w:eastAsia="宋体" w:cs="宋体"/>
                      <w:sz w:val="21"/>
                      <w:szCs w:val="21"/>
                      <w:lang w:eastAsia="zh-CN"/>
                    </w:rPr>
                    <w:t>）</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49756">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EC6B1">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0.346</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91EEF">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0.333</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49E39">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0.328</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4186E406">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1.0</w:t>
                  </w:r>
                </w:p>
              </w:tc>
            </w:tr>
            <w:tr w14:paraId="6129BCA3">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1C2B93A0">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石油类</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B1559">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EE853">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38EB2">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614A2">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3BF2801D">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0.05</w:t>
                  </w:r>
                </w:p>
              </w:tc>
            </w:tr>
            <w:tr w14:paraId="6BCAF9BE">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1936ACD5">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总磷</w:t>
                  </w:r>
                  <w:r>
                    <w:rPr>
                      <w:rFonts w:hint="eastAsia" w:ascii="宋体" w:hAnsi="宋体" w:eastAsia="宋体" w:cs="宋体"/>
                      <w:sz w:val="21"/>
                      <w:szCs w:val="21"/>
                      <w:lang w:eastAsia="zh-CN"/>
                    </w:rPr>
                    <w:t>（</w:t>
                  </w:r>
                  <w:r>
                    <w:rPr>
                      <w:rFonts w:ascii="宋体" w:hAnsi="宋体" w:eastAsia="宋体" w:cs="宋体"/>
                      <w:sz w:val="21"/>
                      <w:szCs w:val="21"/>
                      <w:lang w:eastAsia="zh-CN"/>
                    </w:rPr>
                    <w:t>以</w:t>
                  </w:r>
                  <w:r>
                    <w:rPr>
                      <w:rFonts w:ascii="宋体" w:hAnsi="宋体" w:eastAsia="宋体" w:cs="宋体"/>
                      <w:spacing w:val="-53"/>
                      <w:sz w:val="21"/>
                      <w:szCs w:val="21"/>
                      <w:lang w:eastAsia="zh-CN"/>
                    </w:rPr>
                    <w:t xml:space="preserve"> </w:t>
                  </w:r>
                  <w:r>
                    <w:rPr>
                      <w:rFonts w:ascii="Times New Roman" w:hAnsi="Times New Roman" w:eastAsia="Times New Roman" w:cs="Times New Roman"/>
                      <w:sz w:val="21"/>
                      <w:szCs w:val="21"/>
                      <w:lang w:eastAsia="zh-CN"/>
                    </w:rPr>
                    <w:t>P</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计</w:t>
                  </w:r>
                  <w:r>
                    <w:rPr>
                      <w:rFonts w:hint="eastAsia" w:ascii="宋体" w:hAnsi="宋体" w:eastAsia="宋体" w:cs="宋体"/>
                      <w:sz w:val="21"/>
                      <w:szCs w:val="21"/>
                      <w:lang w:eastAsia="zh-CN"/>
                    </w:rPr>
                    <w:t>）</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12545">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FA342">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0.02</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6D0A0">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0.02</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E6610">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0.02</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13CE48C9">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0.2</w:t>
                  </w:r>
                </w:p>
              </w:tc>
            </w:tr>
            <w:tr w14:paraId="4E89360D">
              <w:tblPrEx>
                <w:tblCellMar>
                  <w:top w:w="0" w:type="dxa"/>
                  <w:left w:w="0" w:type="dxa"/>
                  <w:bottom w:w="0" w:type="dxa"/>
                  <w:right w:w="0" w:type="dxa"/>
                </w:tblCellMar>
              </w:tblPrEx>
              <w:trPr>
                <w:jc w:val="center"/>
              </w:trPr>
              <w:tc>
                <w:tcPr>
                  <w:tcW w:w="1297" w:type="pct"/>
                  <w:gridSpan w:val="2"/>
                  <w:tcBorders>
                    <w:top w:val="single" w:color="000000" w:sz="4" w:space="0"/>
                    <w:left w:val="single" w:color="auto" w:sz="12" w:space="0"/>
                    <w:bottom w:val="single" w:color="000000" w:sz="4" w:space="0"/>
                    <w:right w:val="single" w:color="000000" w:sz="4" w:space="0"/>
                  </w:tcBorders>
                  <w:shd w:val="clear" w:color="auto" w:fill="auto"/>
                  <w:vAlign w:val="center"/>
                </w:tcPr>
                <w:p w14:paraId="64DBED1A">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检测点位</w:t>
                  </w:r>
                </w:p>
              </w:tc>
              <w:tc>
                <w:tcPr>
                  <w:tcW w:w="3703" w:type="pct"/>
                  <w:gridSpan w:val="4"/>
                  <w:tcBorders>
                    <w:top w:val="single" w:color="000000" w:sz="4" w:space="0"/>
                    <w:left w:val="single" w:color="000000" w:sz="4" w:space="0"/>
                    <w:bottom w:val="single" w:color="000000" w:sz="4" w:space="0"/>
                    <w:right w:val="single" w:color="auto" w:sz="12" w:space="0"/>
                  </w:tcBorders>
                  <w:shd w:val="clear" w:color="auto" w:fill="auto"/>
                  <w:vAlign w:val="center"/>
                </w:tcPr>
                <w:p w14:paraId="6423DAAE">
                  <w:pPr>
                    <w:pStyle w:val="149"/>
                    <w:spacing w:line="360" w:lineRule="auto"/>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 xml:space="preserve">2#  </w:t>
                  </w:r>
                  <w:r>
                    <w:rPr>
                      <w:rFonts w:ascii="宋体" w:hAnsi="宋体" w:eastAsia="宋体" w:cs="宋体"/>
                      <w:sz w:val="21"/>
                      <w:szCs w:val="21"/>
                      <w:lang w:eastAsia="zh-CN"/>
                    </w:rPr>
                    <w:t>庞沟下游</w:t>
                  </w:r>
                  <w:r>
                    <w:rPr>
                      <w:rFonts w:ascii="宋体" w:hAnsi="宋体" w:eastAsia="宋体" w:cs="宋体"/>
                      <w:spacing w:val="-53"/>
                      <w:sz w:val="21"/>
                      <w:szCs w:val="21"/>
                      <w:lang w:eastAsia="zh-CN"/>
                    </w:rPr>
                    <w:t xml:space="preserve"> </w:t>
                  </w:r>
                  <w:r>
                    <w:rPr>
                      <w:rFonts w:ascii="Times New Roman" w:hAnsi="Times New Roman" w:eastAsia="Times New Roman" w:cs="Times New Roman"/>
                      <w:sz w:val="21"/>
                      <w:szCs w:val="21"/>
                      <w:lang w:eastAsia="zh-CN"/>
                    </w:rPr>
                    <w:t>1000m</w:t>
                  </w:r>
                </w:p>
              </w:tc>
            </w:tr>
            <w:tr w14:paraId="402A595B">
              <w:tblPrEx>
                <w:tblCellMar>
                  <w:top w:w="0" w:type="dxa"/>
                  <w:left w:w="0" w:type="dxa"/>
                  <w:bottom w:w="0" w:type="dxa"/>
                  <w:right w:w="0" w:type="dxa"/>
                </w:tblCellMar>
              </w:tblPrEx>
              <w:trPr>
                <w:jc w:val="center"/>
              </w:trPr>
              <w:tc>
                <w:tcPr>
                  <w:tcW w:w="1297" w:type="pct"/>
                  <w:gridSpan w:val="2"/>
                  <w:tcBorders>
                    <w:top w:val="single" w:color="000000" w:sz="4" w:space="0"/>
                    <w:left w:val="single" w:color="auto" w:sz="12" w:space="0"/>
                    <w:bottom w:val="single" w:color="000000" w:sz="4" w:space="0"/>
                    <w:right w:val="single" w:color="000000" w:sz="4" w:space="0"/>
                  </w:tcBorders>
                  <w:shd w:val="clear" w:color="auto" w:fill="auto"/>
                  <w:vAlign w:val="center"/>
                </w:tcPr>
                <w:p w14:paraId="00EB7FB2">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采样日期</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E8383">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06</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82D1B">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7350E">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2020</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07</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月</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08</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日</w:t>
                  </w:r>
                </w:p>
              </w:tc>
              <w:tc>
                <w:tcPr>
                  <w:tcW w:w="518" w:type="pct"/>
                  <w:vMerge w:val="restart"/>
                  <w:tcBorders>
                    <w:top w:val="single" w:color="000000" w:sz="4" w:space="0"/>
                    <w:left w:val="single" w:color="000000" w:sz="4" w:space="0"/>
                    <w:right w:val="single" w:color="auto" w:sz="12" w:space="0"/>
                  </w:tcBorders>
                  <w:shd w:val="clear" w:color="auto" w:fill="auto"/>
                  <w:vAlign w:val="center"/>
                </w:tcPr>
                <w:p w14:paraId="014B4889">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标准限值</w:t>
                  </w:r>
                </w:p>
              </w:tc>
            </w:tr>
            <w:tr w14:paraId="1208F65C">
              <w:tblPrEx>
                <w:tblCellMar>
                  <w:top w:w="0" w:type="dxa"/>
                  <w:left w:w="0" w:type="dxa"/>
                  <w:bottom w:w="0" w:type="dxa"/>
                  <w:right w:w="0" w:type="dxa"/>
                </w:tblCellMar>
              </w:tblPrEx>
              <w:trPr>
                <w:jc w:val="center"/>
              </w:trPr>
              <w:tc>
                <w:tcPr>
                  <w:tcW w:w="1297" w:type="pct"/>
                  <w:gridSpan w:val="2"/>
                  <w:tcBorders>
                    <w:top w:val="single" w:color="000000" w:sz="4" w:space="0"/>
                    <w:left w:val="single" w:color="auto" w:sz="12" w:space="0"/>
                    <w:bottom w:val="single" w:color="000000" w:sz="4" w:space="0"/>
                    <w:right w:val="single" w:color="000000" w:sz="4" w:space="0"/>
                  </w:tcBorders>
                  <w:shd w:val="clear" w:color="auto" w:fill="auto"/>
                  <w:vAlign w:val="center"/>
                </w:tcPr>
                <w:p w14:paraId="33B2CAA2">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样品编号</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46E3C">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DB1-2-1</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5D54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DB2-2-1</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3EAC4">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DB3-2-1</w:t>
                  </w:r>
                </w:p>
              </w:tc>
              <w:tc>
                <w:tcPr>
                  <w:tcW w:w="518" w:type="pct"/>
                  <w:vMerge w:val="continue"/>
                  <w:tcBorders>
                    <w:left w:val="single" w:color="000000" w:sz="4" w:space="0"/>
                    <w:right w:val="single" w:color="auto" w:sz="12" w:space="0"/>
                  </w:tcBorders>
                  <w:shd w:val="clear" w:color="auto" w:fill="auto"/>
                  <w:vAlign w:val="center"/>
                </w:tcPr>
                <w:p w14:paraId="7D326992">
                  <w:pPr>
                    <w:spacing w:line="360" w:lineRule="auto"/>
                    <w:jc w:val="center"/>
                    <w:rPr>
                      <w:rFonts w:ascii="Calibri" w:hAnsi="Calibri" w:eastAsia="宋体" w:cs="Times New Roman"/>
                      <w:szCs w:val="21"/>
                    </w:rPr>
                  </w:pPr>
                </w:p>
              </w:tc>
            </w:tr>
            <w:tr w14:paraId="6682E177">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7CDFE5AF">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检测项目</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B689B">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单位</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8C9DD">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50F08">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E878A">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检测结果</w:t>
                  </w:r>
                </w:p>
              </w:tc>
              <w:tc>
                <w:tcPr>
                  <w:tcW w:w="518" w:type="pct"/>
                  <w:vMerge w:val="continue"/>
                  <w:tcBorders>
                    <w:left w:val="single" w:color="000000" w:sz="4" w:space="0"/>
                    <w:bottom w:val="single" w:color="000000" w:sz="4" w:space="0"/>
                    <w:right w:val="single" w:color="auto" w:sz="12" w:space="0"/>
                  </w:tcBorders>
                  <w:shd w:val="clear" w:color="auto" w:fill="auto"/>
                  <w:vAlign w:val="center"/>
                </w:tcPr>
                <w:p w14:paraId="4BD2869C">
                  <w:pPr>
                    <w:spacing w:line="360" w:lineRule="auto"/>
                    <w:jc w:val="center"/>
                    <w:rPr>
                      <w:rFonts w:ascii="Calibri" w:hAnsi="Calibri" w:eastAsia="宋体" w:cs="Times New Roman"/>
                      <w:szCs w:val="21"/>
                    </w:rPr>
                  </w:pPr>
                </w:p>
              </w:tc>
            </w:tr>
            <w:tr w14:paraId="139D2AD1">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4610876B">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pH</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值</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7F103">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无量纲</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5AB1A">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7.96</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1C1F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8.01</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AF015">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7.99</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0D6916D2">
                  <w:pPr>
                    <w:pStyle w:val="149"/>
                    <w:spacing w:line="360" w:lineRule="auto"/>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6</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9</w:t>
                  </w:r>
                </w:p>
              </w:tc>
            </w:tr>
            <w:tr w14:paraId="56938B68">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0F805411">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化学需氧量</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5D63C">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88F44">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D0AE1">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9</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7382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7</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6611DE8C">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20</w:t>
                  </w:r>
                </w:p>
              </w:tc>
            </w:tr>
            <w:tr w14:paraId="5E0E1CF1">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7557F9DB">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五日生化需氧量</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94809">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D5651">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2.3</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51B1E">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2.9</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E48DB">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2.2</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0DFDD62C">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4</w:t>
                  </w:r>
                </w:p>
              </w:tc>
            </w:tr>
            <w:tr w14:paraId="42EDFE18">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5E7923EA">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悬浮物</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3A418">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B0FA0">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10</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33DF9">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17</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D52EC">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17</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3642FCEE">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w:t>
                  </w:r>
                </w:p>
              </w:tc>
            </w:tr>
            <w:tr w14:paraId="0A1E2269">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3F39AB12">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氨氮</w:t>
                  </w:r>
                  <w:r>
                    <w:rPr>
                      <w:rFonts w:hint="eastAsia" w:ascii="宋体" w:hAnsi="宋体" w:eastAsia="宋体" w:cs="宋体"/>
                      <w:sz w:val="21"/>
                      <w:szCs w:val="21"/>
                      <w:lang w:eastAsia="zh-CN"/>
                    </w:rPr>
                    <w:t>（</w:t>
                  </w:r>
                  <w:r>
                    <w:rPr>
                      <w:rFonts w:ascii="宋体" w:hAnsi="宋体" w:eastAsia="宋体" w:cs="宋体"/>
                      <w:sz w:val="21"/>
                      <w:szCs w:val="21"/>
                      <w:lang w:eastAsia="zh-CN"/>
                    </w:rPr>
                    <w:t>以</w:t>
                  </w:r>
                  <w:r>
                    <w:rPr>
                      <w:rFonts w:ascii="宋体" w:hAnsi="宋体" w:eastAsia="宋体" w:cs="宋体"/>
                      <w:spacing w:val="-53"/>
                      <w:sz w:val="21"/>
                      <w:szCs w:val="21"/>
                      <w:lang w:eastAsia="zh-CN"/>
                    </w:rPr>
                    <w:t xml:space="preserve"> </w:t>
                  </w:r>
                  <w:r>
                    <w:rPr>
                      <w:rFonts w:ascii="Times New Roman" w:hAnsi="Times New Roman" w:eastAsia="Times New Roman" w:cs="Times New Roman"/>
                      <w:sz w:val="21"/>
                      <w:szCs w:val="21"/>
                      <w:lang w:eastAsia="zh-CN"/>
                    </w:rPr>
                    <w:t>N</w:t>
                  </w:r>
                  <w:r>
                    <w:rPr>
                      <w:rFonts w:ascii="Times New Roman" w:hAnsi="Times New Roman" w:eastAsia="Times New Roman" w:cs="Times New Roman"/>
                      <w:spacing w:val="1"/>
                      <w:sz w:val="21"/>
                      <w:szCs w:val="21"/>
                      <w:lang w:eastAsia="zh-CN"/>
                    </w:rPr>
                    <w:t xml:space="preserve"> </w:t>
                  </w:r>
                  <w:r>
                    <w:rPr>
                      <w:rFonts w:ascii="宋体" w:hAnsi="宋体" w:eastAsia="宋体" w:cs="宋体"/>
                      <w:sz w:val="21"/>
                      <w:szCs w:val="21"/>
                      <w:lang w:eastAsia="zh-CN"/>
                    </w:rPr>
                    <w:t>计</w:t>
                  </w:r>
                  <w:r>
                    <w:rPr>
                      <w:rFonts w:hint="eastAsia" w:ascii="宋体" w:hAnsi="宋体" w:eastAsia="宋体" w:cs="宋体"/>
                      <w:sz w:val="21"/>
                      <w:szCs w:val="21"/>
                      <w:lang w:eastAsia="zh-CN"/>
                    </w:rPr>
                    <w:t>）</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4AEE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693D6">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0.370</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229E6">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0.376</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E1607">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0.381</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219FCA3C">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1.0</w:t>
                  </w:r>
                </w:p>
              </w:tc>
            </w:tr>
            <w:tr w14:paraId="09B8CE9E">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000000" w:sz="4" w:space="0"/>
                    <w:right w:val="single" w:color="000000" w:sz="4" w:space="0"/>
                  </w:tcBorders>
                  <w:shd w:val="clear" w:color="auto" w:fill="auto"/>
                  <w:vAlign w:val="center"/>
                </w:tcPr>
                <w:p w14:paraId="411ADBFA">
                  <w:pPr>
                    <w:pStyle w:val="149"/>
                    <w:spacing w:line="360" w:lineRule="auto"/>
                    <w:jc w:val="center"/>
                    <w:rPr>
                      <w:rFonts w:ascii="宋体" w:hAnsi="宋体" w:eastAsia="宋体" w:cs="宋体"/>
                      <w:sz w:val="21"/>
                      <w:szCs w:val="21"/>
                      <w:lang w:eastAsia="zh-CN"/>
                    </w:rPr>
                  </w:pPr>
                  <w:r>
                    <w:rPr>
                      <w:rFonts w:ascii="宋体" w:hAnsi="宋体" w:eastAsia="宋体" w:cs="宋体"/>
                      <w:sz w:val="21"/>
                      <w:szCs w:val="21"/>
                      <w:lang w:eastAsia="zh-CN"/>
                    </w:rPr>
                    <w:t>石油类</w:t>
                  </w:r>
                </w:p>
              </w:tc>
              <w:tc>
                <w:tcPr>
                  <w:tcW w:w="3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5EAC0">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B94ED">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D2562">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10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FFFE9">
                  <w:pPr>
                    <w:pStyle w:val="149"/>
                    <w:spacing w:line="360" w:lineRule="auto"/>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0.01</w:t>
                  </w:r>
                  <w:r>
                    <w:rPr>
                      <w:rFonts w:hint="eastAsia" w:ascii="Times New Roman" w:hAnsi="Times New Roman" w:eastAsia="Times New Roman" w:cs="Times New Roman"/>
                      <w:sz w:val="21"/>
                      <w:szCs w:val="21"/>
                      <w:lang w:eastAsia="zh-CN"/>
                    </w:rPr>
                    <w:t>(</w:t>
                  </w:r>
                  <w:r>
                    <w:rPr>
                      <w:rFonts w:ascii="Times New Roman" w:hAnsi="Times New Roman" w:eastAsia="Times New Roman" w:cs="Times New Roman"/>
                      <w:sz w:val="21"/>
                      <w:szCs w:val="21"/>
                      <w:lang w:eastAsia="zh-CN"/>
                    </w:rPr>
                    <w:t>L</w:t>
                  </w:r>
                  <w:r>
                    <w:rPr>
                      <w:rFonts w:hint="eastAsia" w:ascii="Times New Roman" w:hAnsi="Times New Roman" w:eastAsia="Times New Roman" w:cs="Times New Roman"/>
                      <w:sz w:val="21"/>
                      <w:szCs w:val="21"/>
                      <w:lang w:eastAsia="zh-CN"/>
                    </w:rPr>
                    <w:t>)</w:t>
                  </w:r>
                </w:p>
              </w:tc>
              <w:tc>
                <w:tcPr>
                  <w:tcW w:w="518" w:type="pct"/>
                  <w:tcBorders>
                    <w:top w:val="single" w:color="000000" w:sz="4" w:space="0"/>
                    <w:left w:val="single" w:color="000000" w:sz="4" w:space="0"/>
                    <w:bottom w:val="single" w:color="000000" w:sz="4" w:space="0"/>
                    <w:right w:val="single" w:color="auto" w:sz="12" w:space="0"/>
                  </w:tcBorders>
                  <w:shd w:val="clear" w:color="auto" w:fill="auto"/>
                  <w:vAlign w:val="center"/>
                </w:tcPr>
                <w:p w14:paraId="02296949">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0.05</w:t>
                  </w:r>
                </w:p>
              </w:tc>
            </w:tr>
            <w:tr w14:paraId="41C3C856">
              <w:tblPrEx>
                <w:tblCellMar>
                  <w:top w:w="0" w:type="dxa"/>
                  <w:left w:w="0" w:type="dxa"/>
                  <w:bottom w:w="0" w:type="dxa"/>
                  <w:right w:w="0" w:type="dxa"/>
                </w:tblCellMar>
              </w:tblPrEx>
              <w:trPr>
                <w:jc w:val="center"/>
              </w:trPr>
              <w:tc>
                <w:tcPr>
                  <w:tcW w:w="905" w:type="pct"/>
                  <w:tcBorders>
                    <w:top w:val="single" w:color="000000" w:sz="4" w:space="0"/>
                    <w:left w:val="single" w:color="auto" w:sz="12" w:space="0"/>
                    <w:bottom w:val="single" w:color="auto" w:sz="12" w:space="0"/>
                    <w:right w:val="single" w:color="000000" w:sz="4" w:space="0"/>
                  </w:tcBorders>
                  <w:shd w:val="clear" w:color="auto" w:fill="auto"/>
                  <w:vAlign w:val="center"/>
                </w:tcPr>
                <w:p w14:paraId="11DB469D">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总磷</w:t>
                  </w:r>
                  <w:r>
                    <w:rPr>
                      <w:rFonts w:hint="eastAsia" w:ascii="宋体" w:hAnsi="宋体" w:eastAsia="宋体" w:cs="宋体"/>
                      <w:sz w:val="21"/>
                      <w:szCs w:val="21"/>
                      <w:lang w:eastAsia="zh-CN"/>
                    </w:rPr>
                    <w:t>（</w:t>
                  </w:r>
                  <w:r>
                    <w:rPr>
                      <w:rFonts w:ascii="宋体" w:hAnsi="宋体" w:eastAsia="宋体" w:cs="宋体"/>
                      <w:sz w:val="21"/>
                      <w:szCs w:val="21"/>
                      <w:lang w:eastAsia="zh-CN"/>
                    </w:rPr>
                    <w:t>以</w:t>
                  </w:r>
                  <w:r>
                    <w:rPr>
                      <w:rFonts w:ascii="宋体" w:hAnsi="宋体" w:eastAsia="宋体" w:cs="宋体"/>
                      <w:spacing w:val="-53"/>
                      <w:sz w:val="21"/>
                      <w:szCs w:val="21"/>
                      <w:lang w:eastAsia="zh-CN"/>
                    </w:rPr>
                    <w:t xml:space="preserve"> </w:t>
                  </w:r>
                  <w:r>
                    <w:rPr>
                      <w:rFonts w:ascii="Times New Roman" w:hAnsi="Times New Roman" w:eastAsia="Times New Roman" w:cs="Times New Roman"/>
                      <w:sz w:val="21"/>
                      <w:szCs w:val="21"/>
                      <w:lang w:eastAsia="zh-CN"/>
                    </w:rPr>
                    <w:t>P</w:t>
                  </w:r>
                  <w:r>
                    <w:rPr>
                      <w:rFonts w:ascii="Times New Roman" w:hAnsi="Times New Roman" w:eastAsia="Times New Roman" w:cs="Times New Roman"/>
                      <w:spacing w:val="2"/>
                      <w:sz w:val="21"/>
                      <w:szCs w:val="21"/>
                      <w:lang w:eastAsia="zh-CN"/>
                    </w:rPr>
                    <w:t xml:space="preserve"> </w:t>
                  </w:r>
                  <w:r>
                    <w:rPr>
                      <w:rFonts w:ascii="宋体" w:hAnsi="宋体" w:eastAsia="宋体" w:cs="宋体"/>
                      <w:sz w:val="21"/>
                      <w:szCs w:val="21"/>
                      <w:lang w:eastAsia="zh-CN"/>
                    </w:rPr>
                    <w:t>计</w:t>
                  </w:r>
                  <w:r>
                    <w:rPr>
                      <w:rFonts w:hint="eastAsia" w:ascii="宋体" w:hAnsi="宋体" w:eastAsia="宋体" w:cs="宋体"/>
                      <w:sz w:val="21"/>
                      <w:szCs w:val="21"/>
                      <w:lang w:eastAsia="zh-CN"/>
                    </w:rPr>
                    <w:t>）</w:t>
                  </w:r>
                </w:p>
              </w:tc>
              <w:tc>
                <w:tcPr>
                  <w:tcW w:w="392" w:type="pct"/>
                  <w:tcBorders>
                    <w:top w:val="single" w:color="000000" w:sz="4" w:space="0"/>
                    <w:left w:val="single" w:color="000000" w:sz="4" w:space="0"/>
                    <w:bottom w:val="single" w:color="auto" w:sz="12" w:space="0"/>
                    <w:right w:val="single" w:color="000000" w:sz="4" w:space="0"/>
                  </w:tcBorders>
                  <w:shd w:val="clear" w:color="auto" w:fill="auto"/>
                  <w:vAlign w:val="center"/>
                </w:tcPr>
                <w:p w14:paraId="2430BCE2">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mg/L</w:t>
                  </w:r>
                </w:p>
              </w:tc>
              <w:tc>
                <w:tcPr>
                  <w:tcW w:w="1062" w:type="pct"/>
                  <w:tcBorders>
                    <w:top w:val="single" w:color="000000" w:sz="4" w:space="0"/>
                    <w:left w:val="single" w:color="000000" w:sz="4" w:space="0"/>
                    <w:bottom w:val="single" w:color="auto" w:sz="12" w:space="0"/>
                    <w:right w:val="single" w:color="000000" w:sz="4" w:space="0"/>
                  </w:tcBorders>
                  <w:shd w:val="clear" w:color="auto" w:fill="auto"/>
                  <w:vAlign w:val="center"/>
                </w:tcPr>
                <w:p w14:paraId="7CCAFC1B">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0.11</w:t>
                  </w:r>
                </w:p>
              </w:tc>
              <w:tc>
                <w:tcPr>
                  <w:tcW w:w="1062" w:type="pct"/>
                  <w:tcBorders>
                    <w:top w:val="single" w:color="000000" w:sz="4" w:space="0"/>
                    <w:left w:val="single" w:color="000000" w:sz="4" w:space="0"/>
                    <w:bottom w:val="single" w:color="auto" w:sz="12" w:space="0"/>
                    <w:right w:val="single" w:color="000000" w:sz="4" w:space="0"/>
                  </w:tcBorders>
                  <w:shd w:val="clear" w:color="auto" w:fill="auto"/>
                  <w:vAlign w:val="center"/>
                </w:tcPr>
                <w:p w14:paraId="1236A3BE">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0.10</w:t>
                  </w:r>
                </w:p>
              </w:tc>
              <w:tc>
                <w:tcPr>
                  <w:tcW w:w="1062" w:type="pct"/>
                  <w:tcBorders>
                    <w:top w:val="single" w:color="000000" w:sz="4" w:space="0"/>
                    <w:left w:val="single" w:color="000000" w:sz="4" w:space="0"/>
                    <w:bottom w:val="single" w:color="auto" w:sz="12" w:space="0"/>
                    <w:right w:val="single" w:color="000000" w:sz="4" w:space="0"/>
                  </w:tcBorders>
                  <w:shd w:val="clear" w:color="auto" w:fill="auto"/>
                  <w:vAlign w:val="center"/>
                </w:tcPr>
                <w:p w14:paraId="5534588F">
                  <w:pPr>
                    <w:pStyle w:val="149"/>
                    <w:spacing w:line="360" w:lineRule="auto"/>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0.07</w:t>
                  </w:r>
                </w:p>
              </w:tc>
              <w:tc>
                <w:tcPr>
                  <w:tcW w:w="518" w:type="pct"/>
                  <w:tcBorders>
                    <w:top w:val="single" w:color="000000" w:sz="4" w:space="0"/>
                    <w:left w:val="single" w:color="000000" w:sz="4" w:space="0"/>
                    <w:bottom w:val="single" w:color="auto" w:sz="12" w:space="0"/>
                    <w:right w:val="single" w:color="auto" w:sz="12" w:space="0"/>
                  </w:tcBorders>
                  <w:shd w:val="clear" w:color="auto" w:fill="auto"/>
                  <w:vAlign w:val="center"/>
                </w:tcPr>
                <w:p w14:paraId="54364A0D">
                  <w:pPr>
                    <w:pStyle w:val="149"/>
                    <w:spacing w:line="360" w:lineRule="auto"/>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w:t>
                  </w:r>
                  <w:r>
                    <w:rPr>
                      <w:rFonts w:ascii="Times New Roman" w:hAnsi="Times New Roman" w:eastAsia="Times New Roman" w:cs="Times New Roman"/>
                      <w:sz w:val="21"/>
                      <w:szCs w:val="21"/>
                      <w:lang w:eastAsia="zh-CN"/>
                    </w:rPr>
                    <w:t>0.2</w:t>
                  </w:r>
                </w:p>
              </w:tc>
            </w:tr>
          </w:tbl>
          <w:p w14:paraId="0EE96F8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根据检测结果表明，该项目地表水1#、2#点位的pH值、化学需氧量、五日生化需氧量、氨氮、石油类、总磷均符合《地表水质量标准》GB 3838-2008表1中Ⅲ类标准限值；该项目地表水1#、2#点位的悬浮物《地表水质量标准》GB 3838-2008表1中Ⅲ类无标准限值，故此次不做评价。由此</w:t>
            </w:r>
            <w:r>
              <w:rPr>
                <w:rFonts w:ascii="Times New Roman" w:hAnsi="Times New Roman" w:eastAsia="宋体" w:cs="Times New Roman"/>
                <w:sz w:val="24"/>
                <w:szCs w:val="24"/>
              </w:rPr>
              <w:t>可知：项目地表水</w:t>
            </w:r>
            <w:r>
              <w:rPr>
                <w:rFonts w:hint="eastAsia" w:ascii="Times New Roman" w:hAnsi="Times New Roman" w:eastAsia="宋体" w:cs="Times New Roman"/>
                <w:sz w:val="24"/>
                <w:szCs w:val="24"/>
              </w:rPr>
              <w:t>庞沟</w:t>
            </w:r>
            <w:r>
              <w:rPr>
                <w:rFonts w:ascii="Times New Roman" w:hAnsi="Times New Roman" w:eastAsia="宋体" w:cs="Times New Roman"/>
                <w:sz w:val="24"/>
                <w:szCs w:val="24"/>
              </w:rPr>
              <w:t>水质满足为《地表水环境质量标准》（GB3838-2002）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3 \* ROMAN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lang w:eastAsia="zh-CN"/>
              </w:rPr>
              <w:t>Ⅲ</w:t>
            </w:r>
            <w:r>
              <w:rPr>
                <w:rFonts w:ascii="Times New Roman" w:hAnsi="Times New Roman" w:eastAsia="宋体" w:cs="Times New Roman"/>
                <w:szCs w:val="21"/>
              </w:rPr>
              <w:fldChar w:fldCharType="end"/>
            </w:r>
            <w:r>
              <w:rPr>
                <w:rFonts w:ascii="Times New Roman" w:hAnsi="Times New Roman" w:eastAsia="宋体" w:cs="Times New Roman"/>
                <w:sz w:val="24"/>
                <w:szCs w:val="24"/>
              </w:rPr>
              <w:t>类水质要求，水质良好。项目所在区域地表水环境质量较好。</w:t>
            </w:r>
          </w:p>
          <w:p w14:paraId="2C673653">
            <w:pPr>
              <w:spacing w:before="120" w:after="120" w:line="480" w:lineRule="exact"/>
              <w:rPr>
                <w:rFonts w:ascii="Times New Roman" w:hAnsi="Times New Roman" w:eastAsia="宋体" w:cs="Times New Roman"/>
                <w:sz w:val="24"/>
                <w:szCs w:val="24"/>
              </w:rPr>
            </w:pPr>
            <w:r>
              <w:rPr>
                <w:rFonts w:ascii="Times New Roman" w:hAnsi="Times New Roman" w:eastAsia="宋体" w:cs="Times New Roman"/>
                <w:b/>
                <w:sz w:val="24"/>
                <w:szCs w:val="24"/>
              </w:rPr>
              <w:t>三、声环境质量</w:t>
            </w:r>
          </w:p>
          <w:p w14:paraId="0E9BEA2B">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根据导则和项目所在地环境特征，委托</w:t>
            </w:r>
            <w:r>
              <w:rPr>
                <w:rFonts w:hint="eastAsia" w:ascii="Times New Roman" w:hAnsi="Times New Roman" w:eastAsia="宋体" w:cs="Times New Roman"/>
                <w:sz w:val="24"/>
                <w:szCs w:val="24"/>
              </w:rPr>
              <w:t>四川羽润晨环保科技有限公司</w:t>
            </w:r>
            <w:r>
              <w:rPr>
                <w:rFonts w:ascii="Times New Roman" w:hAnsi="Times New Roman" w:eastAsia="宋体" w:cs="Times New Roman"/>
                <w:sz w:val="24"/>
                <w:szCs w:val="24"/>
              </w:rPr>
              <w:t>于2020年</w:t>
            </w:r>
            <w:r>
              <w:rPr>
                <w:rFonts w:hint="eastAsia" w:ascii="Times New Roman" w:hAnsi="Times New Roman" w:eastAsia="宋体" w:cs="Times New Roman"/>
                <w:sz w:val="24"/>
                <w:szCs w:val="24"/>
                <w:lang w:eastAsia="zh-CN"/>
              </w:rPr>
              <w:t>7月6日</w:t>
            </w:r>
            <w:r>
              <w:rPr>
                <w:rFonts w:hint="eastAsia" w:ascii="Times New Roman" w:hAnsi="Times New Roman" w:eastAsia="宋体" w:cs="Times New Roman"/>
                <w:sz w:val="24"/>
                <w:szCs w:val="24"/>
              </w:rPr>
              <w:t>、</w:t>
            </w:r>
            <w:r>
              <w:rPr>
                <w:rFonts w:ascii="Times New Roman" w:hAnsi="Times New Roman" w:eastAsia="宋体" w:cs="Times New Roman"/>
                <w:sz w:val="24"/>
                <w:szCs w:val="24"/>
              </w:rPr>
              <w:t>7日在项目厂界四周设置了4个噪声监测点位，监测统计结果见下表3-3所示。</w:t>
            </w:r>
          </w:p>
          <w:p w14:paraId="0E732933">
            <w:pPr>
              <w:pStyle w:val="61"/>
              <w:widowControl w:val="0"/>
              <w:spacing w:line="240" w:lineRule="auto"/>
              <w:ind w:firstLine="0" w:firstLineChars="0"/>
              <w:jc w:val="center"/>
              <w:rPr>
                <w:rFonts w:ascii="Times New Roman" w:hAnsi="Times New Roman" w:eastAsia="宋体" w:cs="Times New Roman"/>
              </w:rPr>
            </w:pPr>
            <w:r>
              <w:rPr>
                <w:rFonts w:ascii="Times New Roman" w:hAnsi="Times New Roman" w:eastAsia="宋体" w:cs="Times New Roman"/>
              </w:rPr>
              <w:t>表3-3 声环境质量评价结果统计表</w:t>
            </w:r>
          </w:p>
          <w:tbl>
            <w:tblPr>
              <w:tblStyle w:val="26"/>
              <w:tblW w:w="0" w:type="auto"/>
              <w:jc w:val="center"/>
              <w:tblLayout w:type="autofit"/>
              <w:tblCellMar>
                <w:top w:w="0" w:type="dxa"/>
                <w:left w:w="0" w:type="dxa"/>
                <w:bottom w:w="0" w:type="dxa"/>
                <w:right w:w="0" w:type="dxa"/>
              </w:tblCellMar>
            </w:tblPr>
            <w:tblGrid>
              <w:gridCol w:w="1846"/>
              <w:gridCol w:w="2033"/>
              <w:gridCol w:w="807"/>
              <w:gridCol w:w="806"/>
              <w:gridCol w:w="1925"/>
              <w:gridCol w:w="765"/>
              <w:gridCol w:w="776"/>
            </w:tblGrid>
            <w:tr w14:paraId="56EC4CD7">
              <w:tblPrEx>
                <w:tblCellMar>
                  <w:top w:w="0" w:type="dxa"/>
                  <w:left w:w="0" w:type="dxa"/>
                  <w:bottom w:w="0" w:type="dxa"/>
                  <w:right w:w="0" w:type="dxa"/>
                </w:tblCellMar>
              </w:tblPrEx>
              <w:trPr>
                <w:jc w:val="center"/>
              </w:trPr>
              <w:tc>
                <w:tcPr>
                  <w:tcW w:w="0" w:type="auto"/>
                  <w:tcBorders>
                    <w:top w:val="single" w:color="auto" w:sz="12" w:space="0"/>
                    <w:left w:val="single" w:color="auto" w:sz="12" w:space="0"/>
                    <w:bottom w:val="single" w:color="000000" w:sz="4" w:space="0"/>
                    <w:right w:val="single" w:color="000000" w:sz="4" w:space="0"/>
                  </w:tcBorders>
                  <w:shd w:val="clear" w:color="auto" w:fill="auto"/>
                  <w:vAlign w:val="center"/>
                </w:tcPr>
                <w:p w14:paraId="73003821">
                  <w:pPr>
                    <w:pStyle w:val="149"/>
                    <w:jc w:val="center"/>
                    <w:rPr>
                      <w:rFonts w:ascii="宋体" w:hAnsi="宋体" w:eastAsia="宋体" w:cs="宋体"/>
                      <w:sz w:val="21"/>
                      <w:szCs w:val="21"/>
                    </w:rPr>
                  </w:pPr>
                  <w:r>
                    <w:rPr>
                      <w:rFonts w:ascii="宋体" w:hAnsi="宋体" w:eastAsia="宋体" w:cs="宋体"/>
                      <w:sz w:val="21"/>
                      <w:szCs w:val="21"/>
                    </w:rPr>
                    <w:t>项目地址</w:t>
                  </w:r>
                </w:p>
              </w:tc>
              <w:tc>
                <w:tcPr>
                  <w:tcW w:w="0" w:type="auto"/>
                  <w:gridSpan w:val="6"/>
                  <w:tcBorders>
                    <w:top w:val="single" w:color="auto" w:sz="12" w:space="0"/>
                    <w:left w:val="single" w:color="000000" w:sz="4" w:space="0"/>
                    <w:bottom w:val="single" w:color="000000" w:sz="4" w:space="0"/>
                    <w:right w:val="single" w:color="auto" w:sz="12" w:space="0"/>
                  </w:tcBorders>
                  <w:shd w:val="clear" w:color="auto" w:fill="auto"/>
                  <w:vAlign w:val="center"/>
                </w:tcPr>
                <w:p w14:paraId="6A764970">
                  <w:pPr>
                    <w:pStyle w:val="149"/>
                    <w:jc w:val="center"/>
                    <w:rPr>
                      <w:rFonts w:ascii="宋体" w:hAnsi="宋体" w:eastAsia="宋体" w:cs="宋体"/>
                      <w:sz w:val="21"/>
                      <w:szCs w:val="21"/>
                      <w:lang w:eastAsia="zh-CN"/>
                    </w:rPr>
                  </w:pPr>
                  <w:r>
                    <w:rPr>
                      <w:rFonts w:ascii="宋体" w:hAnsi="宋体" w:eastAsia="宋体" w:cs="宋体"/>
                      <w:sz w:val="21"/>
                      <w:szCs w:val="21"/>
                      <w:lang w:eastAsia="zh-CN"/>
                    </w:rPr>
                    <w:t>乐山市峨边彝族自治县峨边新场工业园区</w:t>
                  </w:r>
                </w:p>
              </w:tc>
            </w:tr>
            <w:tr w14:paraId="5A647E37">
              <w:tblPrEx>
                <w:tblCellMar>
                  <w:top w:w="0" w:type="dxa"/>
                  <w:left w:w="0" w:type="dxa"/>
                  <w:bottom w:w="0" w:type="dxa"/>
                  <w:right w:w="0" w:type="dxa"/>
                </w:tblCellMar>
              </w:tblPrEx>
              <w:trPr>
                <w:jc w:val="center"/>
              </w:trPr>
              <w:tc>
                <w:tcPr>
                  <w:tcW w:w="0" w:type="auto"/>
                  <w:tcBorders>
                    <w:top w:val="single" w:color="000000" w:sz="4" w:space="0"/>
                    <w:left w:val="single" w:color="auto" w:sz="12" w:space="0"/>
                    <w:bottom w:val="single" w:color="000000" w:sz="4" w:space="0"/>
                    <w:right w:val="single" w:color="000000" w:sz="4" w:space="0"/>
                  </w:tcBorders>
                  <w:shd w:val="clear" w:color="auto" w:fill="auto"/>
                  <w:vAlign w:val="center"/>
                </w:tcPr>
                <w:p w14:paraId="424CB750">
                  <w:pPr>
                    <w:pStyle w:val="149"/>
                    <w:jc w:val="center"/>
                    <w:rPr>
                      <w:rFonts w:ascii="宋体" w:hAnsi="宋体" w:eastAsia="宋体" w:cs="宋体"/>
                      <w:sz w:val="21"/>
                      <w:szCs w:val="21"/>
                    </w:rPr>
                  </w:pPr>
                  <w:r>
                    <w:rPr>
                      <w:rFonts w:ascii="宋体" w:hAnsi="宋体" w:eastAsia="宋体" w:cs="宋体"/>
                      <w:sz w:val="21"/>
                      <w:szCs w:val="21"/>
                    </w:rPr>
                    <w:t>主要噪声源</w:t>
                  </w:r>
                </w:p>
              </w:tc>
              <w:tc>
                <w:tcPr>
                  <w:tcW w:w="0" w:type="auto"/>
                  <w:gridSpan w:val="6"/>
                  <w:tcBorders>
                    <w:top w:val="single" w:color="000000" w:sz="4" w:space="0"/>
                    <w:left w:val="single" w:color="000000" w:sz="4" w:space="0"/>
                    <w:bottom w:val="single" w:color="000000" w:sz="4" w:space="0"/>
                    <w:right w:val="single" w:color="auto" w:sz="12" w:space="0"/>
                  </w:tcBorders>
                  <w:shd w:val="clear" w:color="auto" w:fill="auto"/>
                  <w:vAlign w:val="center"/>
                </w:tcPr>
                <w:p w14:paraId="14213E6C">
                  <w:pPr>
                    <w:pStyle w:val="149"/>
                    <w:jc w:val="center"/>
                    <w:rPr>
                      <w:rFonts w:ascii="宋体" w:hAnsi="宋体" w:eastAsia="宋体" w:cs="宋体"/>
                      <w:sz w:val="21"/>
                      <w:szCs w:val="21"/>
                    </w:rPr>
                  </w:pPr>
                  <w:r>
                    <w:rPr>
                      <w:rFonts w:ascii="宋体" w:hAnsi="宋体" w:eastAsia="宋体" w:cs="宋体"/>
                      <w:sz w:val="21"/>
                      <w:szCs w:val="21"/>
                    </w:rPr>
                    <w:t>社会生活</w:t>
                  </w:r>
                </w:p>
              </w:tc>
            </w:tr>
            <w:tr w14:paraId="42807830">
              <w:tblPrEx>
                <w:tblCellMar>
                  <w:top w:w="0" w:type="dxa"/>
                  <w:left w:w="0" w:type="dxa"/>
                  <w:bottom w:w="0" w:type="dxa"/>
                  <w:right w:w="0" w:type="dxa"/>
                </w:tblCellMar>
              </w:tblPrEx>
              <w:trPr>
                <w:jc w:val="center"/>
              </w:trPr>
              <w:tc>
                <w:tcPr>
                  <w:tcW w:w="0" w:type="auto"/>
                  <w:tcBorders>
                    <w:top w:val="single" w:color="000000" w:sz="4" w:space="0"/>
                    <w:left w:val="single" w:color="auto" w:sz="12" w:space="0"/>
                    <w:bottom w:val="single" w:color="000000" w:sz="4" w:space="0"/>
                    <w:right w:val="single" w:color="000000" w:sz="4" w:space="0"/>
                  </w:tcBorders>
                  <w:shd w:val="clear" w:color="auto" w:fill="auto"/>
                  <w:vAlign w:val="center"/>
                </w:tcPr>
                <w:p w14:paraId="5C4ADAAC">
                  <w:pPr>
                    <w:pStyle w:val="149"/>
                    <w:jc w:val="center"/>
                    <w:rPr>
                      <w:rFonts w:ascii="宋体" w:hAnsi="宋体" w:eastAsia="宋体" w:cs="宋体"/>
                      <w:sz w:val="21"/>
                      <w:szCs w:val="21"/>
                    </w:rPr>
                  </w:pPr>
                  <w:r>
                    <w:rPr>
                      <w:rFonts w:ascii="宋体" w:hAnsi="宋体" w:eastAsia="宋体" w:cs="宋体"/>
                      <w:sz w:val="21"/>
                      <w:szCs w:val="21"/>
                    </w:rPr>
                    <w:t>检测日期</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B3D865">
                  <w:pPr>
                    <w:pStyle w:val="149"/>
                    <w:jc w:val="center"/>
                    <w:rPr>
                      <w:rFonts w:ascii="宋体" w:hAnsi="宋体" w:eastAsia="宋体" w:cs="宋体"/>
                      <w:sz w:val="21"/>
                      <w:szCs w:val="21"/>
                    </w:rPr>
                  </w:pPr>
                  <w:r>
                    <w:rPr>
                      <w:rFonts w:ascii="Times New Roman" w:hAnsi="Times New Roman" w:eastAsia="Times New Roman" w:cs="Times New Roman"/>
                      <w:sz w:val="21"/>
                      <w:szCs w:val="21"/>
                    </w:rPr>
                    <w:t>2020</w:t>
                  </w:r>
                  <w:r>
                    <w:rPr>
                      <w:rFonts w:ascii="Times New Roman" w:hAnsi="Times New Roman" w:eastAsia="Times New Roman" w:cs="Times New Roman"/>
                      <w:spacing w:val="-2"/>
                      <w:sz w:val="21"/>
                      <w:szCs w:val="21"/>
                    </w:rPr>
                    <w:t xml:space="preserve"> </w:t>
                  </w:r>
                  <w:r>
                    <w:rPr>
                      <w:rFonts w:ascii="宋体" w:hAnsi="宋体" w:eastAsia="宋体" w:cs="宋体"/>
                      <w:sz w:val="21"/>
                      <w:szCs w:val="21"/>
                    </w:rPr>
                    <w:t>年</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07</w:t>
                  </w:r>
                  <w:r>
                    <w:rPr>
                      <w:rFonts w:ascii="Times New Roman" w:hAnsi="Times New Roman" w:eastAsia="Times New Roman" w:cs="Times New Roman"/>
                      <w:spacing w:val="-2"/>
                      <w:sz w:val="21"/>
                      <w:szCs w:val="21"/>
                    </w:rPr>
                    <w:t xml:space="preserve"> </w:t>
                  </w:r>
                  <w:r>
                    <w:rPr>
                      <w:rFonts w:ascii="宋体" w:hAnsi="宋体" w:eastAsia="宋体" w:cs="宋体"/>
                      <w:sz w:val="21"/>
                      <w:szCs w:val="21"/>
                    </w:rPr>
                    <w:t>月</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06</w:t>
                  </w:r>
                  <w:r>
                    <w:rPr>
                      <w:rFonts w:ascii="Times New Roman" w:hAnsi="Times New Roman" w:eastAsia="Times New Roman" w:cs="Times New Roman"/>
                      <w:spacing w:val="1"/>
                      <w:sz w:val="21"/>
                      <w:szCs w:val="21"/>
                    </w:rPr>
                    <w:t xml:space="preserve"> </w:t>
                  </w:r>
                  <w:r>
                    <w:rPr>
                      <w:rFonts w:ascii="宋体" w:hAnsi="宋体" w:eastAsia="宋体" w:cs="宋体"/>
                      <w:sz w:val="21"/>
                      <w:szCs w:val="21"/>
                    </w:rPr>
                    <w:t>日</w:t>
                  </w:r>
                </w:p>
              </w:tc>
              <w:tc>
                <w:tcPr>
                  <w:tcW w:w="0" w:type="auto"/>
                  <w:gridSpan w:val="3"/>
                  <w:tcBorders>
                    <w:top w:val="single" w:color="000000" w:sz="4" w:space="0"/>
                    <w:left w:val="single" w:color="000000" w:sz="4" w:space="0"/>
                    <w:bottom w:val="single" w:color="000000" w:sz="4" w:space="0"/>
                    <w:right w:val="single" w:color="auto" w:sz="12" w:space="0"/>
                  </w:tcBorders>
                  <w:shd w:val="clear" w:color="auto" w:fill="auto"/>
                  <w:vAlign w:val="center"/>
                </w:tcPr>
                <w:p w14:paraId="1481615A">
                  <w:pPr>
                    <w:pStyle w:val="149"/>
                    <w:jc w:val="center"/>
                    <w:rPr>
                      <w:rFonts w:ascii="宋体" w:hAnsi="宋体" w:eastAsia="宋体" w:cs="宋体"/>
                      <w:sz w:val="21"/>
                      <w:szCs w:val="21"/>
                    </w:rPr>
                  </w:pPr>
                  <w:r>
                    <w:rPr>
                      <w:rFonts w:ascii="Times New Roman" w:hAnsi="Times New Roman" w:eastAsia="Times New Roman" w:cs="Times New Roman"/>
                      <w:sz w:val="21"/>
                      <w:szCs w:val="21"/>
                    </w:rPr>
                    <w:t>2020</w:t>
                  </w:r>
                  <w:r>
                    <w:rPr>
                      <w:rFonts w:ascii="Times New Roman" w:hAnsi="Times New Roman" w:eastAsia="Times New Roman" w:cs="Times New Roman"/>
                      <w:spacing w:val="-2"/>
                      <w:sz w:val="21"/>
                      <w:szCs w:val="21"/>
                    </w:rPr>
                    <w:t xml:space="preserve"> </w:t>
                  </w:r>
                  <w:r>
                    <w:rPr>
                      <w:rFonts w:ascii="宋体" w:hAnsi="宋体" w:eastAsia="宋体" w:cs="宋体"/>
                      <w:sz w:val="21"/>
                      <w:szCs w:val="21"/>
                    </w:rPr>
                    <w:t>年</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07</w:t>
                  </w:r>
                  <w:r>
                    <w:rPr>
                      <w:rFonts w:ascii="Times New Roman" w:hAnsi="Times New Roman" w:eastAsia="Times New Roman" w:cs="Times New Roman"/>
                      <w:spacing w:val="-2"/>
                      <w:sz w:val="21"/>
                      <w:szCs w:val="21"/>
                    </w:rPr>
                    <w:t xml:space="preserve"> </w:t>
                  </w:r>
                  <w:r>
                    <w:rPr>
                      <w:rFonts w:ascii="宋体" w:hAnsi="宋体" w:eastAsia="宋体" w:cs="宋体"/>
                      <w:sz w:val="21"/>
                      <w:szCs w:val="21"/>
                    </w:rPr>
                    <w:t>月</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07</w:t>
                  </w:r>
                  <w:r>
                    <w:rPr>
                      <w:rFonts w:ascii="Times New Roman" w:hAnsi="Times New Roman" w:eastAsia="Times New Roman" w:cs="Times New Roman"/>
                      <w:spacing w:val="1"/>
                      <w:sz w:val="21"/>
                      <w:szCs w:val="21"/>
                    </w:rPr>
                    <w:t xml:space="preserve"> </w:t>
                  </w:r>
                  <w:r>
                    <w:rPr>
                      <w:rFonts w:ascii="宋体" w:hAnsi="宋体" w:eastAsia="宋体" w:cs="宋体"/>
                      <w:sz w:val="21"/>
                      <w:szCs w:val="21"/>
                    </w:rPr>
                    <w:t>日</w:t>
                  </w:r>
                </w:p>
              </w:tc>
            </w:tr>
            <w:tr w14:paraId="40F5CEF0">
              <w:tblPrEx>
                <w:tblCellMar>
                  <w:top w:w="0" w:type="dxa"/>
                  <w:left w:w="0" w:type="dxa"/>
                  <w:bottom w:w="0" w:type="dxa"/>
                  <w:right w:w="0" w:type="dxa"/>
                </w:tblCellMar>
              </w:tblPrEx>
              <w:trPr>
                <w:jc w:val="center"/>
              </w:trPr>
              <w:tc>
                <w:tcPr>
                  <w:tcW w:w="0" w:type="auto"/>
                  <w:tcBorders>
                    <w:top w:val="single" w:color="000000" w:sz="4" w:space="0"/>
                    <w:left w:val="single" w:color="auto" w:sz="12" w:space="0"/>
                    <w:bottom w:val="single" w:color="000000" w:sz="4" w:space="0"/>
                    <w:right w:val="single" w:color="000000" w:sz="4" w:space="0"/>
                  </w:tcBorders>
                  <w:shd w:val="clear" w:color="auto" w:fill="auto"/>
                  <w:vAlign w:val="center"/>
                </w:tcPr>
                <w:p w14:paraId="558F8FA5">
                  <w:pPr>
                    <w:pStyle w:val="149"/>
                    <w:jc w:val="center"/>
                    <w:rPr>
                      <w:rFonts w:ascii="宋体" w:hAnsi="宋体" w:eastAsia="宋体" w:cs="宋体"/>
                      <w:sz w:val="21"/>
                      <w:szCs w:val="21"/>
                    </w:rPr>
                  </w:pPr>
                  <w:r>
                    <w:rPr>
                      <w:rFonts w:ascii="宋体" w:hAnsi="宋体" w:eastAsia="宋体" w:cs="宋体"/>
                      <w:sz w:val="21"/>
                      <w:szCs w:val="21"/>
                    </w:rPr>
                    <w:t>检测条件</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868E58">
                  <w:pPr>
                    <w:pStyle w:val="149"/>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无雨雪、无雷电、晴天、风速＜</w:t>
                  </w:r>
                  <w:r>
                    <w:rPr>
                      <w:rFonts w:ascii="Times New Roman" w:hAnsi="Times New Roman" w:eastAsia="Times New Roman" w:cs="Times New Roman"/>
                      <w:sz w:val="21"/>
                      <w:szCs w:val="21"/>
                      <w:lang w:eastAsia="zh-CN"/>
                    </w:rPr>
                    <w:t>5m/s</w:t>
                  </w:r>
                </w:p>
              </w:tc>
              <w:tc>
                <w:tcPr>
                  <w:tcW w:w="0" w:type="auto"/>
                  <w:gridSpan w:val="3"/>
                  <w:tcBorders>
                    <w:top w:val="single" w:color="000000" w:sz="4" w:space="0"/>
                    <w:left w:val="single" w:color="000000" w:sz="4" w:space="0"/>
                    <w:bottom w:val="single" w:color="000000" w:sz="4" w:space="0"/>
                    <w:right w:val="single" w:color="auto" w:sz="12" w:space="0"/>
                  </w:tcBorders>
                  <w:shd w:val="clear" w:color="auto" w:fill="auto"/>
                  <w:vAlign w:val="center"/>
                </w:tcPr>
                <w:p w14:paraId="680FCB44">
                  <w:pPr>
                    <w:pStyle w:val="149"/>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无雨雪、无雷电、晴天、风速＜</w:t>
                  </w:r>
                  <w:r>
                    <w:rPr>
                      <w:rFonts w:ascii="Times New Roman" w:hAnsi="Times New Roman" w:eastAsia="Times New Roman" w:cs="Times New Roman"/>
                      <w:sz w:val="21"/>
                      <w:szCs w:val="21"/>
                      <w:lang w:eastAsia="zh-CN"/>
                    </w:rPr>
                    <w:t>5m/s</w:t>
                  </w:r>
                </w:p>
              </w:tc>
            </w:tr>
            <w:tr w14:paraId="693158BE">
              <w:tblPrEx>
                <w:tblCellMar>
                  <w:top w:w="0" w:type="dxa"/>
                  <w:left w:w="0" w:type="dxa"/>
                  <w:bottom w:w="0" w:type="dxa"/>
                  <w:right w:w="0" w:type="dxa"/>
                </w:tblCellMar>
              </w:tblPrEx>
              <w:trPr>
                <w:jc w:val="center"/>
              </w:trPr>
              <w:tc>
                <w:tcPr>
                  <w:tcW w:w="0" w:type="auto"/>
                  <w:tcBorders>
                    <w:top w:val="single" w:color="000000" w:sz="4" w:space="0"/>
                    <w:left w:val="single" w:color="auto" w:sz="12" w:space="0"/>
                    <w:bottom w:val="single" w:color="000000" w:sz="4" w:space="0"/>
                    <w:right w:val="single" w:color="000000" w:sz="4" w:space="0"/>
                  </w:tcBorders>
                  <w:shd w:val="clear" w:color="auto" w:fill="auto"/>
                  <w:vAlign w:val="center"/>
                </w:tcPr>
                <w:p w14:paraId="3110A1DC">
                  <w:pPr>
                    <w:pStyle w:val="149"/>
                    <w:jc w:val="center"/>
                    <w:rPr>
                      <w:rFonts w:ascii="宋体" w:hAnsi="宋体" w:eastAsia="宋体" w:cs="宋体"/>
                      <w:sz w:val="21"/>
                      <w:szCs w:val="21"/>
                      <w:lang w:eastAsia="zh-CN"/>
                    </w:rPr>
                  </w:pPr>
                  <w:r>
                    <w:rPr>
                      <w:rFonts w:ascii="宋体" w:hAnsi="宋体" w:eastAsia="宋体" w:cs="宋体"/>
                      <w:sz w:val="21"/>
                      <w:szCs w:val="21"/>
                      <w:lang w:eastAsia="zh-CN"/>
                    </w:rPr>
                    <w:t>仪器校准</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1E3223">
                  <w:pPr>
                    <w:pStyle w:val="149"/>
                    <w:tabs>
                      <w:tab w:val="left" w:pos="2471"/>
                    </w:tabs>
                    <w:jc w:val="center"/>
                    <w:rPr>
                      <w:rFonts w:ascii="Times New Roman" w:hAnsi="Times New Roman" w:eastAsia="Times New Roman" w:cs="Times New Roman"/>
                      <w:sz w:val="21"/>
                      <w:szCs w:val="21"/>
                      <w:lang w:eastAsia="zh-CN"/>
                    </w:rPr>
                  </w:pPr>
                  <w:r>
                    <w:rPr>
                      <w:rFonts w:ascii="宋体" w:hAnsi="宋体" w:eastAsia="宋体" w:cs="宋体"/>
                      <w:spacing w:val="-1"/>
                      <w:sz w:val="21"/>
                      <w:szCs w:val="21"/>
                      <w:lang w:eastAsia="zh-CN"/>
                    </w:rPr>
                    <w:t>检测前：</w:t>
                  </w:r>
                  <w:r>
                    <w:rPr>
                      <w:rFonts w:ascii="Times New Roman" w:hAnsi="Times New Roman" w:eastAsia="Times New Roman" w:cs="Times New Roman"/>
                      <w:spacing w:val="-1"/>
                      <w:sz w:val="21"/>
                      <w:szCs w:val="21"/>
                      <w:lang w:eastAsia="zh-CN"/>
                    </w:rPr>
                    <w:t xml:space="preserve">93.8             </w:t>
                  </w:r>
                  <w:r>
                    <w:rPr>
                      <w:rFonts w:ascii="宋体" w:hAnsi="宋体" w:eastAsia="宋体" w:cs="宋体"/>
                      <w:spacing w:val="-1"/>
                      <w:sz w:val="21"/>
                      <w:szCs w:val="21"/>
                      <w:lang w:eastAsia="zh-CN"/>
                    </w:rPr>
                    <w:t>检测后：</w:t>
                  </w:r>
                  <w:r>
                    <w:rPr>
                      <w:rFonts w:ascii="Times New Roman" w:hAnsi="Times New Roman" w:eastAsia="Times New Roman" w:cs="Times New Roman"/>
                      <w:spacing w:val="-1"/>
                      <w:sz w:val="21"/>
                      <w:szCs w:val="21"/>
                      <w:lang w:eastAsia="zh-CN"/>
                    </w:rPr>
                    <w:t>93.8</w:t>
                  </w:r>
                </w:p>
              </w:tc>
              <w:tc>
                <w:tcPr>
                  <w:tcW w:w="0" w:type="auto"/>
                  <w:gridSpan w:val="3"/>
                  <w:tcBorders>
                    <w:top w:val="single" w:color="000000" w:sz="4" w:space="0"/>
                    <w:left w:val="single" w:color="000000" w:sz="4" w:space="0"/>
                    <w:bottom w:val="single" w:color="000000" w:sz="4" w:space="0"/>
                    <w:right w:val="single" w:color="auto" w:sz="12" w:space="0"/>
                  </w:tcBorders>
                  <w:shd w:val="clear" w:color="auto" w:fill="auto"/>
                  <w:vAlign w:val="center"/>
                </w:tcPr>
                <w:p w14:paraId="2F7651EA">
                  <w:pPr>
                    <w:pStyle w:val="149"/>
                    <w:tabs>
                      <w:tab w:val="left" w:pos="2471"/>
                    </w:tabs>
                    <w:jc w:val="center"/>
                    <w:rPr>
                      <w:rFonts w:ascii="Times New Roman" w:hAnsi="Times New Roman" w:eastAsia="Times New Roman" w:cs="Times New Roman"/>
                      <w:sz w:val="21"/>
                      <w:szCs w:val="21"/>
                      <w:lang w:eastAsia="zh-CN"/>
                    </w:rPr>
                  </w:pPr>
                  <w:r>
                    <w:rPr>
                      <w:rFonts w:ascii="宋体" w:hAnsi="宋体" w:eastAsia="宋体" w:cs="宋体"/>
                      <w:spacing w:val="-1"/>
                      <w:sz w:val="21"/>
                      <w:szCs w:val="21"/>
                      <w:lang w:eastAsia="zh-CN"/>
                    </w:rPr>
                    <w:t>检测前：</w:t>
                  </w:r>
                  <w:r>
                    <w:rPr>
                      <w:rFonts w:ascii="Times New Roman" w:hAnsi="Times New Roman" w:eastAsia="Times New Roman" w:cs="Times New Roman"/>
                      <w:spacing w:val="-1"/>
                      <w:sz w:val="21"/>
                      <w:szCs w:val="21"/>
                      <w:lang w:eastAsia="zh-CN"/>
                    </w:rPr>
                    <w:t xml:space="preserve">93.8           </w:t>
                  </w:r>
                  <w:r>
                    <w:rPr>
                      <w:rFonts w:ascii="宋体" w:hAnsi="宋体" w:eastAsia="宋体" w:cs="宋体"/>
                      <w:spacing w:val="-1"/>
                      <w:sz w:val="21"/>
                      <w:szCs w:val="21"/>
                      <w:lang w:eastAsia="zh-CN"/>
                    </w:rPr>
                    <w:t>检测后：</w:t>
                  </w:r>
                  <w:r>
                    <w:rPr>
                      <w:rFonts w:ascii="Times New Roman" w:hAnsi="Times New Roman" w:eastAsia="Times New Roman" w:cs="Times New Roman"/>
                      <w:spacing w:val="-1"/>
                      <w:sz w:val="21"/>
                      <w:szCs w:val="21"/>
                      <w:lang w:eastAsia="zh-CN"/>
                    </w:rPr>
                    <w:t>93.8</w:t>
                  </w:r>
                </w:p>
              </w:tc>
            </w:tr>
            <w:tr w14:paraId="7323B8A5">
              <w:tblPrEx>
                <w:tblCellMar>
                  <w:top w:w="0" w:type="dxa"/>
                  <w:left w:w="0" w:type="dxa"/>
                  <w:bottom w:w="0" w:type="dxa"/>
                  <w:right w:w="0" w:type="dxa"/>
                </w:tblCellMar>
              </w:tblPrEx>
              <w:trPr>
                <w:jc w:val="center"/>
              </w:trPr>
              <w:tc>
                <w:tcPr>
                  <w:tcW w:w="0" w:type="auto"/>
                  <w:tcBorders>
                    <w:top w:val="single" w:color="000000" w:sz="4" w:space="0"/>
                    <w:left w:val="single" w:color="auto" w:sz="12" w:space="0"/>
                    <w:bottom w:val="single" w:color="000000" w:sz="4" w:space="0"/>
                    <w:right w:val="single" w:color="000000" w:sz="4" w:space="0"/>
                  </w:tcBorders>
                  <w:shd w:val="clear" w:color="auto" w:fill="auto"/>
                  <w:vAlign w:val="center"/>
                </w:tcPr>
                <w:p w14:paraId="25266FF4">
                  <w:pPr>
                    <w:pStyle w:val="149"/>
                    <w:jc w:val="center"/>
                    <w:rPr>
                      <w:rFonts w:ascii="宋体" w:hAnsi="宋体" w:eastAsia="宋体" w:cs="宋体"/>
                      <w:sz w:val="21"/>
                      <w:szCs w:val="21"/>
                      <w:lang w:eastAsia="zh-CN"/>
                    </w:rPr>
                  </w:pPr>
                  <w:r>
                    <w:rPr>
                      <w:rFonts w:ascii="宋体" w:hAnsi="宋体" w:eastAsia="宋体" w:cs="宋体"/>
                      <w:sz w:val="21"/>
                      <w:szCs w:val="21"/>
                      <w:lang w:eastAsia="zh-CN"/>
                    </w:rPr>
                    <w:t>检测点位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A1B1F1">
                  <w:pPr>
                    <w:pStyle w:val="149"/>
                    <w:jc w:val="center"/>
                    <w:rPr>
                      <w:rFonts w:ascii="宋体" w:hAnsi="宋体" w:eastAsia="宋体" w:cs="宋体"/>
                      <w:sz w:val="21"/>
                      <w:szCs w:val="21"/>
                      <w:lang w:eastAsia="zh-CN"/>
                    </w:rPr>
                  </w:pPr>
                  <w:r>
                    <w:rPr>
                      <w:rFonts w:ascii="宋体" w:hAnsi="宋体" w:eastAsia="宋体" w:cs="宋体"/>
                      <w:sz w:val="21"/>
                      <w:szCs w:val="21"/>
                      <w:lang w:eastAsia="zh-CN"/>
                    </w:rPr>
                    <w:t>测量时段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343D46">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Leq</w:t>
                  </w:r>
                </w:p>
                <w:p w14:paraId="6B1F6E49">
                  <w:pPr>
                    <w:pStyle w:val="149"/>
                    <w:jc w:val="center"/>
                    <w:rPr>
                      <w:rFonts w:ascii="宋体" w:hAnsi="宋体" w:eastAsia="宋体" w:cs="宋体"/>
                      <w:sz w:val="21"/>
                      <w:szCs w:val="21"/>
                      <w:lang w:eastAsia="zh-CN"/>
                    </w:rPr>
                  </w:pPr>
                  <w:r>
                    <w:rPr>
                      <w:rFonts w:hint="eastAsia" w:ascii="宋体" w:hAnsi="宋体" w:eastAsia="宋体" w:cs="宋体"/>
                      <w:sz w:val="21"/>
                      <w:szCs w:val="21"/>
                      <w:lang w:eastAsia="zh-CN"/>
                    </w:rPr>
                    <w:t>[</w:t>
                  </w:r>
                  <w:r>
                    <w:rPr>
                      <w:rFonts w:ascii="Times New Roman" w:hAnsi="Times New Roman" w:eastAsia="Times New Roman" w:cs="Times New Roman"/>
                      <w:sz w:val="21"/>
                      <w:szCs w:val="21"/>
                      <w:lang w:eastAsia="zh-CN"/>
                    </w:rPr>
                    <w:t>dB(A)</w:t>
                  </w:r>
                  <w:r>
                    <w:rPr>
                      <w:rFonts w:hint="eastAsia" w:ascii="Times New Roman" w:hAnsi="Times New Roman" w:eastAsia="Times New Roman"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6C7C7">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Lmax</w:t>
                  </w:r>
                </w:p>
                <w:p w14:paraId="5DBAEE70">
                  <w:pPr>
                    <w:pStyle w:val="149"/>
                    <w:jc w:val="center"/>
                    <w:rPr>
                      <w:rFonts w:ascii="宋体" w:hAnsi="宋体" w:eastAsia="宋体" w:cs="宋体"/>
                      <w:sz w:val="21"/>
                      <w:szCs w:val="21"/>
                      <w:lang w:eastAsia="zh-CN"/>
                    </w:rPr>
                  </w:pPr>
                  <w:r>
                    <w:rPr>
                      <w:rFonts w:hint="eastAsia" w:ascii="宋体" w:hAnsi="宋体" w:eastAsia="宋体" w:cs="宋体"/>
                      <w:sz w:val="21"/>
                      <w:szCs w:val="21"/>
                      <w:lang w:eastAsia="zh-CN"/>
                    </w:rPr>
                    <w:t>[</w:t>
                  </w:r>
                  <w:r>
                    <w:rPr>
                      <w:rFonts w:ascii="Times New Roman" w:hAnsi="Times New Roman" w:eastAsia="Times New Roman" w:cs="Times New Roman"/>
                      <w:sz w:val="21"/>
                      <w:szCs w:val="21"/>
                      <w:lang w:eastAsia="zh-CN"/>
                    </w:rPr>
                    <w:t>dB(A)</w:t>
                  </w:r>
                  <w:r>
                    <w:rPr>
                      <w:rFonts w:hint="eastAsia" w:ascii="Times New Roman" w:hAnsi="Times New Roman" w:eastAsia="Times New Roman"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5A3406">
                  <w:pPr>
                    <w:pStyle w:val="149"/>
                    <w:jc w:val="center"/>
                    <w:rPr>
                      <w:rFonts w:ascii="宋体" w:hAnsi="宋体" w:eastAsia="宋体" w:cs="宋体"/>
                      <w:sz w:val="21"/>
                      <w:szCs w:val="21"/>
                      <w:lang w:eastAsia="zh-CN"/>
                    </w:rPr>
                  </w:pPr>
                  <w:r>
                    <w:rPr>
                      <w:rFonts w:ascii="宋体" w:hAnsi="宋体" w:eastAsia="宋体" w:cs="宋体"/>
                      <w:sz w:val="21"/>
                      <w:szCs w:val="21"/>
                      <w:lang w:eastAsia="zh-CN"/>
                    </w:rPr>
                    <w:t>测量时段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8AB541">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Leq</w:t>
                  </w:r>
                </w:p>
                <w:p w14:paraId="065847BF">
                  <w:pPr>
                    <w:pStyle w:val="149"/>
                    <w:jc w:val="center"/>
                    <w:rPr>
                      <w:rFonts w:ascii="宋体" w:hAnsi="宋体" w:eastAsia="宋体" w:cs="宋体"/>
                      <w:sz w:val="21"/>
                      <w:szCs w:val="21"/>
                      <w:lang w:eastAsia="zh-CN"/>
                    </w:rPr>
                  </w:pPr>
                  <w:r>
                    <w:rPr>
                      <w:rFonts w:hint="eastAsia" w:ascii="宋体" w:hAnsi="宋体" w:eastAsia="宋体" w:cs="宋体"/>
                      <w:sz w:val="21"/>
                      <w:szCs w:val="21"/>
                      <w:lang w:eastAsia="zh-CN"/>
                    </w:rPr>
                    <w:t>[</w:t>
                  </w:r>
                  <w:r>
                    <w:rPr>
                      <w:rFonts w:ascii="Times New Roman" w:hAnsi="Times New Roman" w:eastAsia="Times New Roman" w:cs="Times New Roman"/>
                      <w:sz w:val="21"/>
                      <w:szCs w:val="21"/>
                      <w:lang w:eastAsia="zh-CN"/>
                    </w:rPr>
                    <w:t>dB(A)</w:t>
                  </w:r>
                  <w:r>
                    <w:rPr>
                      <w:rFonts w:hint="eastAsia" w:ascii="Times New Roman" w:hAnsi="Times New Roman" w:eastAsia="Times New Roman" w:cs="Times New Roman"/>
                      <w:sz w:val="21"/>
                      <w:szCs w:val="21"/>
                      <w:lang w:eastAsia="zh-CN"/>
                    </w:rPr>
                    <w:t>]</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03C528A8">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Lmax</w:t>
                  </w:r>
                </w:p>
                <w:p w14:paraId="3DB56656">
                  <w:pPr>
                    <w:pStyle w:val="149"/>
                    <w:jc w:val="center"/>
                    <w:rPr>
                      <w:rFonts w:ascii="宋体" w:hAnsi="宋体" w:eastAsia="宋体" w:cs="宋体"/>
                      <w:sz w:val="21"/>
                      <w:szCs w:val="21"/>
                      <w:lang w:eastAsia="zh-CN"/>
                    </w:rPr>
                  </w:pPr>
                  <w:r>
                    <w:rPr>
                      <w:rFonts w:hint="eastAsia" w:ascii="宋体" w:hAnsi="宋体" w:eastAsia="宋体" w:cs="宋体"/>
                      <w:sz w:val="21"/>
                      <w:szCs w:val="21"/>
                      <w:lang w:eastAsia="zh-CN"/>
                    </w:rPr>
                    <w:t>[</w:t>
                  </w:r>
                  <w:r>
                    <w:rPr>
                      <w:rFonts w:ascii="Times New Roman" w:hAnsi="Times New Roman" w:eastAsia="Times New Roman" w:cs="Times New Roman"/>
                      <w:sz w:val="21"/>
                      <w:szCs w:val="21"/>
                      <w:lang w:eastAsia="zh-CN"/>
                    </w:rPr>
                    <w:t>dB(A)</w:t>
                  </w:r>
                  <w:r>
                    <w:rPr>
                      <w:rFonts w:hint="eastAsia" w:ascii="Times New Roman" w:hAnsi="Times New Roman" w:eastAsia="Times New Roman" w:cs="Times New Roman"/>
                      <w:sz w:val="21"/>
                      <w:szCs w:val="21"/>
                      <w:lang w:eastAsia="zh-CN"/>
                    </w:rPr>
                    <w:t>]</w:t>
                  </w:r>
                </w:p>
              </w:tc>
            </w:tr>
            <w:tr w14:paraId="46EF6284">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12" w:space="0"/>
                    <w:right w:val="single" w:color="000000" w:sz="4" w:space="0"/>
                  </w:tcBorders>
                  <w:shd w:val="clear" w:color="auto" w:fill="auto"/>
                  <w:vAlign w:val="center"/>
                </w:tcPr>
                <w:p w14:paraId="3C6F961E">
                  <w:pPr>
                    <w:pStyle w:val="149"/>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1#</w:t>
                  </w:r>
                  <w:r>
                    <w:rPr>
                      <w:rFonts w:ascii="宋体" w:hAnsi="宋体" w:eastAsia="宋体" w:cs="宋体"/>
                      <w:sz w:val="21"/>
                      <w:szCs w:val="21"/>
                      <w:lang w:eastAsia="zh-CN"/>
                    </w:rPr>
                    <w:t>项目东南侧界外</w:t>
                  </w:r>
                  <w:r>
                    <w:rPr>
                      <w:rFonts w:ascii="宋体" w:hAnsi="宋体" w:eastAsia="宋体" w:cs="宋体"/>
                      <w:spacing w:val="-51"/>
                      <w:sz w:val="21"/>
                      <w:szCs w:val="21"/>
                      <w:lang w:eastAsia="zh-CN"/>
                    </w:rPr>
                    <w:t xml:space="preserve"> </w:t>
                  </w:r>
                  <w:r>
                    <w:rPr>
                      <w:rFonts w:ascii="Times New Roman" w:hAnsi="Times New Roman" w:eastAsia="Times New Roman" w:cs="Times New Roman"/>
                      <w:sz w:val="21"/>
                      <w:szCs w:val="21"/>
                      <w:lang w:eastAsia="zh-CN"/>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DEC043">
                  <w:pPr>
                    <w:pStyle w:val="149"/>
                    <w:jc w:val="center"/>
                    <w:rPr>
                      <w:rFonts w:ascii="宋体" w:hAnsi="宋体" w:eastAsia="宋体" w:cs="宋体"/>
                      <w:sz w:val="21"/>
                      <w:szCs w:val="21"/>
                      <w:lang w:eastAsia="zh-CN"/>
                    </w:rPr>
                  </w:pPr>
                  <w:r>
                    <w:rPr>
                      <w:rFonts w:ascii="Times New Roman" w:hAnsi="Times New Roman" w:eastAsia="Times New Roman" w:cs="Times New Roman"/>
                      <w:sz w:val="21"/>
                      <w:szCs w:val="21"/>
                      <w:lang w:eastAsia="zh-CN"/>
                    </w:rPr>
                    <w:t>14:06-14:16</w:t>
                  </w:r>
                  <w:r>
                    <w:rPr>
                      <w:rFonts w:ascii="宋体" w:hAnsi="宋体" w:eastAsia="宋体" w:cs="宋体"/>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828921">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D39913">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A41877">
                  <w:pPr>
                    <w:pStyle w:val="149"/>
                    <w:jc w:val="center"/>
                    <w:rPr>
                      <w:rFonts w:ascii="宋体" w:hAnsi="宋体" w:eastAsia="宋体" w:cs="宋体"/>
                      <w:sz w:val="21"/>
                      <w:szCs w:val="21"/>
                      <w:lang w:eastAsia="zh-CN"/>
                    </w:rPr>
                  </w:pPr>
                  <w:r>
                    <w:rPr>
                      <w:rFonts w:ascii="Times New Roman" w:hAnsi="Times New Roman" w:eastAsia="Times New Roman" w:cs="Times New Roman"/>
                      <w:spacing w:val="-3"/>
                      <w:sz w:val="21"/>
                      <w:szCs w:val="21"/>
                      <w:lang w:eastAsia="zh-CN"/>
                    </w:rPr>
                    <w:t>11:27-11:37</w:t>
                  </w:r>
                  <w:r>
                    <w:rPr>
                      <w:rFonts w:ascii="宋体" w:hAnsi="宋体" w:eastAsia="宋体" w:cs="宋体"/>
                      <w:spacing w:val="-3"/>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4B474C">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50</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1DFB260C">
                  <w:pPr>
                    <w:pStyle w:val="149"/>
                    <w:jc w:val="center"/>
                    <w:rPr>
                      <w:rFonts w:ascii="Times New Roman" w:hAnsi="Times New Roman" w:eastAsia="Times New Roman" w:cs="Times New Roman"/>
                      <w:sz w:val="21"/>
                      <w:szCs w:val="21"/>
                      <w:lang w:eastAsia="zh-CN"/>
                    </w:rPr>
                  </w:pPr>
                  <w:r>
                    <w:rPr>
                      <w:rFonts w:ascii="Times New Roman" w:eastAsia="宋体" w:cs="Times New Roman"/>
                      <w:sz w:val="21"/>
                      <w:szCs w:val="21"/>
                      <w:lang w:eastAsia="zh-CN"/>
                    </w:rPr>
                    <w:t>---</w:t>
                  </w:r>
                </w:p>
              </w:tc>
            </w:tr>
            <w:tr w14:paraId="3511586A">
              <w:tblPrEx>
                <w:tblCellMar>
                  <w:top w:w="0" w:type="dxa"/>
                  <w:left w:w="0" w:type="dxa"/>
                  <w:bottom w:w="0" w:type="dxa"/>
                  <w:right w:w="0" w:type="dxa"/>
                </w:tblCellMar>
              </w:tblPrEx>
              <w:trPr>
                <w:jc w:val="center"/>
              </w:trPr>
              <w:tc>
                <w:tcPr>
                  <w:tcW w:w="0" w:type="auto"/>
                  <w:vMerge w:val="continue"/>
                  <w:tcBorders>
                    <w:left w:val="single" w:color="auto" w:sz="12" w:space="0"/>
                    <w:bottom w:val="single" w:color="000000" w:sz="4" w:space="0"/>
                    <w:right w:val="single" w:color="000000" w:sz="4" w:space="0"/>
                  </w:tcBorders>
                  <w:shd w:val="clear" w:color="auto" w:fill="auto"/>
                  <w:vAlign w:val="center"/>
                </w:tcPr>
                <w:p w14:paraId="68A338B8">
                  <w:pPr>
                    <w:pStyle w:val="149"/>
                    <w:jc w:val="center"/>
                    <w:rPr>
                      <w:rFonts w:ascii="Times New Roman" w:hAnsi="Times New Roman" w:eastAsia="Times New Roman" w:cs="Times New Roman"/>
                      <w:sz w:val="21"/>
                      <w:szCs w:val="21"/>
                      <w:lang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C3D1B8">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22:44-22:54</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168BE">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2C2641">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C44E61">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z w:val="21"/>
                      <w:szCs w:val="21"/>
                      <w:lang w:eastAsia="zh-CN"/>
                    </w:rPr>
                    <w:t>22:11-22:21</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FF8CA5">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44</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10C372A2">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53</w:t>
                  </w:r>
                </w:p>
              </w:tc>
            </w:tr>
            <w:tr w14:paraId="76EF8935">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12" w:space="0"/>
                    <w:right w:val="single" w:color="000000" w:sz="4" w:space="0"/>
                  </w:tcBorders>
                  <w:shd w:val="clear" w:color="auto" w:fill="auto"/>
                  <w:vAlign w:val="center"/>
                </w:tcPr>
                <w:p w14:paraId="7579B0BF">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2#</w:t>
                  </w:r>
                  <w:r>
                    <w:rPr>
                      <w:rFonts w:ascii="宋体" w:hAnsi="宋体" w:eastAsia="宋体" w:cs="宋体"/>
                      <w:sz w:val="21"/>
                      <w:szCs w:val="21"/>
                      <w:lang w:eastAsia="zh-CN"/>
                    </w:rPr>
                    <w:t>项目西侧</w:t>
                  </w:r>
                  <w:r>
                    <w:rPr>
                      <w:rFonts w:ascii="宋体" w:hAnsi="宋体" w:eastAsia="宋体" w:cs="宋体"/>
                      <w:spacing w:val="-102"/>
                      <w:sz w:val="21"/>
                      <w:szCs w:val="21"/>
                      <w:lang w:eastAsia="zh-CN"/>
                    </w:rPr>
                    <w:t xml:space="preserve"> </w:t>
                  </w:r>
                  <w:r>
                    <w:rPr>
                      <w:rFonts w:ascii="宋体" w:hAnsi="宋体" w:eastAsia="宋体" w:cs="宋体"/>
                      <w:sz w:val="21"/>
                      <w:szCs w:val="21"/>
                      <w:lang w:eastAsia="zh-CN"/>
                    </w:rPr>
                    <w:t>界外</w:t>
                  </w:r>
                  <w:r>
                    <w:rPr>
                      <w:rFonts w:ascii="宋体" w:hAnsi="宋体" w:eastAsia="宋体" w:cs="宋体"/>
                      <w:spacing w:val="-50"/>
                      <w:sz w:val="21"/>
                      <w:szCs w:val="21"/>
                      <w:lang w:eastAsia="zh-CN"/>
                    </w:rPr>
                    <w:t xml:space="preserve"> </w:t>
                  </w:r>
                  <w:r>
                    <w:rPr>
                      <w:rFonts w:ascii="Times New Roman" w:hAnsi="Times New Roman" w:eastAsia="Times New Roman" w:cs="Times New Roman"/>
                      <w:sz w:val="21"/>
                      <w:szCs w:val="21"/>
                      <w:lang w:eastAsia="zh-CN"/>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7E9236">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13:49-13:59</w:t>
                  </w:r>
                  <w:r>
                    <w:rPr>
                      <w:rFonts w:ascii="宋体" w:hAnsi="宋体" w:eastAsia="宋体" w:cs="宋体"/>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BC0128">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4FF58">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44CC6E">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pacing w:val="-3"/>
                      <w:sz w:val="21"/>
                      <w:szCs w:val="21"/>
                      <w:lang w:eastAsia="zh-CN"/>
                    </w:rPr>
                    <w:t>11:11-11:21</w:t>
                  </w:r>
                  <w:r>
                    <w:rPr>
                      <w:rFonts w:ascii="宋体" w:hAnsi="宋体" w:eastAsia="宋体" w:cs="宋体"/>
                      <w:spacing w:val="-3"/>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635C4C">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56</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1ED89C43">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r>
            <w:tr w14:paraId="2FAE8650">
              <w:tblPrEx>
                <w:tblCellMar>
                  <w:top w:w="0" w:type="dxa"/>
                  <w:left w:w="0" w:type="dxa"/>
                  <w:bottom w:w="0" w:type="dxa"/>
                  <w:right w:w="0" w:type="dxa"/>
                </w:tblCellMar>
              </w:tblPrEx>
              <w:trPr>
                <w:jc w:val="center"/>
              </w:trPr>
              <w:tc>
                <w:tcPr>
                  <w:tcW w:w="0" w:type="auto"/>
                  <w:vMerge w:val="continue"/>
                  <w:tcBorders>
                    <w:left w:val="single" w:color="auto" w:sz="12" w:space="0"/>
                    <w:bottom w:val="single" w:color="000000" w:sz="4" w:space="0"/>
                    <w:right w:val="single" w:color="000000" w:sz="4" w:space="0"/>
                  </w:tcBorders>
                  <w:shd w:val="clear" w:color="auto" w:fill="auto"/>
                  <w:vAlign w:val="center"/>
                </w:tcPr>
                <w:p w14:paraId="5E6FB269">
                  <w:pPr>
                    <w:pStyle w:val="149"/>
                    <w:jc w:val="center"/>
                    <w:rPr>
                      <w:rFonts w:ascii="Times New Roman" w:hAnsi="Times New Roman" w:eastAsia="Times New Roman" w:cs="Times New Roman"/>
                      <w:sz w:val="21"/>
                      <w:szCs w:val="21"/>
                      <w:lang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1C3F3B">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22:28-22:38</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B2B984">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83B2D4">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70397E">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z w:val="21"/>
                      <w:szCs w:val="21"/>
                      <w:lang w:eastAsia="zh-CN"/>
                    </w:rPr>
                    <w:t>22:00-22:10</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5A85BE">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48</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01C9A43E">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55</w:t>
                  </w:r>
                </w:p>
              </w:tc>
            </w:tr>
            <w:tr w14:paraId="3FE39DDD">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12" w:space="0"/>
                    <w:right w:val="single" w:color="000000" w:sz="4" w:space="0"/>
                  </w:tcBorders>
                  <w:shd w:val="clear" w:color="auto" w:fill="auto"/>
                  <w:vAlign w:val="center"/>
                </w:tcPr>
                <w:p w14:paraId="55636FD9">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3#</w:t>
                  </w:r>
                  <w:r>
                    <w:rPr>
                      <w:rFonts w:ascii="宋体" w:hAnsi="宋体" w:eastAsia="宋体" w:cs="宋体"/>
                      <w:sz w:val="21"/>
                      <w:szCs w:val="21"/>
                      <w:lang w:eastAsia="zh-CN"/>
                    </w:rPr>
                    <w:t>项目北侧</w:t>
                  </w:r>
                  <w:r>
                    <w:rPr>
                      <w:rFonts w:ascii="宋体" w:hAnsi="宋体" w:eastAsia="宋体" w:cs="宋体"/>
                      <w:spacing w:val="-102"/>
                      <w:sz w:val="21"/>
                      <w:szCs w:val="21"/>
                      <w:lang w:eastAsia="zh-CN"/>
                    </w:rPr>
                    <w:t xml:space="preserve"> </w:t>
                  </w:r>
                  <w:r>
                    <w:rPr>
                      <w:rFonts w:ascii="宋体" w:hAnsi="宋体" w:eastAsia="宋体" w:cs="宋体"/>
                      <w:sz w:val="21"/>
                      <w:szCs w:val="21"/>
                      <w:lang w:eastAsia="zh-CN"/>
                    </w:rPr>
                    <w:t>界外</w:t>
                  </w:r>
                  <w:r>
                    <w:rPr>
                      <w:rFonts w:ascii="宋体" w:hAnsi="宋体" w:eastAsia="宋体" w:cs="宋体"/>
                      <w:spacing w:val="-50"/>
                      <w:sz w:val="21"/>
                      <w:szCs w:val="21"/>
                      <w:lang w:eastAsia="zh-CN"/>
                    </w:rPr>
                    <w:t xml:space="preserve"> </w:t>
                  </w:r>
                  <w:r>
                    <w:rPr>
                      <w:rFonts w:ascii="Times New Roman" w:hAnsi="Times New Roman" w:eastAsia="Times New Roman" w:cs="Times New Roman"/>
                      <w:sz w:val="21"/>
                      <w:szCs w:val="21"/>
                      <w:lang w:eastAsia="zh-CN"/>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C6BEEE">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14:21-14:31</w:t>
                  </w:r>
                  <w:r>
                    <w:rPr>
                      <w:rFonts w:ascii="宋体" w:hAnsi="宋体" w:eastAsia="宋体" w:cs="宋体"/>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97AE43">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053F92">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648800">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z w:val="21"/>
                      <w:szCs w:val="21"/>
                      <w:lang w:eastAsia="zh-CN"/>
                    </w:rPr>
                    <w:t>11:52-12:02</w:t>
                  </w:r>
                  <w:r>
                    <w:rPr>
                      <w:rFonts w:ascii="宋体" w:hAnsi="宋体" w:eastAsia="宋体" w:cs="宋体"/>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C2382C">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49</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13F1D777">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r>
            <w:tr w14:paraId="16F46D07">
              <w:tblPrEx>
                <w:tblCellMar>
                  <w:top w:w="0" w:type="dxa"/>
                  <w:left w:w="0" w:type="dxa"/>
                  <w:bottom w:w="0" w:type="dxa"/>
                  <w:right w:w="0" w:type="dxa"/>
                </w:tblCellMar>
              </w:tblPrEx>
              <w:trPr>
                <w:jc w:val="center"/>
              </w:trPr>
              <w:tc>
                <w:tcPr>
                  <w:tcW w:w="0" w:type="auto"/>
                  <w:vMerge w:val="continue"/>
                  <w:tcBorders>
                    <w:left w:val="single" w:color="auto" w:sz="12" w:space="0"/>
                    <w:bottom w:val="single" w:color="000000" w:sz="4" w:space="0"/>
                    <w:right w:val="single" w:color="000000" w:sz="4" w:space="0"/>
                  </w:tcBorders>
                  <w:shd w:val="clear" w:color="auto" w:fill="auto"/>
                  <w:vAlign w:val="center"/>
                </w:tcPr>
                <w:p w14:paraId="1A2BF284">
                  <w:pPr>
                    <w:pStyle w:val="149"/>
                    <w:jc w:val="center"/>
                    <w:rPr>
                      <w:rFonts w:ascii="Times New Roman" w:hAnsi="Times New Roman" w:eastAsia="Times New Roman" w:cs="Times New Roman"/>
                      <w:sz w:val="21"/>
                      <w:szCs w:val="21"/>
                      <w:lang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037384">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22:58-23:08</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736652">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2929B0">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310CDE">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z w:val="21"/>
                      <w:szCs w:val="21"/>
                      <w:lang w:eastAsia="zh-CN"/>
                    </w:rPr>
                    <w:t>22:22-22:32</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C788E0">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44</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4FDAC640">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56</w:t>
                  </w:r>
                </w:p>
              </w:tc>
            </w:tr>
            <w:tr w14:paraId="1973F04A">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12" w:space="0"/>
                    <w:right w:val="single" w:color="000000" w:sz="4" w:space="0"/>
                  </w:tcBorders>
                  <w:shd w:val="clear" w:color="auto" w:fill="auto"/>
                  <w:vAlign w:val="center"/>
                </w:tcPr>
                <w:p w14:paraId="3A076EF9">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4#</w:t>
                  </w:r>
                  <w:r>
                    <w:rPr>
                      <w:rFonts w:ascii="宋体" w:hAnsi="宋体" w:eastAsia="宋体" w:cs="宋体"/>
                      <w:sz w:val="21"/>
                      <w:szCs w:val="21"/>
                      <w:lang w:eastAsia="zh-CN"/>
                    </w:rPr>
                    <w:t>项目东侧</w:t>
                  </w:r>
                  <w:r>
                    <w:rPr>
                      <w:rFonts w:ascii="宋体" w:hAnsi="宋体" w:eastAsia="宋体" w:cs="宋体"/>
                      <w:spacing w:val="-102"/>
                      <w:sz w:val="21"/>
                      <w:szCs w:val="21"/>
                      <w:lang w:eastAsia="zh-CN"/>
                    </w:rPr>
                    <w:t xml:space="preserve"> </w:t>
                  </w:r>
                  <w:r>
                    <w:rPr>
                      <w:rFonts w:ascii="宋体" w:hAnsi="宋体" w:eastAsia="宋体" w:cs="宋体"/>
                      <w:sz w:val="21"/>
                      <w:szCs w:val="21"/>
                      <w:lang w:eastAsia="zh-CN"/>
                    </w:rPr>
                    <w:t>界外</w:t>
                  </w:r>
                  <w:r>
                    <w:rPr>
                      <w:rFonts w:ascii="宋体" w:hAnsi="宋体" w:eastAsia="宋体" w:cs="宋体"/>
                      <w:spacing w:val="-50"/>
                      <w:sz w:val="21"/>
                      <w:szCs w:val="21"/>
                      <w:lang w:eastAsia="zh-CN"/>
                    </w:rPr>
                    <w:t xml:space="preserve"> </w:t>
                  </w:r>
                  <w:r>
                    <w:rPr>
                      <w:rFonts w:ascii="Times New Roman" w:hAnsi="Times New Roman" w:eastAsia="Times New Roman" w:cs="Times New Roman"/>
                      <w:sz w:val="21"/>
                      <w:szCs w:val="21"/>
                      <w:lang w:eastAsia="zh-CN"/>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392098">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14:34-14:44</w:t>
                  </w:r>
                  <w:r>
                    <w:rPr>
                      <w:rFonts w:ascii="宋体" w:hAnsi="宋体" w:eastAsia="宋体" w:cs="宋体"/>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A454C4">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54AC1C">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5B7DE6">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pacing w:val="-3"/>
                      <w:sz w:val="21"/>
                      <w:szCs w:val="21"/>
                      <w:lang w:eastAsia="zh-CN"/>
                    </w:rPr>
                    <w:t>11:41-11:51</w:t>
                  </w:r>
                  <w:r>
                    <w:rPr>
                      <w:rFonts w:ascii="宋体" w:hAnsi="宋体" w:eastAsia="宋体" w:cs="宋体"/>
                      <w:spacing w:val="-3"/>
                      <w:sz w:val="21"/>
                      <w:szCs w:val="21"/>
                      <w:lang w:eastAsia="zh-CN"/>
                    </w:rPr>
                    <w:t>（昼间）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F99E39">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48</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6937B6FD">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w:t>
                  </w:r>
                </w:p>
              </w:tc>
            </w:tr>
            <w:tr w14:paraId="6BD83327">
              <w:tblPrEx>
                <w:tblCellMar>
                  <w:top w:w="0" w:type="dxa"/>
                  <w:left w:w="0" w:type="dxa"/>
                  <w:bottom w:w="0" w:type="dxa"/>
                  <w:right w:w="0" w:type="dxa"/>
                </w:tblCellMar>
              </w:tblPrEx>
              <w:trPr>
                <w:jc w:val="center"/>
              </w:trPr>
              <w:tc>
                <w:tcPr>
                  <w:tcW w:w="0" w:type="auto"/>
                  <w:vMerge w:val="continue"/>
                  <w:tcBorders>
                    <w:left w:val="single" w:color="auto" w:sz="12" w:space="0"/>
                    <w:bottom w:val="single" w:color="000000" w:sz="4" w:space="0"/>
                    <w:right w:val="single" w:color="000000" w:sz="4" w:space="0"/>
                  </w:tcBorders>
                  <w:shd w:val="clear" w:color="auto" w:fill="auto"/>
                  <w:vAlign w:val="center"/>
                </w:tcPr>
                <w:p w14:paraId="0FD5FB56">
                  <w:pPr>
                    <w:pStyle w:val="149"/>
                    <w:jc w:val="center"/>
                    <w:rPr>
                      <w:rFonts w:ascii="Times New Roman" w:hAnsi="Times New Roman" w:eastAsia="Times New Roman" w:cs="Times New Roman"/>
                      <w:sz w:val="21"/>
                      <w:szCs w:val="21"/>
                      <w:lang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17CB6A">
                  <w:pPr>
                    <w:pStyle w:val="149"/>
                    <w:jc w:val="center"/>
                    <w:rPr>
                      <w:rFonts w:ascii="Times New Roman" w:hAnsi="Times New Roman" w:eastAsia="Times New Roman" w:cs="Times New Roman"/>
                      <w:sz w:val="21"/>
                      <w:szCs w:val="21"/>
                      <w:lang w:eastAsia="zh-CN"/>
                    </w:rPr>
                  </w:pPr>
                  <w:r>
                    <w:rPr>
                      <w:rFonts w:ascii="Times New Roman" w:hAnsi="Times New Roman" w:eastAsia="Times New Roman" w:cs="Times New Roman"/>
                      <w:sz w:val="21"/>
                      <w:szCs w:val="21"/>
                      <w:lang w:eastAsia="zh-CN"/>
                    </w:rPr>
                    <w:t>23:17-23:27</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E36BAF">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A71209">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6BA7AF">
                  <w:pPr>
                    <w:pStyle w:val="149"/>
                    <w:jc w:val="center"/>
                    <w:rPr>
                      <w:rFonts w:ascii="Times New Roman" w:hAnsi="Times New Roman" w:eastAsia="Times New Roman" w:cs="Times New Roman"/>
                      <w:spacing w:val="-3"/>
                      <w:sz w:val="21"/>
                      <w:szCs w:val="21"/>
                      <w:lang w:eastAsia="zh-CN"/>
                    </w:rPr>
                  </w:pPr>
                  <w:r>
                    <w:rPr>
                      <w:rFonts w:ascii="Times New Roman" w:hAnsi="Times New Roman" w:eastAsia="Times New Roman" w:cs="Times New Roman"/>
                      <w:sz w:val="21"/>
                      <w:szCs w:val="21"/>
                      <w:lang w:eastAsia="zh-CN"/>
                    </w:rPr>
                    <w:t>22:32-22:42</w:t>
                  </w:r>
                  <w:r>
                    <w:rPr>
                      <w:rFonts w:ascii="宋体" w:hAnsi="宋体" w:eastAsia="宋体" w:cs="宋体"/>
                      <w:sz w:val="21"/>
                      <w:szCs w:val="21"/>
                      <w:lang w:eastAsia="zh-CN"/>
                    </w:rPr>
                    <w:t>（夜间）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0C91D4">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45</w:t>
                  </w:r>
                </w:p>
              </w:tc>
              <w:tc>
                <w:tcPr>
                  <w:tcW w:w="0" w:type="auto"/>
                  <w:tcBorders>
                    <w:top w:val="single" w:color="000000" w:sz="4" w:space="0"/>
                    <w:left w:val="single" w:color="000000" w:sz="4" w:space="0"/>
                    <w:bottom w:val="single" w:color="000000" w:sz="4" w:space="0"/>
                    <w:right w:val="single" w:color="auto" w:sz="12" w:space="0"/>
                  </w:tcBorders>
                  <w:shd w:val="clear" w:color="auto" w:fill="auto"/>
                  <w:vAlign w:val="center"/>
                </w:tcPr>
                <w:p w14:paraId="23436721">
                  <w:pPr>
                    <w:pStyle w:val="149"/>
                    <w:jc w:val="center"/>
                    <w:rPr>
                      <w:rFonts w:ascii="Times New Roman" w:eastAsia="宋体" w:cs="Times New Roman"/>
                      <w:sz w:val="21"/>
                      <w:szCs w:val="21"/>
                      <w:lang w:eastAsia="zh-CN"/>
                    </w:rPr>
                  </w:pPr>
                  <w:r>
                    <w:rPr>
                      <w:rFonts w:ascii="Times New Roman" w:eastAsia="宋体" w:cs="Times New Roman"/>
                      <w:sz w:val="21"/>
                      <w:szCs w:val="21"/>
                      <w:lang w:eastAsia="zh-CN"/>
                    </w:rPr>
                    <w:t>60</w:t>
                  </w:r>
                </w:p>
              </w:tc>
            </w:tr>
            <w:tr w14:paraId="5B5F73AD">
              <w:tblPrEx>
                <w:tblCellMar>
                  <w:top w:w="0" w:type="dxa"/>
                  <w:left w:w="0" w:type="dxa"/>
                  <w:bottom w:w="0" w:type="dxa"/>
                  <w:right w:w="0" w:type="dxa"/>
                </w:tblCellMar>
              </w:tblPrEx>
              <w:trPr>
                <w:jc w:val="center"/>
              </w:trPr>
              <w:tc>
                <w:tcPr>
                  <w:tcW w:w="0" w:type="auto"/>
                  <w:gridSpan w:val="2"/>
                  <w:tcBorders>
                    <w:top w:val="single" w:color="000000" w:sz="4" w:space="0"/>
                    <w:left w:val="single" w:color="auto" w:sz="12" w:space="0"/>
                    <w:bottom w:val="single" w:color="auto" w:sz="12" w:space="0"/>
                    <w:right w:val="single" w:color="000000" w:sz="4" w:space="0"/>
                  </w:tcBorders>
                  <w:shd w:val="clear" w:color="auto" w:fill="auto"/>
                  <w:vAlign w:val="center"/>
                </w:tcPr>
                <w:p w14:paraId="602F5B06">
                  <w:pPr>
                    <w:pStyle w:val="149"/>
                    <w:jc w:val="center"/>
                    <w:rPr>
                      <w:rFonts w:ascii="Times New Roman" w:hAnsi="Times New Roman" w:eastAsia="Times New Roman" w:cs="Times New Roman"/>
                      <w:sz w:val="21"/>
                      <w:szCs w:val="21"/>
                      <w:lang w:eastAsia="zh-CN"/>
                    </w:rPr>
                  </w:pPr>
                  <w:r>
                    <w:rPr>
                      <w:rFonts w:ascii="宋体" w:hAnsi="宋体" w:eastAsia="宋体" w:cs="宋体"/>
                      <w:sz w:val="21"/>
                      <w:szCs w:val="21"/>
                      <w:lang w:eastAsia="zh-CN"/>
                    </w:rPr>
                    <w:t>标准限值［</w:t>
                  </w:r>
                  <w:r>
                    <w:rPr>
                      <w:rFonts w:ascii="Times New Roman" w:hAnsi="Times New Roman" w:eastAsia="Times New Roman" w:cs="Times New Roman"/>
                      <w:sz w:val="21"/>
                      <w:szCs w:val="21"/>
                      <w:lang w:eastAsia="zh-CN"/>
                    </w:rPr>
                    <w:t>dB(A)</w:t>
                  </w:r>
                  <w:r>
                    <w:rPr>
                      <w:rFonts w:ascii="宋体" w:hAnsi="宋体" w:eastAsia="宋体" w:cs="宋体"/>
                      <w:sz w:val="21"/>
                      <w:szCs w:val="21"/>
                      <w:lang w:eastAsia="zh-CN"/>
                    </w:rPr>
                    <w:t>］</w:t>
                  </w:r>
                </w:p>
              </w:tc>
              <w:tc>
                <w:tcPr>
                  <w:tcW w:w="0" w:type="auto"/>
                  <w:gridSpan w:val="5"/>
                  <w:tcBorders>
                    <w:top w:val="single" w:color="000000" w:sz="4" w:space="0"/>
                    <w:left w:val="single" w:color="000000" w:sz="4" w:space="0"/>
                    <w:bottom w:val="single" w:color="auto" w:sz="12" w:space="0"/>
                    <w:right w:val="single" w:color="auto" w:sz="12" w:space="0"/>
                  </w:tcBorders>
                  <w:shd w:val="clear" w:color="auto" w:fill="auto"/>
                  <w:vAlign w:val="center"/>
                </w:tcPr>
                <w:p w14:paraId="13C3D8C3">
                  <w:pPr>
                    <w:pStyle w:val="149"/>
                    <w:jc w:val="center"/>
                    <w:rPr>
                      <w:rFonts w:ascii="Times New Roman" w:eastAsia="宋体" w:cs="Times New Roman"/>
                      <w:sz w:val="21"/>
                      <w:szCs w:val="21"/>
                      <w:lang w:eastAsia="zh-CN"/>
                    </w:rPr>
                  </w:pPr>
                  <w:r>
                    <w:rPr>
                      <w:rFonts w:ascii="宋体" w:hAnsi="宋体" w:eastAsia="宋体" w:cs="宋体"/>
                      <w:sz w:val="21"/>
                      <w:szCs w:val="21"/>
                      <w:lang w:eastAsia="zh-CN"/>
                    </w:rPr>
                    <w:t>昼间</w:t>
                  </w:r>
                  <w:r>
                    <w:rPr>
                      <w:rFonts w:ascii="宋体" w:hAnsi="宋体" w:eastAsia="宋体" w:cs="宋体"/>
                      <w:spacing w:val="-52"/>
                      <w:sz w:val="21"/>
                      <w:szCs w:val="21"/>
                      <w:lang w:eastAsia="zh-CN"/>
                    </w:rPr>
                    <w:t xml:space="preserve"> </w:t>
                  </w:r>
                  <w:r>
                    <w:rPr>
                      <w:rFonts w:ascii="Times New Roman" w:hAnsi="Times New Roman" w:eastAsia="Times New Roman" w:cs="Times New Roman"/>
                      <w:sz w:val="21"/>
                      <w:szCs w:val="21"/>
                      <w:lang w:eastAsia="zh-CN"/>
                    </w:rPr>
                    <w:t>65</w:t>
                  </w:r>
                  <w:r>
                    <w:rPr>
                      <w:rFonts w:ascii="宋体" w:hAnsi="宋体" w:eastAsia="宋体" w:cs="宋体"/>
                      <w:sz w:val="21"/>
                      <w:szCs w:val="21"/>
                      <w:lang w:eastAsia="zh-CN"/>
                    </w:rPr>
                    <w:t>，夜间</w:t>
                  </w:r>
                  <w:r>
                    <w:rPr>
                      <w:rFonts w:ascii="宋体" w:hAnsi="宋体" w:eastAsia="宋体" w:cs="宋体"/>
                      <w:spacing w:val="-52"/>
                      <w:sz w:val="21"/>
                      <w:szCs w:val="21"/>
                      <w:lang w:eastAsia="zh-CN"/>
                    </w:rPr>
                    <w:t xml:space="preserve"> </w:t>
                  </w:r>
                  <w:r>
                    <w:rPr>
                      <w:rFonts w:ascii="Times New Roman" w:hAnsi="Times New Roman" w:eastAsia="Times New Roman" w:cs="Times New Roman"/>
                      <w:spacing w:val="-3"/>
                      <w:sz w:val="21"/>
                      <w:szCs w:val="21"/>
                      <w:lang w:eastAsia="zh-CN"/>
                    </w:rPr>
                    <w:t>55</w:t>
                  </w:r>
                </w:p>
              </w:tc>
            </w:tr>
          </w:tbl>
          <w:p w14:paraId="77E58E95">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根据监测结果：通过监测报告对比可知，目前项目厂界</w:t>
            </w:r>
            <w:r>
              <w:rPr>
                <w:rFonts w:hint="eastAsia" w:ascii="Times New Roman" w:hAnsi="Times New Roman" w:eastAsia="宋体" w:cs="Times New Roman"/>
                <w:sz w:val="24"/>
                <w:szCs w:val="24"/>
              </w:rPr>
              <w:t>四周</w:t>
            </w:r>
            <w:r>
              <w:rPr>
                <w:rFonts w:ascii="Times New Roman" w:hAnsi="Times New Roman" w:eastAsia="宋体" w:cs="Times New Roman"/>
                <w:sz w:val="24"/>
                <w:szCs w:val="24"/>
              </w:rPr>
              <w:t>噪声值</w:t>
            </w:r>
            <w:r>
              <w:rPr>
                <w:rFonts w:hint="eastAsia" w:ascii="Times New Roman" w:hAnsi="Times New Roman" w:eastAsia="宋体" w:cs="Times New Roman"/>
                <w:sz w:val="24"/>
                <w:szCs w:val="24"/>
              </w:rPr>
              <w:t>符合《声环境质量标准》（GB 3096-2008）</w:t>
            </w:r>
            <w:r>
              <w:rPr>
                <w:rFonts w:ascii="Times New Roman" w:hAnsi="Times New Roman" w:eastAsia="宋体" w:cs="Times New Roman"/>
                <w:sz w:val="24"/>
                <w:szCs w:val="24"/>
              </w:rPr>
              <w:t>3类标准值要求</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项目区声环境质量良好。</w:t>
            </w:r>
          </w:p>
        </w:tc>
      </w:tr>
      <w:tr w14:paraId="37931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0" w:hRule="atLeast"/>
          <w:jc w:val="center"/>
        </w:trPr>
        <w:tc>
          <w:tcPr>
            <w:tcW w:w="5000" w:type="pct"/>
          </w:tcPr>
          <w:p w14:paraId="4448B2E6">
            <w:pPr>
              <w:autoSpaceDE w:val="0"/>
              <w:autoSpaceDN w:val="0"/>
              <w:adjustRightInd w:val="0"/>
              <w:spacing w:line="480" w:lineRule="exact"/>
              <w:ind w:firstLine="138" w:firstLineChars="49"/>
              <w:rPr>
                <w:rFonts w:ascii="Times New Roman" w:hAnsi="Times New Roman" w:eastAsia="宋体" w:cs="Times New Roman"/>
                <w:b/>
                <w:sz w:val="28"/>
                <w:szCs w:val="28"/>
              </w:rPr>
            </w:pPr>
            <w:r>
              <w:rPr>
                <w:rFonts w:ascii="Times New Roman" w:hAnsi="Times New Roman" w:eastAsia="宋体" w:cs="Times New Roman"/>
                <w:b/>
                <w:sz w:val="28"/>
                <w:szCs w:val="28"/>
              </w:rPr>
              <w:t>主要环境保护目标（列出名单及保护级别）</w:t>
            </w:r>
          </w:p>
          <w:p w14:paraId="34040237">
            <w:pPr>
              <w:spacing w:line="480" w:lineRule="exact"/>
              <w:ind w:firstLine="470" w:firstLineChars="196"/>
              <w:rPr>
                <w:rFonts w:ascii="Times New Roman" w:hAnsi="Times New Roman" w:eastAsia="宋体" w:cs="Times New Roman"/>
                <w:bCs/>
                <w:sz w:val="24"/>
              </w:rPr>
            </w:pPr>
            <w:r>
              <w:rPr>
                <w:rFonts w:ascii="Times New Roman" w:hAnsi="Times New Roman" w:eastAsia="宋体" w:cs="Times New Roman"/>
                <w:sz w:val="24"/>
                <w:szCs w:val="24"/>
              </w:rPr>
              <w:t>根据现场勘查</w:t>
            </w:r>
            <w:r>
              <w:rPr>
                <w:rFonts w:ascii="Times New Roman" w:hAnsi="Times New Roman" w:eastAsia="宋体" w:cs="Times New Roman"/>
                <w:sz w:val="24"/>
              </w:rPr>
              <w:t>项目四至情况可知：</w:t>
            </w:r>
            <w:r>
              <w:rPr>
                <w:rFonts w:hint="eastAsia" w:ascii="Times New Roman" w:hAnsi="Times New Roman" w:eastAsia="宋体" w:cs="Times New Roman"/>
                <w:sz w:val="24"/>
              </w:rPr>
              <w:t>项目厂区位于乐山市峨边彝族自治县峨边新场工业园区（原林河集团黄磷厂厂区），厂区</w:t>
            </w:r>
            <w:r>
              <w:rPr>
                <w:rFonts w:hint="eastAsia" w:ascii="Times New Roman" w:hAnsi="Times New Roman" w:eastAsia="宋体" w:cs="Times New Roman"/>
                <w:b/>
                <w:bCs/>
                <w:sz w:val="24"/>
              </w:rPr>
              <w:t>北侧</w:t>
            </w:r>
            <w:r>
              <w:rPr>
                <w:rFonts w:hint="eastAsia" w:ascii="Times New Roman" w:hAnsi="Times New Roman" w:eastAsia="宋体" w:cs="Times New Roman"/>
                <w:sz w:val="24"/>
              </w:rPr>
              <w:t>距离厂界约10m（距离车间最近约38m）为周边散居居民约7户，</w:t>
            </w:r>
            <w:r>
              <w:rPr>
                <w:rFonts w:hint="eastAsia" w:ascii="Times New Roman" w:hAnsi="Times New Roman" w:eastAsia="宋体" w:cs="Times New Roman"/>
                <w:b/>
                <w:bCs/>
                <w:sz w:val="24"/>
              </w:rPr>
              <w:t>北侧</w:t>
            </w:r>
            <w:r>
              <w:rPr>
                <w:rFonts w:hint="eastAsia" w:ascii="Times New Roman" w:hAnsi="Times New Roman" w:eastAsia="宋体" w:cs="Times New Roman"/>
                <w:sz w:val="24"/>
              </w:rPr>
              <w:t>约169m为庞沟村散居居民；</w:t>
            </w:r>
            <w:r>
              <w:rPr>
                <w:rFonts w:hint="eastAsia" w:ascii="Times New Roman" w:hAnsi="Times New Roman" w:eastAsia="宋体" w:cs="Times New Roman"/>
                <w:b/>
                <w:bCs/>
                <w:sz w:val="24"/>
              </w:rPr>
              <w:t>东侧</w:t>
            </w:r>
            <w:r>
              <w:rPr>
                <w:rFonts w:hint="eastAsia" w:ascii="Times New Roman" w:hAnsi="Times New Roman" w:eastAsia="宋体" w:cs="Times New Roman"/>
                <w:sz w:val="24"/>
              </w:rPr>
              <w:t>上坡约10m紧邻为闲置车间，厂界外皆为生产防护绿地；</w:t>
            </w:r>
            <w:r>
              <w:rPr>
                <w:rFonts w:hint="eastAsia" w:ascii="Times New Roman" w:hAnsi="Times New Roman" w:eastAsia="宋体" w:cs="Times New Roman"/>
                <w:b/>
                <w:bCs/>
                <w:sz w:val="24"/>
              </w:rPr>
              <w:t>南侧</w:t>
            </w:r>
            <w:r>
              <w:rPr>
                <w:rFonts w:hint="eastAsia" w:ascii="Times New Roman" w:hAnsi="Times New Roman" w:eastAsia="宋体" w:cs="Times New Roman"/>
                <w:sz w:val="24"/>
              </w:rPr>
              <w:t>距离厂界约7m（距离车间约101m）为散居居民约3户；</w:t>
            </w:r>
            <w:r>
              <w:rPr>
                <w:rFonts w:hint="eastAsia" w:ascii="Times New Roman" w:hAnsi="Times New Roman" w:eastAsia="宋体" w:cs="Times New Roman"/>
                <w:b/>
                <w:bCs/>
                <w:sz w:val="24"/>
              </w:rPr>
              <w:t>西南侧</w:t>
            </w:r>
            <w:r>
              <w:rPr>
                <w:rFonts w:hint="eastAsia" w:ascii="Times New Roman" w:hAnsi="Times New Roman" w:eastAsia="宋体" w:cs="Times New Roman"/>
                <w:sz w:val="24"/>
              </w:rPr>
              <w:t>距离厂界约109m分布有3户散居居民；</w:t>
            </w:r>
            <w:r>
              <w:rPr>
                <w:rFonts w:hint="eastAsia" w:ascii="Times New Roman" w:hAnsi="Times New Roman" w:eastAsia="宋体" w:cs="Times New Roman"/>
                <w:b/>
                <w:bCs/>
                <w:sz w:val="24"/>
              </w:rPr>
              <w:t>西侧</w:t>
            </w:r>
            <w:r>
              <w:rPr>
                <w:rFonts w:hint="eastAsia" w:ascii="Times New Roman" w:hAnsi="Times New Roman" w:eastAsia="宋体" w:cs="Times New Roman"/>
                <w:sz w:val="24"/>
              </w:rPr>
              <w:t>厂界紧邻顺河路、庞沟，间隔约70m有2户散居居民及生产防护绿地；</w:t>
            </w:r>
            <w:r>
              <w:rPr>
                <w:rFonts w:hint="eastAsia" w:ascii="Times New Roman" w:hAnsi="Times New Roman" w:eastAsia="宋体" w:cs="Times New Roman"/>
                <w:b/>
                <w:bCs/>
                <w:sz w:val="24"/>
              </w:rPr>
              <w:t>西北侧</w:t>
            </w:r>
            <w:r>
              <w:rPr>
                <w:rFonts w:hint="eastAsia" w:ascii="Times New Roman" w:hAnsi="Times New Roman" w:eastAsia="宋体" w:cs="Times New Roman"/>
                <w:sz w:val="24"/>
              </w:rPr>
              <w:t>距离厂界约24m（距离车间群约75m）为庞沟村及豆芽湾居民，0~200m范围内约有16户散居居民。</w:t>
            </w:r>
            <w:r>
              <w:rPr>
                <w:rFonts w:ascii="Times New Roman" w:hAnsi="Times New Roman" w:eastAsia="宋体" w:cs="Times New Roman"/>
                <w:bCs/>
                <w:sz w:val="24"/>
              </w:rPr>
              <w:t>项目主要外环境关系见附图3。</w:t>
            </w:r>
          </w:p>
          <w:p w14:paraId="18D5B799">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根据项目特点和外环境特征确定保护目标及保护级别为：</w:t>
            </w:r>
          </w:p>
          <w:p w14:paraId="59F12439">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环境空气</w:t>
            </w:r>
            <w:r>
              <w:rPr>
                <w:rFonts w:hint="eastAsia" w:ascii="Times New Roman" w:hAnsi="Times New Roman" w:eastAsia="宋体" w:cs="Times New Roman"/>
                <w:bCs/>
                <w:sz w:val="24"/>
                <w:szCs w:val="24"/>
              </w:rPr>
              <w:t>：《环境空气质量标准》（</w:t>
            </w:r>
            <w:r>
              <w:rPr>
                <w:rFonts w:ascii="Times New Roman" w:hAnsi="Times New Roman" w:eastAsia="宋体" w:cs="Times New Roman"/>
                <w:bCs/>
                <w:sz w:val="24"/>
                <w:szCs w:val="24"/>
              </w:rPr>
              <w:t>GB3095-2012</w:t>
            </w:r>
            <w:r>
              <w:rPr>
                <w:rFonts w:hint="eastAsia" w:ascii="Times New Roman" w:hAnsi="Times New Roman" w:eastAsia="宋体" w:cs="Times New Roman"/>
                <w:bCs/>
                <w:sz w:val="24"/>
                <w:szCs w:val="24"/>
              </w:rPr>
              <w:t>）二级标准要求；</w:t>
            </w:r>
          </w:p>
          <w:p w14:paraId="13078F07">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声环境</w:t>
            </w:r>
            <w:r>
              <w:rPr>
                <w:rFonts w:hint="eastAsia" w:ascii="Times New Roman" w:hAnsi="Times New Roman" w:eastAsia="宋体" w:cs="Times New Roman"/>
                <w:bCs/>
                <w:sz w:val="24"/>
                <w:szCs w:val="24"/>
              </w:rPr>
              <w:t>：《声环境质量标准》（</w:t>
            </w:r>
            <w:r>
              <w:rPr>
                <w:rFonts w:ascii="Times New Roman" w:hAnsi="Times New Roman" w:eastAsia="宋体" w:cs="Times New Roman"/>
                <w:bCs/>
                <w:sz w:val="24"/>
                <w:szCs w:val="24"/>
              </w:rPr>
              <w:t>GB3096-2008</w:t>
            </w:r>
            <w:r>
              <w:rPr>
                <w:rFonts w:hint="eastAsia" w:ascii="Times New Roman" w:hAnsi="Times New Roman" w:eastAsia="宋体" w:cs="Times New Roman"/>
                <w:bCs/>
                <w:sz w:val="24"/>
                <w:szCs w:val="24"/>
              </w:rPr>
              <w:t>）规定的</w:t>
            </w:r>
            <w:r>
              <w:rPr>
                <w:rFonts w:ascii="Times New Roman" w:hAnsi="Times New Roman" w:eastAsia="宋体" w:cs="Times New Roman"/>
                <w:bCs/>
                <w:sz w:val="24"/>
                <w:szCs w:val="24"/>
              </w:rPr>
              <w:t>3</w:t>
            </w:r>
            <w:r>
              <w:rPr>
                <w:rFonts w:hint="eastAsia" w:ascii="Times New Roman" w:hAnsi="Times New Roman" w:eastAsia="宋体" w:cs="Times New Roman"/>
                <w:bCs/>
                <w:sz w:val="24"/>
                <w:szCs w:val="24"/>
              </w:rPr>
              <w:t>类标准要求；</w:t>
            </w:r>
          </w:p>
          <w:p w14:paraId="2406BDBC">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地表水环境：</w:t>
            </w:r>
            <w:r>
              <w:rPr>
                <w:rFonts w:hint="eastAsia" w:ascii="Times New Roman" w:hAnsi="Times New Roman" w:eastAsia="宋体" w:cs="Times New Roman"/>
                <w:bCs/>
                <w:sz w:val="24"/>
                <w:szCs w:val="24"/>
              </w:rPr>
              <w:t>目标水质为《地表水环境质量标准》（</w:t>
            </w:r>
            <w:r>
              <w:rPr>
                <w:rFonts w:ascii="Times New Roman" w:hAnsi="Times New Roman" w:eastAsia="宋体" w:cs="Times New Roman"/>
                <w:bCs/>
                <w:sz w:val="24"/>
                <w:szCs w:val="24"/>
              </w:rPr>
              <w:t>GB3838-2002</w:t>
            </w:r>
            <w:r>
              <w:rPr>
                <w:rFonts w:hint="eastAsia" w:ascii="Times New Roman" w:hAnsi="Times New Roman" w:eastAsia="宋体" w:cs="Times New Roman"/>
                <w:bCs/>
                <w:sz w:val="24"/>
                <w:szCs w:val="24"/>
              </w:rPr>
              <w:t>）中Ⅲ类水域，本项目保护目标为庞沟地表水水质和水体功能不因本项目的建设而降低；</w:t>
            </w:r>
          </w:p>
          <w:p w14:paraId="31A9A5FF">
            <w:pPr>
              <w:autoSpaceDE w:val="0"/>
              <w:autoSpaceDN w:val="0"/>
              <w:adjustRightInd w:val="0"/>
              <w:spacing w:line="360" w:lineRule="auto"/>
              <w:ind w:firstLine="482" w:firstLineChars="200"/>
              <w:jc w:val="left"/>
              <w:rPr>
                <w:rFonts w:ascii="Times New Roman" w:hAnsi="Times New Roman" w:eastAsia="宋体" w:cs="Times New Roman"/>
                <w:bCs/>
                <w:sz w:val="24"/>
              </w:rPr>
            </w:pPr>
            <w:r>
              <w:rPr>
                <w:rFonts w:hint="eastAsia" w:ascii="Times New Roman" w:hAnsi="Times New Roman" w:eastAsia="宋体" w:cs="Times New Roman"/>
                <w:b/>
                <w:sz w:val="24"/>
                <w:szCs w:val="24"/>
              </w:rPr>
              <w:t>固体废物</w:t>
            </w:r>
            <w:r>
              <w:rPr>
                <w:rFonts w:hint="eastAsia" w:ascii="Times New Roman" w:hAnsi="Times New Roman" w:eastAsia="宋体" w:cs="Times New Roman"/>
                <w:bCs/>
                <w:sz w:val="24"/>
                <w:szCs w:val="24"/>
              </w:rPr>
              <w:t>：项目施工期和营运期产生的固体废物得到妥善处置，不造成二次污染。</w:t>
            </w:r>
          </w:p>
          <w:p w14:paraId="5451F32A">
            <w:pPr>
              <w:spacing w:line="360" w:lineRule="auto"/>
              <w:ind w:firstLine="470" w:firstLineChars="196"/>
              <w:rPr>
                <w:rFonts w:ascii="Times New Roman" w:hAnsi="Times New Roman" w:eastAsia="宋体" w:cs="Times New Roman"/>
                <w:sz w:val="24"/>
                <w:lang w:val="zh-CN"/>
              </w:rPr>
            </w:pPr>
            <w:r>
              <w:rPr>
                <w:rFonts w:ascii="Times New Roman" w:hAnsi="Times New Roman" w:eastAsia="宋体" w:cs="Times New Roman"/>
                <w:sz w:val="24"/>
                <w:lang w:val="zh-CN"/>
              </w:rPr>
              <w:t>根据相关要求，本项目评价范围内主要环境保护目标情况见表3-4：</w:t>
            </w:r>
          </w:p>
          <w:p w14:paraId="66EA6FB1">
            <w:pPr>
              <w:spacing w:line="360" w:lineRule="auto"/>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表3-4  项目主要环境保护目标一览表</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193"/>
              <w:gridCol w:w="1309"/>
              <w:gridCol w:w="992"/>
              <w:gridCol w:w="853"/>
              <w:gridCol w:w="1134"/>
              <w:gridCol w:w="1134"/>
              <w:gridCol w:w="2313"/>
            </w:tblGrid>
            <w:tr w14:paraId="1FC9EE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tcBorders>
                    <w:top w:val="single" w:color="auto" w:sz="12" w:space="0"/>
                    <w:left w:val="single" w:color="auto" w:sz="12" w:space="0"/>
                    <w:bottom w:val="single" w:color="auto" w:sz="12" w:space="0"/>
                    <w:right w:val="single" w:color="auto" w:sz="6" w:space="0"/>
                  </w:tcBorders>
                  <w:vAlign w:val="center"/>
                </w:tcPr>
                <w:p w14:paraId="4ACBC68C">
                  <w:pPr>
                    <w:pBdr>
                      <w:left w:val="single" w:color="auto" w:sz="12" w:space="4"/>
                      <w:right w:val="single" w:color="auto" w:sz="12" w:space="4"/>
                    </w:pBdr>
                    <w:jc w:val="center"/>
                    <w:rPr>
                      <w:rFonts w:ascii="Times New Roman" w:hAnsi="Times New Roman" w:eastAsia="宋体" w:cs="Times New Roman"/>
                      <w:bCs/>
                      <w:szCs w:val="21"/>
                    </w:rPr>
                  </w:pPr>
                  <w:bookmarkStart w:id="1" w:name="_Hlk6818423"/>
                  <w:r>
                    <w:rPr>
                      <w:rFonts w:ascii="Times New Roman" w:hAnsi="Times New Roman" w:eastAsia="宋体" w:cs="Times New Roman"/>
                      <w:bCs/>
                      <w:szCs w:val="21"/>
                    </w:rPr>
                    <w:t>环境要素</w:t>
                  </w:r>
                </w:p>
              </w:tc>
              <w:tc>
                <w:tcPr>
                  <w:tcW w:w="1309" w:type="dxa"/>
                  <w:tcBorders>
                    <w:top w:val="single" w:color="auto" w:sz="12" w:space="0"/>
                    <w:left w:val="single" w:color="auto" w:sz="6" w:space="0"/>
                    <w:bottom w:val="single" w:color="auto" w:sz="12" w:space="0"/>
                    <w:right w:val="single" w:color="auto" w:sz="6" w:space="0"/>
                  </w:tcBorders>
                  <w:vAlign w:val="center"/>
                </w:tcPr>
                <w:p w14:paraId="068CBC42">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环境保护对象名称</w:t>
                  </w:r>
                </w:p>
              </w:tc>
              <w:tc>
                <w:tcPr>
                  <w:tcW w:w="992" w:type="dxa"/>
                  <w:tcBorders>
                    <w:top w:val="single" w:color="auto" w:sz="12" w:space="0"/>
                    <w:left w:val="single" w:color="auto" w:sz="6" w:space="0"/>
                    <w:bottom w:val="single" w:color="auto" w:sz="12" w:space="0"/>
                    <w:right w:val="single" w:color="auto" w:sz="6" w:space="0"/>
                  </w:tcBorders>
                  <w:vAlign w:val="center"/>
                </w:tcPr>
                <w:p w14:paraId="601EE9D2">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方位</w:t>
                  </w:r>
                </w:p>
              </w:tc>
              <w:tc>
                <w:tcPr>
                  <w:tcW w:w="853" w:type="dxa"/>
                  <w:tcBorders>
                    <w:top w:val="single" w:color="auto" w:sz="12" w:space="0"/>
                    <w:left w:val="single" w:color="auto" w:sz="6" w:space="0"/>
                    <w:bottom w:val="single" w:color="auto" w:sz="12" w:space="0"/>
                    <w:right w:val="single" w:color="auto" w:sz="6" w:space="0"/>
                  </w:tcBorders>
                  <w:vAlign w:val="center"/>
                </w:tcPr>
                <w:p w14:paraId="1CFCFFD2">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高差</w:t>
                  </w:r>
                </w:p>
              </w:tc>
              <w:tc>
                <w:tcPr>
                  <w:tcW w:w="1134" w:type="dxa"/>
                  <w:tcBorders>
                    <w:top w:val="single" w:color="auto" w:sz="12" w:space="0"/>
                    <w:left w:val="single" w:color="auto" w:sz="6" w:space="0"/>
                    <w:bottom w:val="single" w:color="auto" w:sz="12" w:space="0"/>
                    <w:right w:val="single" w:color="auto" w:sz="6" w:space="0"/>
                  </w:tcBorders>
                  <w:vAlign w:val="center"/>
                </w:tcPr>
                <w:p w14:paraId="30EEEFA9">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最近距离</w:t>
                  </w:r>
                </w:p>
              </w:tc>
              <w:tc>
                <w:tcPr>
                  <w:tcW w:w="1134" w:type="dxa"/>
                  <w:tcBorders>
                    <w:top w:val="single" w:color="auto" w:sz="12" w:space="0"/>
                    <w:left w:val="single" w:color="auto" w:sz="6" w:space="0"/>
                    <w:bottom w:val="single" w:color="auto" w:sz="12" w:space="0"/>
                    <w:right w:val="single" w:color="auto" w:sz="6" w:space="0"/>
                  </w:tcBorders>
                  <w:vAlign w:val="center"/>
                </w:tcPr>
                <w:p w14:paraId="596CEE1A">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规模及性质</w:t>
                  </w:r>
                </w:p>
              </w:tc>
              <w:tc>
                <w:tcPr>
                  <w:tcW w:w="2313" w:type="dxa"/>
                  <w:tcBorders>
                    <w:top w:val="single" w:color="auto" w:sz="12" w:space="0"/>
                    <w:left w:val="single" w:color="auto" w:sz="6" w:space="0"/>
                    <w:bottom w:val="single" w:color="auto" w:sz="12" w:space="0"/>
                    <w:right w:val="single" w:color="auto" w:sz="12" w:space="0"/>
                  </w:tcBorders>
                  <w:vAlign w:val="center"/>
                </w:tcPr>
                <w:p w14:paraId="42F72EC4">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环境保护级别</w:t>
                  </w:r>
                </w:p>
              </w:tc>
            </w:tr>
            <w:tr w14:paraId="7B8131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restart"/>
                  <w:tcBorders>
                    <w:top w:val="single" w:color="auto" w:sz="12" w:space="0"/>
                    <w:left w:val="single" w:color="auto" w:sz="12" w:space="0"/>
                    <w:right w:val="single" w:color="auto" w:sz="6" w:space="0"/>
                  </w:tcBorders>
                  <w:vAlign w:val="center"/>
                </w:tcPr>
                <w:p w14:paraId="20CD4BB4">
                  <w:pPr>
                    <w:pBdr>
                      <w:left w:val="single" w:color="auto" w:sz="12" w:space="4"/>
                      <w:right w:val="single" w:color="auto" w:sz="12" w:space="4"/>
                    </w:pBdr>
                    <w:jc w:val="center"/>
                    <w:rPr>
                      <w:rFonts w:ascii="Times New Roman" w:hAnsi="Times New Roman" w:eastAsia="宋体" w:cs="Times New Roman"/>
                      <w:szCs w:val="21"/>
                    </w:rPr>
                  </w:pPr>
                  <w:bookmarkStart w:id="2" w:name="_Hlk325548942"/>
                  <w:r>
                    <w:rPr>
                      <w:rFonts w:ascii="Times New Roman" w:hAnsi="Times New Roman" w:eastAsia="宋体" w:cs="Times New Roman"/>
                      <w:szCs w:val="21"/>
                    </w:rPr>
                    <w:t>环境空气、声环境</w:t>
                  </w:r>
                </w:p>
              </w:tc>
              <w:tc>
                <w:tcPr>
                  <w:tcW w:w="1309" w:type="dxa"/>
                  <w:tcBorders>
                    <w:top w:val="single" w:color="auto" w:sz="12" w:space="0"/>
                    <w:left w:val="single" w:color="auto" w:sz="6" w:space="0"/>
                    <w:bottom w:val="single" w:color="auto" w:sz="6" w:space="0"/>
                    <w:right w:val="single" w:color="auto" w:sz="6" w:space="0"/>
                  </w:tcBorders>
                  <w:vAlign w:val="center"/>
                </w:tcPr>
                <w:p w14:paraId="7EDE0C6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12" w:space="0"/>
                    <w:left w:val="single" w:color="auto" w:sz="6" w:space="0"/>
                    <w:bottom w:val="single" w:color="auto" w:sz="6" w:space="0"/>
                    <w:right w:val="single" w:color="auto" w:sz="6" w:space="0"/>
                  </w:tcBorders>
                  <w:vAlign w:val="center"/>
                </w:tcPr>
                <w:p w14:paraId="278DFD3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北</w:t>
                  </w:r>
                </w:p>
              </w:tc>
              <w:tc>
                <w:tcPr>
                  <w:tcW w:w="853" w:type="dxa"/>
                  <w:tcBorders>
                    <w:top w:val="single" w:color="auto" w:sz="12" w:space="0"/>
                    <w:left w:val="single" w:color="auto" w:sz="6" w:space="0"/>
                    <w:bottom w:val="single" w:color="auto" w:sz="6" w:space="0"/>
                    <w:right w:val="single" w:color="auto" w:sz="6" w:space="0"/>
                  </w:tcBorders>
                  <w:vAlign w:val="center"/>
                </w:tcPr>
                <w:p w14:paraId="0D3728BB">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+5m</w:t>
                  </w:r>
                </w:p>
              </w:tc>
              <w:tc>
                <w:tcPr>
                  <w:tcW w:w="1134" w:type="dxa"/>
                  <w:tcBorders>
                    <w:top w:val="single" w:color="auto" w:sz="12" w:space="0"/>
                    <w:left w:val="single" w:color="auto" w:sz="6" w:space="0"/>
                    <w:bottom w:val="single" w:color="auto" w:sz="6" w:space="0"/>
                    <w:right w:val="single" w:color="auto" w:sz="6" w:space="0"/>
                  </w:tcBorders>
                  <w:vAlign w:val="center"/>
                </w:tcPr>
                <w:p w14:paraId="18223EF1">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10m</w:t>
                  </w:r>
                </w:p>
              </w:tc>
              <w:tc>
                <w:tcPr>
                  <w:tcW w:w="1134" w:type="dxa"/>
                  <w:tcBorders>
                    <w:top w:val="single" w:color="auto" w:sz="12" w:space="0"/>
                    <w:left w:val="single" w:color="auto" w:sz="6" w:space="0"/>
                    <w:bottom w:val="single" w:color="auto" w:sz="6" w:space="0"/>
                    <w:right w:val="single" w:color="auto" w:sz="6" w:space="0"/>
                  </w:tcBorders>
                  <w:vAlign w:val="center"/>
                </w:tcPr>
                <w:p w14:paraId="74D54F15">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约7户，居住生活</w:t>
                  </w:r>
                </w:p>
              </w:tc>
              <w:tc>
                <w:tcPr>
                  <w:tcW w:w="2313" w:type="dxa"/>
                  <w:vMerge w:val="restart"/>
                  <w:tcBorders>
                    <w:top w:val="single" w:color="auto" w:sz="12" w:space="0"/>
                    <w:left w:val="single" w:color="auto" w:sz="6" w:space="0"/>
                    <w:right w:val="single" w:color="auto" w:sz="12" w:space="0"/>
                  </w:tcBorders>
                  <w:vAlign w:val="center"/>
                </w:tcPr>
                <w:p w14:paraId="3647C6ED">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《环境空气质量标准》（GB3095-2012）二级；</w:t>
                  </w:r>
                </w:p>
                <w:p w14:paraId="7AA733F5">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《声环境质量标准》（GB3096-2008）2类</w:t>
                  </w:r>
                </w:p>
              </w:tc>
            </w:tr>
            <w:tr w14:paraId="4CAC4A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264AFF73">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2636B638">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6" w:space="0"/>
                    <w:left w:val="single" w:color="auto" w:sz="6" w:space="0"/>
                    <w:bottom w:val="single" w:color="auto" w:sz="6" w:space="0"/>
                    <w:right w:val="single" w:color="auto" w:sz="6" w:space="0"/>
                  </w:tcBorders>
                  <w:vAlign w:val="center"/>
                </w:tcPr>
                <w:p w14:paraId="1BF95B36">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北</w:t>
                  </w:r>
                </w:p>
              </w:tc>
              <w:tc>
                <w:tcPr>
                  <w:tcW w:w="853" w:type="dxa"/>
                  <w:tcBorders>
                    <w:top w:val="single" w:color="auto" w:sz="6" w:space="0"/>
                    <w:left w:val="single" w:color="auto" w:sz="6" w:space="0"/>
                    <w:bottom w:val="single" w:color="auto" w:sz="6" w:space="0"/>
                    <w:right w:val="single" w:color="auto" w:sz="6" w:space="0"/>
                  </w:tcBorders>
                  <w:vAlign w:val="center"/>
                </w:tcPr>
                <w:p w14:paraId="482CEA6D">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+12m</w:t>
                  </w:r>
                </w:p>
              </w:tc>
              <w:tc>
                <w:tcPr>
                  <w:tcW w:w="1134" w:type="dxa"/>
                  <w:tcBorders>
                    <w:top w:val="single" w:color="auto" w:sz="6" w:space="0"/>
                    <w:left w:val="single" w:color="auto" w:sz="6" w:space="0"/>
                    <w:bottom w:val="single" w:color="auto" w:sz="6" w:space="0"/>
                    <w:right w:val="single" w:color="auto" w:sz="6" w:space="0"/>
                  </w:tcBorders>
                  <w:vAlign w:val="center"/>
                </w:tcPr>
                <w:p w14:paraId="7E2A403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169m</w:t>
                  </w:r>
                </w:p>
              </w:tc>
              <w:tc>
                <w:tcPr>
                  <w:tcW w:w="1134" w:type="dxa"/>
                  <w:tcBorders>
                    <w:top w:val="single" w:color="auto" w:sz="6" w:space="0"/>
                    <w:left w:val="single" w:color="auto" w:sz="6" w:space="0"/>
                    <w:bottom w:val="single" w:color="auto" w:sz="6" w:space="0"/>
                    <w:right w:val="single" w:color="auto" w:sz="6" w:space="0"/>
                  </w:tcBorders>
                  <w:vAlign w:val="center"/>
                </w:tcPr>
                <w:p w14:paraId="35EDADE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约10户，居住生活</w:t>
                  </w:r>
                </w:p>
              </w:tc>
              <w:tc>
                <w:tcPr>
                  <w:tcW w:w="2313" w:type="dxa"/>
                  <w:vMerge w:val="continue"/>
                  <w:tcBorders>
                    <w:left w:val="single" w:color="auto" w:sz="6" w:space="0"/>
                    <w:right w:val="single" w:color="auto" w:sz="12" w:space="0"/>
                  </w:tcBorders>
                  <w:vAlign w:val="center"/>
                </w:tcPr>
                <w:p w14:paraId="7A348A58">
                  <w:pPr>
                    <w:pBdr>
                      <w:left w:val="single" w:color="auto" w:sz="12" w:space="4"/>
                      <w:right w:val="single" w:color="auto" w:sz="12" w:space="4"/>
                    </w:pBdr>
                    <w:jc w:val="center"/>
                    <w:rPr>
                      <w:rFonts w:ascii="Times New Roman" w:hAnsi="Times New Roman" w:eastAsia="宋体" w:cs="Times New Roman"/>
                      <w:szCs w:val="21"/>
                    </w:rPr>
                  </w:pPr>
                </w:p>
              </w:tc>
            </w:tr>
            <w:bookmarkEnd w:id="2"/>
            <w:tr w14:paraId="712519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08B6E0DF">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6ADD8634">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6" w:space="0"/>
                    <w:left w:val="single" w:color="auto" w:sz="6" w:space="0"/>
                    <w:bottom w:val="single" w:color="auto" w:sz="6" w:space="0"/>
                    <w:right w:val="single" w:color="auto" w:sz="6" w:space="0"/>
                  </w:tcBorders>
                  <w:vAlign w:val="center"/>
                </w:tcPr>
                <w:p w14:paraId="4F7265C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南</w:t>
                  </w:r>
                </w:p>
              </w:tc>
              <w:tc>
                <w:tcPr>
                  <w:tcW w:w="853" w:type="dxa"/>
                  <w:tcBorders>
                    <w:top w:val="single" w:color="auto" w:sz="6" w:space="0"/>
                    <w:left w:val="single" w:color="auto" w:sz="6" w:space="0"/>
                    <w:bottom w:val="single" w:color="auto" w:sz="6" w:space="0"/>
                    <w:right w:val="single" w:color="auto" w:sz="6" w:space="0"/>
                  </w:tcBorders>
                  <w:vAlign w:val="center"/>
                </w:tcPr>
                <w:p w14:paraId="72B6C0D4">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+1m</w:t>
                  </w:r>
                </w:p>
              </w:tc>
              <w:tc>
                <w:tcPr>
                  <w:tcW w:w="1134" w:type="dxa"/>
                  <w:tcBorders>
                    <w:top w:val="single" w:color="auto" w:sz="6" w:space="0"/>
                    <w:left w:val="single" w:color="auto" w:sz="6" w:space="0"/>
                    <w:bottom w:val="single" w:color="auto" w:sz="6" w:space="0"/>
                    <w:right w:val="single" w:color="auto" w:sz="6" w:space="0"/>
                  </w:tcBorders>
                  <w:vAlign w:val="center"/>
                </w:tcPr>
                <w:p w14:paraId="681080CC">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7m</w:t>
                  </w:r>
                </w:p>
              </w:tc>
              <w:tc>
                <w:tcPr>
                  <w:tcW w:w="1134" w:type="dxa"/>
                  <w:tcBorders>
                    <w:top w:val="single" w:color="auto" w:sz="6" w:space="0"/>
                    <w:left w:val="single" w:color="auto" w:sz="6" w:space="0"/>
                    <w:bottom w:val="single" w:color="auto" w:sz="6" w:space="0"/>
                    <w:right w:val="single" w:color="auto" w:sz="6" w:space="0"/>
                  </w:tcBorders>
                  <w:vAlign w:val="center"/>
                </w:tcPr>
                <w:p w14:paraId="5C29EEA5">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约3户，居住生活</w:t>
                  </w:r>
                </w:p>
              </w:tc>
              <w:tc>
                <w:tcPr>
                  <w:tcW w:w="2313" w:type="dxa"/>
                  <w:vMerge w:val="continue"/>
                  <w:tcBorders>
                    <w:left w:val="single" w:color="auto" w:sz="6" w:space="0"/>
                    <w:right w:val="single" w:color="auto" w:sz="12" w:space="0"/>
                  </w:tcBorders>
                  <w:vAlign w:val="center"/>
                </w:tcPr>
                <w:p w14:paraId="4FB5164B">
                  <w:pPr>
                    <w:pBdr>
                      <w:left w:val="single" w:color="auto" w:sz="12" w:space="4"/>
                      <w:right w:val="single" w:color="auto" w:sz="12" w:space="4"/>
                    </w:pBdr>
                    <w:jc w:val="center"/>
                    <w:rPr>
                      <w:rFonts w:ascii="Times New Roman" w:hAnsi="Times New Roman" w:eastAsia="宋体" w:cs="Times New Roman"/>
                      <w:szCs w:val="21"/>
                    </w:rPr>
                  </w:pPr>
                </w:p>
              </w:tc>
            </w:tr>
            <w:tr w14:paraId="528EED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3758F6A6">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6AFAFE5E">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6" w:space="0"/>
                    <w:left w:val="single" w:color="auto" w:sz="6" w:space="0"/>
                    <w:bottom w:val="single" w:color="auto" w:sz="6" w:space="0"/>
                    <w:right w:val="single" w:color="auto" w:sz="6" w:space="0"/>
                  </w:tcBorders>
                  <w:vAlign w:val="center"/>
                </w:tcPr>
                <w:p w14:paraId="39FD419A">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西南侧</w:t>
                  </w:r>
                </w:p>
              </w:tc>
              <w:tc>
                <w:tcPr>
                  <w:tcW w:w="853" w:type="dxa"/>
                  <w:tcBorders>
                    <w:top w:val="single" w:color="auto" w:sz="6" w:space="0"/>
                    <w:left w:val="single" w:color="auto" w:sz="6" w:space="0"/>
                    <w:bottom w:val="single" w:color="auto" w:sz="6" w:space="0"/>
                    <w:right w:val="single" w:color="auto" w:sz="6" w:space="0"/>
                  </w:tcBorders>
                  <w:vAlign w:val="center"/>
                </w:tcPr>
                <w:p w14:paraId="43CA88B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5</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4BEA965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09</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019554C1">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约3户，居住生活</w:t>
                  </w:r>
                </w:p>
              </w:tc>
              <w:tc>
                <w:tcPr>
                  <w:tcW w:w="2313" w:type="dxa"/>
                  <w:vMerge w:val="continue"/>
                  <w:tcBorders>
                    <w:left w:val="single" w:color="auto" w:sz="6" w:space="0"/>
                    <w:right w:val="single" w:color="auto" w:sz="12" w:space="0"/>
                  </w:tcBorders>
                  <w:vAlign w:val="center"/>
                </w:tcPr>
                <w:p w14:paraId="58E133D9">
                  <w:pPr>
                    <w:pBdr>
                      <w:left w:val="single" w:color="auto" w:sz="12" w:space="4"/>
                      <w:right w:val="single" w:color="auto" w:sz="12" w:space="4"/>
                    </w:pBdr>
                    <w:jc w:val="center"/>
                    <w:rPr>
                      <w:rFonts w:ascii="Times New Roman" w:hAnsi="Times New Roman" w:eastAsia="宋体" w:cs="Times New Roman"/>
                      <w:szCs w:val="21"/>
                    </w:rPr>
                  </w:pPr>
                </w:p>
              </w:tc>
            </w:tr>
            <w:tr w14:paraId="5A9A0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5038C72B">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2D3DADC4">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6" w:space="0"/>
                    <w:left w:val="single" w:color="auto" w:sz="6" w:space="0"/>
                    <w:bottom w:val="single" w:color="auto" w:sz="6" w:space="0"/>
                    <w:right w:val="single" w:color="auto" w:sz="6" w:space="0"/>
                  </w:tcBorders>
                  <w:vAlign w:val="center"/>
                </w:tcPr>
                <w:p w14:paraId="323FF65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西侧</w:t>
                  </w:r>
                </w:p>
              </w:tc>
              <w:tc>
                <w:tcPr>
                  <w:tcW w:w="853" w:type="dxa"/>
                  <w:tcBorders>
                    <w:top w:val="single" w:color="auto" w:sz="6" w:space="0"/>
                    <w:left w:val="single" w:color="auto" w:sz="6" w:space="0"/>
                    <w:bottom w:val="single" w:color="auto" w:sz="6" w:space="0"/>
                    <w:right w:val="single" w:color="auto" w:sz="6" w:space="0"/>
                  </w:tcBorders>
                  <w:vAlign w:val="center"/>
                </w:tcPr>
                <w:p w14:paraId="5AD97184">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25</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62E4CAF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7E4B42CA">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约2户，居住生活</w:t>
                  </w:r>
                </w:p>
              </w:tc>
              <w:tc>
                <w:tcPr>
                  <w:tcW w:w="2313" w:type="dxa"/>
                  <w:vMerge w:val="continue"/>
                  <w:tcBorders>
                    <w:left w:val="single" w:color="auto" w:sz="6" w:space="0"/>
                    <w:right w:val="single" w:color="auto" w:sz="12" w:space="0"/>
                  </w:tcBorders>
                  <w:vAlign w:val="center"/>
                </w:tcPr>
                <w:p w14:paraId="284E3027">
                  <w:pPr>
                    <w:pBdr>
                      <w:left w:val="single" w:color="auto" w:sz="12" w:space="4"/>
                      <w:right w:val="single" w:color="auto" w:sz="12" w:space="4"/>
                    </w:pBdr>
                    <w:jc w:val="center"/>
                    <w:rPr>
                      <w:rFonts w:ascii="Times New Roman" w:hAnsi="Times New Roman" w:eastAsia="宋体" w:cs="Times New Roman"/>
                      <w:szCs w:val="21"/>
                    </w:rPr>
                  </w:pPr>
                </w:p>
              </w:tc>
            </w:tr>
            <w:tr w14:paraId="72188B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6279E20A">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78E189A6">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豆芽湾居民</w:t>
                  </w:r>
                </w:p>
              </w:tc>
              <w:tc>
                <w:tcPr>
                  <w:tcW w:w="992" w:type="dxa"/>
                  <w:tcBorders>
                    <w:top w:val="single" w:color="auto" w:sz="6" w:space="0"/>
                    <w:left w:val="single" w:color="auto" w:sz="6" w:space="0"/>
                    <w:bottom w:val="single" w:color="auto" w:sz="6" w:space="0"/>
                    <w:right w:val="single" w:color="auto" w:sz="6" w:space="0"/>
                  </w:tcBorders>
                  <w:vAlign w:val="center"/>
                </w:tcPr>
                <w:p w14:paraId="7F6A945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西北侧</w:t>
                  </w:r>
                </w:p>
              </w:tc>
              <w:tc>
                <w:tcPr>
                  <w:tcW w:w="853" w:type="dxa"/>
                  <w:tcBorders>
                    <w:top w:val="single" w:color="auto" w:sz="6" w:space="0"/>
                    <w:left w:val="single" w:color="auto" w:sz="6" w:space="0"/>
                    <w:bottom w:val="single" w:color="auto" w:sz="6" w:space="0"/>
                    <w:right w:val="single" w:color="auto" w:sz="6" w:space="0"/>
                  </w:tcBorders>
                  <w:vAlign w:val="center"/>
                </w:tcPr>
                <w:p w14:paraId="36C9FBAA">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7</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7DC880C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5</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1001FC5C">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约16户，居住生活</w:t>
                  </w:r>
                </w:p>
              </w:tc>
              <w:tc>
                <w:tcPr>
                  <w:tcW w:w="2313" w:type="dxa"/>
                  <w:vMerge w:val="continue"/>
                  <w:tcBorders>
                    <w:left w:val="single" w:color="auto" w:sz="6" w:space="0"/>
                    <w:right w:val="single" w:color="auto" w:sz="12" w:space="0"/>
                  </w:tcBorders>
                  <w:vAlign w:val="center"/>
                </w:tcPr>
                <w:p w14:paraId="373B1EC7">
                  <w:pPr>
                    <w:pBdr>
                      <w:left w:val="single" w:color="auto" w:sz="12" w:space="4"/>
                      <w:right w:val="single" w:color="auto" w:sz="12" w:space="4"/>
                    </w:pBdr>
                    <w:jc w:val="center"/>
                    <w:rPr>
                      <w:rFonts w:ascii="Times New Roman" w:hAnsi="Times New Roman" w:eastAsia="宋体" w:cs="Times New Roman"/>
                      <w:szCs w:val="21"/>
                    </w:rPr>
                  </w:pPr>
                </w:p>
              </w:tc>
            </w:tr>
            <w:tr w14:paraId="596637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32AB1F89">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69E5935F">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葛坪居民</w:t>
                  </w:r>
                </w:p>
              </w:tc>
              <w:tc>
                <w:tcPr>
                  <w:tcW w:w="992" w:type="dxa"/>
                  <w:tcBorders>
                    <w:top w:val="single" w:color="auto" w:sz="6" w:space="0"/>
                    <w:left w:val="single" w:color="auto" w:sz="6" w:space="0"/>
                    <w:bottom w:val="single" w:color="auto" w:sz="6" w:space="0"/>
                    <w:right w:val="single" w:color="auto" w:sz="6" w:space="0"/>
                  </w:tcBorders>
                  <w:vAlign w:val="center"/>
                </w:tcPr>
                <w:p w14:paraId="2753A41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西侧</w:t>
                  </w:r>
                </w:p>
              </w:tc>
              <w:tc>
                <w:tcPr>
                  <w:tcW w:w="853" w:type="dxa"/>
                  <w:tcBorders>
                    <w:top w:val="single" w:color="auto" w:sz="6" w:space="0"/>
                    <w:left w:val="single" w:color="auto" w:sz="6" w:space="0"/>
                    <w:bottom w:val="single" w:color="auto" w:sz="6" w:space="0"/>
                    <w:right w:val="single" w:color="auto" w:sz="6" w:space="0"/>
                  </w:tcBorders>
                  <w:vAlign w:val="center"/>
                </w:tcPr>
                <w:p w14:paraId="4ECAD481">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5647440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82</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0708F731">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DFFCCF1">
                  <w:pPr>
                    <w:pBdr>
                      <w:left w:val="single" w:color="auto" w:sz="12" w:space="4"/>
                      <w:right w:val="single" w:color="auto" w:sz="12" w:space="4"/>
                    </w:pBdr>
                    <w:jc w:val="center"/>
                    <w:rPr>
                      <w:rFonts w:ascii="Times New Roman" w:hAnsi="Times New Roman" w:eastAsia="宋体" w:cs="Times New Roman"/>
                      <w:szCs w:val="21"/>
                    </w:rPr>
                  </w:pPr>
                </w:p>
              </w:tc>
            </w:tr>
            <w:tr w14:paraId="5D8310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417D75F7">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052354E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摇钱山居民</w:t>
                  </w:r>
                </w:p>
              </w:tc>
              <w:tc>
                <w:tcPr>
                  <w:tcW w:w="992" w:type="dxa"/>
                  <w:tcBorders>
                    <w:top w:val="single" w:color="auto" w:sz="6" w:space="0"/>
                    <w:left w:val="single" w:color="auto" w:sz="6" w:space="0"/>
                    <w:bottom w:val="single" w:color="auto" w:sz="6" w:space="0"/>
                    <w:right w:val="single" w:color="auto" w:sz="6" w:space="0"/>
                  </w:tcBorders>
                  <w:vAlign w:val="center"/>
                </w:tcPr>
                <w:p w14:paraId="377D0965">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西北侧</w:t>
                  </w:r>
                </w:p>
              </w:tc>
              <w:tc>
                <w:tcPr>
                  <w:tcW w:w="853" w:type="dxa"/>
                  <w:tcBorders>
                    <w:top w:val="single" w:color="auto" w:sz="6" w:space="0"/>
                    <w:left w:val="single" w:color="auto" w:sz="6" w:space="0"/>
                    <w:bottom w:val="single" w:color="auto" w:sz="6" w:space="0"/>
                    <w:right w:val="single" w:color="auto" w:sz="6" w:space="0"/>
                  </w:tcBorders>
                  <w:vAlign w:val="center"/>
                </w:tcPr>
                <w:p w14:paraId="52DE3B9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32A1BA4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489</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0174BB4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642033C">
                  <w:pPr>
                    <w:pBdr>
                      <w:left w:val="single" w:color="auto" w:sz="12" w:space="4"/>
                      <w:right w:val="single" w:color="auto" w:sz="12" w:space="4"/>
                    </w:pBdr>
                    <w:jc w:val="center"/>
                    <w:rPr>
                      <w:rFonts w:ascii="Times New Roman" w:hAnsi="Times New Roman" w:eastAsia="宋体" w:cs="Times New Roman"/>
                      <w:szCs w:val="21"/>
                    </w:rPr>
                  </w:pPr>
                </w:p>
              </w:tc>
            </w:tr>
            <w:tr w14:paraId="34D0A9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081FE5D8">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4AC14E6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射箭村居民</w:t>
                  </w:r>
                </w:p>
              </w:tc>
              <w:tc>
                <w:tcPr>
                  <w:tcW w:w="992" w:type="dxa"/>
                  <w:tcBorders>
                    <w:top w:val="single" w:color="auto" w:sz="6" w:space="0"/>
                    <w:left w:val="single" w:color="auto" w:sz="6" w:space="0"/>
                    <w:bottom w:val="single" w:color="auto" w:sz="6" w:space="0"/>
                    <w:right w:val="single" w:color="auto" w:sz="6" w:space="0"/>
                  </w:tcBorders>
                  <w:vAlign w:val="center"/>
                </w:tcPr>
                <w:p w14:paraId="74E9DBC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东北侧</w:t>
                  </w:r>
                </w:p>
              </w:tc>
              <w:tc>
                <w:tcPr>
                  <w:tcW w:w="853" w:type="dxa"/>
                  <w:tcBorders>
                    <w:top w:val="single" w:color="auto" w:sz="6" w:space="0"/>
                    <w:left w:val="single" w:color="auto" w:sz="6" w:space="0"/>
                    <w:bottom w:val="single" w:color="auto" w:sz="6" w:space="0"/>
                    <w:right w:val="single" w:color="auto" w:sz="6" w:space="0"/>
                  </w:tcBorders>
                  <w:vAlign w:val="center"/>
                </w:tcPr>
                <w:p w14:paraId="4AA2102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4652898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610</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6771CB7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13977783">
                  <w:pPr>
                    <w:pBdr>
                      <w:left w:val="single" w:color="auto" w:sz="12" w:space="4"/>
                      <w:right w:val="single" w:color="auto" w:sz="12" w:space="4"/>
                    </w:pBdr>
                    <w:jc w:val="center"/>
                    <w:rPr>
                      <w:rFonts w:ascii="Times New Roman" w:hAnsi="Times New Roman" w:eastAsia="宋体" w:cs="Times New Roman"/>
                      <w:szCs w:val="21"/>
                    </w:rPr>
                  </w:pPr>
                </w:p>
              </w:tc>
            </w:tr>
            <w:tr w14:paraId="18DE67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4413613B">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3685EB8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下狮坪居民</w:t>
                  </w:r>
                </w:p>
              </w:tc>
              <w:tc>
                <w:tcPr>
                  <w:tcW w:w="992" w:type="dxa"/>
                  <w:tcBorders>
                    <w:top w:val="single" w:color="auto" w:sz="6" w:space="0"/>
                    <w:left w:val="single" w:color="auto" w:sz="6" w:space="0"/>
                    <w:bottom w:val="single" w:color="auto" w:sz="6" w:space="0"/>
                    <w:right w:val="single" w:color="auto" w:sz="6" w:space="0"/>
                  </w:tcBorders>
                  <w:vAlign w:val="center"/>
                </w:tcPr>
                <w:p w14:paraId="4AA869E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北侧</w:t>
                  </w:r>
                </w:p>
              </w:tc>
              <w:tc>
                <w:tcPr>
                  <w:tcW w:w="853" w:type="dxa"/>
                  <w:tcBorders>
                    <w:top w:val="single" w:color="auto" w:sz="6" w:space="0"/>
                    <w:left w:val="single" w:color="auto" w:sz="6" w:space="0"/>
                    <w:bottom w:val="single" w:color="auto" w:sz="6" w:space="0"/>
                    <w:right w:val="single" w:color="auto" w:sz="6" w:space="0"/>
                  </w:tcBorders>
                  <w:vAlign w:val="center"/>
                </w:tcPr>
                <w:p w14:paraId="39F301E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3A9BFB7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32</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0D0ADF3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5214845">
                  <w:pPr>
                    <w:pBdr>
                      <w:left w:val="single" w:color="auto" w:sz="12" w:space="4"/>
                      <w:right w:val="single" w:color="auto" w:sz="12" w:space="4"/>
                    </w:pBdr>
                    <w:jc w:val="center"/>
                    <w:rPr>
                      <w:rFonts w:ascii="Times New Roman" w:hAnsi="Times New Roman" w:eastAsia="宋体" w:cs="Times New Roman"/>
                      <w:szCs w:val="21"/>
                    </w:rPr>
                  </w:pPr>
                </w:p>
              </w:tc>
            </w:tr>
            <w:tr w14:paraId="0B95AD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273054FF">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043977EF">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瓦窑坪居民</w:t>
                  </w:r>
                </w:p>
              </w:tc>
              <w:tc>
                <w:tcPr>
                  <w:tcW w:w="992" w:type="dxa"/>
                  <w:tcBorders>
                    <w:top w:val="single" w:color="auto" w:sz="6" w:space="0"/>
                    <w:left w:val="single" w:color="auto" w:sz="6" w:space="0"/>
                    <w:bottom w:val="single" w:color="auto" w:sz="6" w:space="0"/>
                    <w:right w:val="single" w:color="auto" w:sz="6" w:space="0"/>
                  </w:tcBorders>
                  <w:vAlign w:val="center"/>
                </w:tcPr>
                <w:p w14:paraId="2BBAAF44">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东侧</w:t>
                  </w:r>
                </w:p>
              </w:tc>
              <w:tc>
                <w:tcPr>
                  <w:tcW w:w="853" w:type="dxa"/>
                  <w:tcBorders>
                    <w:top w:val="single" w:color="auto" w:sz="6" w:space="0"/>
                    <w:left w:val="single" w:color="auto" w:sz="6" w:space="0"/>
                    <w:bottom w:val="single" w:color="auto" w:sz="6" w:space="0"/>
                    <w:right w:val="single" w:color="auto" w:sz="6" w:space="0"/>
                  </w:tcBorders>
                  <w:vAlign w:val="center"/>
                </w:tcPr>
                <w:p w14:paraId="33E29A5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174714BB">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077</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1CF314B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346E6E99">
                  <w:pPr>
                    <w:pBdr>
                      <w:left w:val="single" w:color="auto" w:sz="12" w:space="4"/>
                      <w:right w:val="single" w:color="auto" w:sz="12" w:space="4"/>
                    </w:pBdr>
                    <w:jc w:val="center"/>
                    <w:rPr>
                      <w:rFonts w:ascii="Times New Roman" w:hAnsi="Times New Roman" w:eastAsia="宋体" w:cs="Times New Roman"/>
                      <w:szCs w:val="21"/>
                    </w:rPr>
                  </w:pPr>
                </w:p>
              </w:tc>
            </w:tr>
            <w:tr w14:paraId="0796C6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0826A5B7">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4DB0142D">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周湾居民</w:t>
                  </w:r>
                </w:p>
              </w:tc>
              <w:tc>
                <w:tcPr>
                  <w:tcW w:w="992" w:type="dxa"/>
                  <w:tcBorders>
                    <w:top w:val="single" w:color="auto" w:sz="6" w:space="0"/>
                    <w:left w:val="single" w:color="auto" w:sz="6" w:space="0"/>
                    <w:bottom w:val="single" w:color="auto" w:sz="6" w:space="0"/>
                    <w:right w:val="single" w:color="auto" w:sz="6" w:space="0"/>
                  </w:tcBorders>
                  <w:vAlign w:val="center"/>
                </w:tcPr>
                <w:p w14:paraId="7702F31D">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东南侧</w:t>
                  </w:r>
                </w:p>
              </w:tc>
              <w:tc>
                <w:tcPr>
                  <w:tcW w:w="853" w:type="dxa"/>
                  <w:tcBorders>
                    <w:top w:val="single" w:color="auto" w:sz="6" w:space="0"/>
                    <w:left w:val="single" w:color="auto" w:sz="6" w:space="0"/>
                    <w:bottom w:val="single" w:color="auto" w:sz="6" w:space="0"/>
                    <w:right w:val="single" w:color="auto" w:sz="6" w:space="0"/>
                  </w:tcBorders>
                  <w:vAlign w:val="center"/>
                </w:tcPr>
                <w:p w14:paraId="47358789">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6B9D711A">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42</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1208E696">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A82D0F2">
                  <w:pPr>
                    <w:pBdr>
                      <w:left w:val="single" w:color="auto" w:sz="12" w:space="4"/>
                      <w:right w:val="single" w:color="auto" w:sz="12" w:space="4"/>
                    </w:pBdr>
                    <w:jc w:val="center"/>
                    <w:rPr>
                      <w:rFonts w:ascii="Times New Roman" w:hAnsi="Times New Roman" w:eastAsia="宋体" w:cs="Times New Roman"/>
                      <w:szCs w:val="21"/>
                    </w:rPr>
                  </w:pPr>
                </w:p>
              </w:tc>
            </w:tr>
            <w:tr w14:paraId="33BE5B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bottom w:val="single" w:color="auto" w:sz="6" w:space="0"/>
                    <w:right w:val="single" w:color="auto" w:sz="6" w:space="0"/>
                  </w:tcBorders>
                  <w:vAlign w:val="center"/>
                </w:tcPr>
                <w:p w14:paraId="3E4C0C21">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067A1FF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星星村居民</w:t>
                  </w:r>
                </w:p>
              </w:tc>
              <w:tc>
                <w:tcPr>
                  <w:tcW w:w="992" w:type="dxa"/>
                  <w:tcBorders>
                    <w:top w:val="single" w:color="auto" w:sz="6" w:space="0"/>
                    <w:left w:val="single" w:color="auto" w:sz="6" w:space="0"/>
                    <w:bottom w:val="single" w:color="auto" w:sz="6" w:space="0"/>
                    <w:right w:val="single" w:color="auto" w:sz="6" w:space="0"/>
                  </w:tcBorders>
                  <w:vAlign w:val="center"/>
                </w:tcPr>
                <w:p w14:paraId="1628EF45">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西南侧</w:t>
                  </w:r>
                </w:p>
              </w:tc>
              <w:tc>
                <w:tcPr>
                  <w:tcW w:w="853" w:type="dxa"/>
                  <w:tcBorders>
                    <w:top w:val="single" w:color="auto" w:sz="6" w:space="0"/>
                    <w:left w:val="single" w:color="auto" w:sz="6" w:space="0"/>
                    <w:bottom w:val="single" w:color="auto" w:sz="6" w:space="0"/>
                    <w:right w:val="single" w:color="auto" w:sz="6" w:space="0"/>
                  </w:tcBorders>
                  <w:vAlign w:val="center"/>
                </w:tcPr>
                <w:p w14:paraId="3B6FE7CF">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4F1CBD7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721</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1C9CC909">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bottom w:val="single" w:color="auto" w:sz="6" w:space="0"/>
                    <w:right w:val="single" w:color="auto" w:sz="12" w:space="0"/>
                  </w:tcBorders>
                  <w:vAlign w:val="center"/>
                </w:tcPr>
                <w:p w14:paraId="45D91318">
                  <w:pPr>
                    <w:pBdr>
                      <w:left w:val="single" w:color="auto" w:sz="12" w:space="4"/>
                      <w:right w:val="single" w:color="auto" w:sz="12" w:space="4"/>
                    </w:pBdr>
                    <w:jc w:val="center"/>
                    <w:rPr>
                      <w:rFonts w:ascii="Times New Roman" w:hAnsi="Times New Roman" w:eastAsia="宋体" w:cs="Times New Roman"/>
                      <w:szCs w:val="21"/>
                    </w:rPr>
                  </w:pPr>
                </w:p>
              </w:tc>
            </w:tr>
            <w:tr w14:paraId="4A9487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tcBorders>
                    <w:top w:val="single" w:color="auto" w:sz="6" w:space="0"/>
                    <w:left w:val="single" w:color="auto" w:sz="12" w:space="0"/>
                    <w:bottom w:val="single" w:color="auto" w:sz="6" w:space="0"/>
                    <w:right w:val="single" w:color="auto" w:sz="6" w:space="0"/>
                  </w:tcBorders>
                  <w:vAlign w:val="center"/>
                </w:tcPr>
                <w:p w14:paraId="28D1F0DF">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地表水环境</w:t>
                  </w:r>
                </w:p>
              </w:tc>
              <w:tc>
                <w:tcPr>
                  <w:tcW w:w="1309" w:type="dxa"/>
                  <w:tcBorders>
                    <w:top w:val="single" w:color="auto" w:sz="6" w:space="0"/>
                    <w:left w:val="single" w:color="auto" w:sz="6" w:space="0"/>
                    <w:bottom w:val="single" w:color="auto" w:sz="6" w:space="0"/>
                    <w:right w:val="single" w:color="auto" w:sz="6" w:space="0"/>
                  </w:tcBorders>
                  <w:vAlign w:val="center"/>
                </w:tcPr>
                <w:p w14:paraId="19126FF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庞沟</w:t>
                  </w:r>
                </w:p>
              </w:tc>
              <w:tc>
                <w:tcPr>
                  <w:tcW w:w="992" w:type="dxa"/>
                  <w:tcBorders>
                    <w:top w:val="single" w:color="auto" w:sz="6" w:space="0"/>
                    <w:left w:val="single" w:color="auto" w:sz="6" w:space="0"/>
                    <w:bottom w:val="single" w:color="auto" w:sz="6" w:space="0"/>
                    <w:right w:val="single" w:color="auto" w:sz="6" w:space="0"/>
                  </w:tcBorders>
                  <w:vAlign w:val="center"/>
                </w:tcPr>
                <w:p w14:paraId="735EC945">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西侧</w:t>
                  </w:r>
                </w:p>
              </w:tc>
              <w:tc>
                <w:tcPr>
                  <w:tcW w:w="853" w:type="dxa"/>
                  <w:tcBorders>
                    <w:top w:val="single" w:color="auto" w:sz="6" w:space="0"/>
                    <w:left w:val="single" w:color="auto" w:sz="6" w:space="0"/>
                    <w:bottom w:val="single" w:color="auto" w:sz="6" w:space="0"/>
                    <w:right w:val="single" w:color="auto" w:sz="6" w:space="0"/>
                  </w:tcBorders>
                  <w:vAlign w:val="center"/>
                </w:tcPr>
                <w:p w14:paraId="165C5B26">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702176AD">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紧邻</w:t>
                  </w:r>
                </w:p>
              </w:tc>
              <w:tc>
                <w:tcPr>
                  <w:tcW w:w="1134" w:type="dxa"/>
                  <w:tcBorders>
                    <w:top w:val="single" w:color="auto" w:sz="6" w:space="0"/>
                    <w:left w:val="single" w:color="auto" w:sz="6" w:space="0"/>
                    <w:bottom w:val="single" w:color="auto" w:sz="6" w:space="0"/>
                    <w:right w:val="single" w:color="auto" w:sz="6" w:space="0"/>
                  </w:tcBorders>
                  <w:vAlign w:val="center"/>
                </w:tcPr>
                <w:p w14:paraId="4ED2BBB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Ⅲ</w:t>
                  </w:r>
                  <w:r>
                    <w:rPr>
                      <w:rFonts w:ascii="Times New Roman" w:hAnsi="Times New Roman" w:eastAsia="宋体" w:cs="Times New Roman"/>
                      <w:szCs w:val="21"/>
                    </w:rPr>
                    <w:t>类水体；行洪灌溉</w:t>
                  </w:r>
                </w:p>
              </w:tc>
              <w:tc>
                <w:tcPr>
                  <w:tcW w:w="2313" w:type="dxa"/>
                  <w:tcBorders>
                    <w:top w:val="single" w:color="auto" w:sz="6" w:space="0"/>
                    <w:left w:val="single" w:color="auto" w:sz="6" w:space="0"/>
                    <w:bottom w:val="single" w:color="auto" w:sz="6" w:space="0"/>
                    <w:right w:val="single" w:color="auto" w:sz="12" w:space="0"/>
                  </w:tcBorders>
                  <w:vAlign w:val="center"/>
                </w:tcPr>
                <w:p w14:paraId="05773E0F">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4 \* ROMAN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lang w:eastAsia="zh-CN"/>
                    </w:rPr>
                    <w:t>Ⅲ</w:t>
                  </w:r>
                  <w:r>
                    <w:rPr>
                      <w:rFonts w:ascii="Times New Roman" w:hAnsi="Times New Roman" w:eastAsia="宋体" w:cs="Times New Roman"/>
                      <w:szCs w:val="21"/>
                    </w:rPr>
                    <w:fldChar w:fldCharType="end"/>
                  </w:r>
                  <w:r>
                    <w:rPr>
                      <w:rFonts w:ascii="Times New Roman" w:hAnsi="Times New Roman" w:eastAsia="宋体" w:cs="Times New Roman"/>
                      <w:szCs w:val="21"/>
                    </w:rPr>
                    <w:t>类</w:t>
                  </w:r>
                </w:p>
              </w:tc>
            </w:tr>
            <w:tr w14:paraId="746DA6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tcBorders>
                    <w:top w:val="single" w:color="auto" w:sz="6" w:space="0"/>
                    <w:left w:val="single" w:color="auto" w:sz="12" w:space="0"/>
                    <w:bottom w:val="single" w:color="auto" w:sz="12" w:space="0"/>
                    <w:right w:val="single" w:color="auto" w:sz="6" w:space="0"/>
                  </w:tcBorders>
                  <w:vAlign w:val="center"/>
                </w:tcPr>
                <w:p w14:paraId="3F14F51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地下水环境</w:t>
                  </w:r>
                </w:p>
              </w:tc>
              <w:tc>
                <w:tcPr>
                  <w:tcW w:w="1309" w:type="dxa"/>
                  <w:tcBorders>
                    <w:top w:val="single" w:color="auto" w:sz="6" w:space="0"/>
                    <w:left w:val="single" w:color="auto" w:sz="6" w:space="0"/>
                    <w:bottom w:val="single" w:color="auto" w:sz="12" w:space="0"/>
                    <w:right w:val="single" w:color="auto" w:sz="6" w:space="0"/>
                  </w:tcBorders>
                  <w:vAlign w:val="center"/>
                </w:tcPr>
                <w:p w14:paraId="220A7913">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当地地下水</w:t>
                  </w:r>
                </w:p>
              </w:tc>
              <w:tc>
                <w:tcPr>
                  <w:tcW w:w="992" w:type="dxa"/>
                  <w:tcBorders>
                    <w:top w:val="single" w:color="auto" w:sz="6" w:space="0"/>
                    <w:left w:val="single" w:color="auto" w:sz="6" w:space="0"/>
                    <w:bottom w:val="single" w:color="auto" w:sz="12" w:space="0"/>
                    <w:right w:val="single" w:color="auto" w:sz="6" w:space="0"/>
                  </w:tcBorders>
                  <w:vAlign w:val="center"/>
                </w:tcPr>
                <w:p w14:paraId="06D396F6">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w:t>
                  </w:r>
                </w:p>
              </w:tc>
              <w:tc>
                <w:tcPr>
                  <w:tcW w:w="853" w:type="dxa"/>
                  <w:tcBorders>
                    <w:top w:val="single" w:color="auto" w:sz="6" w:space="0"/>
                    <w:left w:val="single" w:color="auto" w:sz="6" w:space="0"/>
                    <w:bottom w:val="single" w:color="auto" w:sz="12" w:space="0"/>
                    <w:right w:val="single" w:color="auto" w:sz="6" w:space="0"/>
                  </w:tcBorders>
                  <w:vAlign w:val="center"/>
                </w:tcPr>
                <w:p w14:paraId="7E5312A9">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12" w:space="0"/>
                    <w:right w:val="single" w:color="auto" w:sz="6" w:space="0"/>
                  </w:tcBorders>
                  <w:vAlign w:val="center"/>
                </w:tcPr>
                <w:p w14:paraId="53FFDF8B">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12" w:space="0"/>
                    <w:right w:val="single" w:color="auto" w:sz="6" w:space="0"/>
                  </w:tcBorders>
                  <w:vAlign w:val="center"/>
                </w:tcPr>
                <w:p w14:paraId="1A2FC4F8">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w:t>
                  </w:r>
                </w:p>
              </w:tc>
              <w:tc>
                <w:tcPr>
                  <w:tcW w:w="2313" w:type="dxa"/>
                  <w:tcBorders>
                    <w:top w:val="single" w:color="auto" w:sz="6" w:space="0"/>
                    <w:left w:val="single" w:color="auto" w:sz="6" w:space="0"/>
                    <w:bottom w:val="single" w:color="auto" w:sz="12" w:space="0"/>
                    <w:right w:val="single" w:color="auto" w:sz="12" w:space="0"/>
                  </w:tcBorders>
                  <w:vAlign w:val="center"/>
                </w:tcPr>
                <w:p w14:paraId="35A42008">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《地下水环境质量标准》（GB/T 14848-2017）中Ⅲ类水域标准</w:t>
                  </w:r>
                </w:p>
              </w:tc>
            </w:tr>
            <w:bookmarkEnd w:id="1"/>
          </w:tbl>
          <w:p w14:paraId="0E5D97BE">
            <w:pPr>
              <w:spacing w:line="480" w:lineRule="exact"/>
              <w:rPr>
                <w:rFonts w:ascii="Times New Roman" w:hAnsi="Times New Roman" w:eastAsia="宋体" w:cs="Times New Roman"/>
                <w:sz w:val="30"/>
                <w:szCs w:val="30"/>
              </w:rPr>
            </w:pPr>
          </w:p>
        </w:tc>
      </w:tr>
    </w:tbl>
    <w:p w14:paraId="20B89279">
      <w:pPr>
        <w:spacing w:after="120" w:afterLines="50"/>
        <w:outlineLvl w:val="0"/>
        <w:rPr>
          <w:rFonts w:ascii="Times New Roman" w:hAnsi="Times New Roman" w:eastAsia="宋体" w:cs="Times New Roman"/>
          <w:b/>
          <w:sz w:val="30"/>
          <w:szCs w:val="30"/>
        </w:rPr>
      </w:pPr>
      <w:r>
        <w:rPr>
          <w:rFonts w:ascii="Times New Roman" w:hAnsi="Times New Roman" w:eastAsia="宋体" w:cs="Times New Roman"/>
          <w:sz w:val="28"/>
        </w:rPr>
        <w:br w:type="page"/>
      </w:r>
      <w:r>
        <w:rPr>
          <w:rFonts w:ascii="Times New Roman" w:hAnsi="Times New Roman" w:eastAsia="宋体" w:cs="Times New Roman"/>
          <w:b/>
          <w:sz w:val="30"/>
          <w:szCs w:val="30"/>
        </w:rPr>
        <w:t>评价适用标准（表四）</w:t>
      </w:r>
    </w:p>
    <w:tbl>
      <w:tblPr>
        <w:tblStyle w:val="26"/>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1"/>
        <w:gridCol w:w="8541"/>
      </w:tblGrid>
      <w:tr w14:paraId="56E80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63D7F17D">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环</w:t>
            </w:r>
          </w:p>
          <w:p w14:paraId="6E5837D3">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境</w:t>
            </w:r>
          </w:p>
          <w:p w14:paraId="49629DAD">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质</w:t>
            </w:r>
          </w:p>
          <w:p w14:paraId="6747D1C8">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量</w:t>
            </w:r>
          </w:p>
          <w:p w14:paraId="4947E0FD">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标</w:t>
            </w:r>
          </w:p>
          <w:p w14:paraId="658F22FF">
            <w:pPr>
              <w:spacing w:line="720" w:lineRule="auto"/>
              <w:rPr>
                <w:rFonts w:ascii="Times New Roman" w:hAnsi="Times New Roman" w:eastAsia="宋体" w:cs="Times New Roman"/>
              </w:rPr>
            </w:pPr>
            <w:r>
              <w:rPr>
                <w:rFonts w:ascii="Times New Roman" w:hAnsi="Times New Roman" w:eastAsia="宋体" w:cs="Times New Roman"/>
                <w:b/>
                <w:sz w:val="28"/>
                <w:szCs w:val="28"/>
              </w:rPr>
              <w:t>准</w:t>
            </w:r>
          </w:p>
        </w:tc>
        <w:tc>
          <w:tcPr>
            <w:tcW w:w="8541" w:type="dxa"/>
          </w:tcPr>
          <w:p w14:paraId="3F3E8FB7">
            <w:pPr>
              <w:spacing w:line="480" w:lineRule="exact"/>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根据项目实际情况，结合现行环境标准，本项目执行以下标准。</w:t>
            </w:r>
          </w:p>
          <w:p w14:paraId="5E1C3BB7">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一、环境空气质量：</w:t>
            </w:r>
          </w:p>
          <w:p w14:paraId="7C2BCC52">
            <w:pPr>
              <w:spacing w:line="360" w:lineRule="auto"/>
              <w:ind w:firstLine="480" w:firstLineChars="200"/>
              <w:rPr>
                <w:rFonts w:ascii="Times New Roman" w:hAnsi="Times New Roman" w:eastAsia="宋体" w:cs="Times New Roman"/>
                <w:b/>
                <w:bCs/>
                <w:sz w:val="24"/>
              </w:rPr>
            </w:pPr>
            <w:r>
              <w:rPr>
                <w:rFonts w:ascii="Times New Roman" w:hAnsi="Times New Roman" w:eastAsia="宋体" w:cs="Times New Roman"/>
                <w:sz w:val="24"/>
              </w:rPr>
              <w:t>执行《环境空气质量标准》(GB3095-2012</w:t>
            </w:r>
            <w:r>
              <w:rPr>
                <w:rFonts w:hint="eastAsia" w:ascii="Times New Roman" w:hAnsi="Times New Roman" w:eastAsia="宋体" w:cs="Times New Roman"/>
                <w:sz w:val="24"/>
                <w:lang w:eastAsia="zh-CN"/>
              </w:rPr>
              <w:t>）</w:t>
            </w:r>
            <w:r>
              <w:rPr>
                <w:rFonts w:ascii="Times New Roman" w:hAnsi="Times New Roman" w:eastAsia="宋体" w:cs="Times New Roman"/>
                <w:sz w:val="24"/>
              </w:rPr>
              <w:t>中的二级标准浓度参考限值，标准限值见表4-1。</w:t>
            </w:r>
          </w:p>
          <w:p w14:paraId="374A54C2">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表4-1   环境空气质量标准单位：</w:t>
            </w:r>
            <w:r>
              <w:rPr>
                <w:rFonts w:hint="eastAsia" w:ascii="Times New Roman" w:hAnsi="Times New Roman" w:eastAsia="宋体" w:cs="Times New Roman"/>
                <w:snapToGrid w:val="0"/>
                <w:kern w:val="0"/>
                <w:sz w:val="24"/>
                <w:szCs w:val="24"/>
                <w:lang w:eastAsia="zh-CN"/>
              </w:rPr>
              <w:t>μg/m3</w:t>
            </w:r>
          </w:p>
          <w:tbl>
            <w:tblPr>
              <w:tblStyle w:val="26"/>
              <w:tblW w:w="824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938"/>
              <w:gridCol w:w="2409"/>
              <w:gridCol w:w="1701"/>
              <w:gridCol w:w="3196"/>
            </w:tblGrid>
            <w:tr w14:paraId="7B87A4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39A270C4">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污染物</w:t>
                  </w:r>
                </w:p>
              </w:tc>
              <w:tc>
                <w:tcPr>
                  <w:tcW w:w="2409" w:type="dxa"/>
                  <w:tcBorders>
                    <w:top w:val="single" w:color="auto" w:sz="6" w:space="0"/>
                    <w:left w:val="single" w:color="auto" w:sz="6" w:space="0"/>
                    <w:bottom w:val="single" w:color="auto" w:sz="6" w:space="0"/>
                    <w:right w:val="single" w:color="auto" w:sz="6" w:space="0"/>
                  </w:tcBorders>
                  <w:vAlign w:val="center"/>
                </w:tcPr>
                <w:p w14:paraId="27CCE453">
                  <w:pPr>
                    <w:pStyle w:val="111"/>
                    <w:widowControl w:val="0"/>
                    <w:spacing w:before="0" w:beforeAutospacing="0" w:after="0" w:afterAutospacing="0" w:line="276" w:lineRule="auto"/>
                    <w:textAlignment w:val="auto"/>
                    <w:rPr>
                      <w:rFonts w:ascii="Times New Roman" w:hAnsi="Times New Roman" w:eastAsia="宋体" w:cs="Times New Roman"/>
                      <w:caps/>
                      <w:kern w:val="2"/>
                      <w:sz w:val="21"/>
                      <w:szCs w:val="21"/>
                    </w:rPr>
                  </w:pPr>
                  <w:r>
                    <w:rPr>
                      <w:rFonts w:ascii="Times New Roman" w:hAnsi="Times New Roman" w:eastAsia="宋体" w:cs="Times New Roman"/>
                      <w:caps/>
                      <w:kern w:val="2"/>
                      <w:sz w:val="21"/>
                      <w:szCs w:val="21"/>
                    </w:rPr>
                    <w:t>年平均</w:t>
                  </w:r>
                </w:p>
              </w:tc>
              <w:tc>
                <w:tcPr>
                  <w:tcW w:w="1701" w:type="dxa"/>
                  <w:tcBorders>
                    <w:top w:val="single" w:color="auto" w:sz="6" w:space="0"/>
                    <w:left w:val="single" w:color="auto" w:sz="6" w:space="0"/>
                    <w:bottom w:val="single" w:color="auto" w:sz="6" w:space="0"/>
                    <w:right w:val="single" w:color="auto" w:sz="6" w:space="0"/>
                  </w:tcBorders>
                  <w:vAlign w:val="center"/>
                </w:tcPr>
                <w:p w14:paraId="7A6004D0">
                  <w:pPr>
                    <w:pStyle w:val="111"/>
                    <w:widowControl w:val="0"/>
                    <w:spacing w:before="0" w:beforeAutospacing="0" w:after="0" w:afterAutospacing="0" w:line="276" w:lineRule="auto"/>
                    <w:rPr>
                      <w:rFonts w:ascii="Times New Roman" w:hAnsi="Times New Roman" w:eastAsia="宋体" w:cs="Times New Roman"/>
                      <w:caps/>
                      <w:kern w:val="2"/>
                      <w:sz w:val="21"/>
                      <w:szCs w:val="21"/>
                    </w:rPr>
                  </w:pPr>
                  <w:r>
                    <w:rPr>
                      <w:rFonts w:ascii="Times New Roman" w:hAnsi="Times New Roman" w:eastAsia="宋体" w:cs="Times New Roman"/>
                      <w:caps/>
                      <w:kern w:val="2"/>
                      <w:sz w:val="21"/>
                      <w:szCs w:val="21"/>
                    </w:rPr>
                    <w:t>24小时平均</w:t>
                  </w:r>
                </w:p>
              </w:tc>
              <w:tc>
                <w:tcPr>
                  <w:tcW w:w="3196" w:type="dxa"/>
                  <w:tcBorders>
                    <w:top w:val="single" w:color="auto" w:sz="6" w:space="0"/>
                    <w:left w:val="single" w:color="auto" w:sz="6" w:space="0"/>
                    <w:bottom w:val="single" w:color="auto" w:sz="6" w:space="0"/>
                    <w:right w:val="single" w:color="auto" w:sz="6" w:space="0"/>
                  </w:tcBorders>
                  <w:vAlign w:val="center"/>
                </w:tcPr>
                <w:p w14:paraId="50A59666">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1小时平均</w:t>
                  </w:r>
                </w:p>
              </w:tc>
            </w:tr>
            <w:tr w14:paraId="4CEBF50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1DB2BD2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2409" w:type="dxa"/>
                  <w:tcBorders>
                    <w:top w:val="single" w:color="auto" w:sz="6" w:space="0"/>
                    <w:left w:val="single" w:color="auto" w:sz="6" w:space="0"/>
                    <w:bottom w:val="single" w:color="auto" w:sz="6" w:space="0"/>
                    <w:right w:val="single" w:color="auto" w:sz="6" w:space="0"/>
                  </w:tcBorders>
                  <w:vAlign w:val="center"/>
                </w:tcPr>
                <w:p w14:paraId="6D102503">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60</w:t>
                  </w:r>
                </w:p>
              </w:tc>
              <w:tc>
                <w:tcPr>
                  <w:tcW w:w="1701" w:type="dxa"/>
                  <w:tcBorders>
                    <w:top w:val="single" w:color="auto" w:sz="6" w:space="0"/>
                    <w:left w:val="single" w:color="auto" w:sz="6" w:space="0"/>
                    <w:bottom w:val="single" w:color="auto" w:sz="6" w:space="0"/>
                    <w:right w:val="single" w:color="auto" w:sz="6" w:space="0"/>
                  </w:tcBorders>
                  <w:vAlign w:val="center"/>
                </w:tcPr>
                <w:p w14:paraId="1F68D0B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150</w:t>
                  </w:r>
                </w:p>
              </w:tc>
              <w:tc>
                <w:tcPr>
                  <w:tcW w:w="3196" w:type="dxa"/>
                  <w:tcBorders>
                    <w:top w:val="single" w:color="auto" w:sz="6" w:space="0"/>
                    <w:left w:val="single" w:color="auto" w:sz="6" w:space="0"/>
                    <w:bottom w:val="single" w:color="auto" w:sz="6" w:space="0"/>
                    <w:right w:val="single" w:color="auto" w:sz="6" w:space="0"/>
                  </w:tcBorders>
                  <w:vAlign w:val="center"/>
                </w:tcPr>
                <w:p w14:paraId="131CA4D3">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500</w:t>
                  </w:r>
                </w:p>
              </w:tc>
            </w:tr>
            <w:tr w14:paraId="63AF1F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132457E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2409" w:type="dxa"/>
                  <w:tcBorders>
                    <w:top w:val="single" w:color="auto" w:sz="6" w:space="0"/>
                    <w:left w:val="single" w:color="auto" w:sz="6" w:space="0"/>
                    <w:bottom w:val="single" w:color="auto" w:sz="6" w:space="0"/>
                    <w:right w:val="single" w:color="auto" w:sz="6" w:space="0"/>
                  </w:tcBorders>
                  <w:vAlign w:val="center"/>
                </w:tcPr>
                <w:p w14:paraId="744DEA0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40</w:t>
                  </w:r>
                </w:p>
              </w:tc>
              <w:tc>
                <w:tcPr>
                  <w:tcW w:w="1701" w:type="dxa"/>
                  <w:tcBorders>
                    <w:top w:val="single" w:color="auto" w:sz="6" w:space="0"/>
                    <w:left w:val="single" w:color="auto" w:sz="6" w:space="0"/>
                    <w:bottom w:val="single" w:color="auto" w:sz="6" w:space="0"/>
                    <w:right w:val="single" w:color="auto" w:sz="6" w:space="0"/>
                  </w:tcBorders>
                  <w:vAlign w:val="center"/>
                </w:tcPr>
                <w:p w14:paraId="6C17DA9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80</w:t>
                  </w:r>
                </w:p>
              </w:tc>
              <w:tc>
                <w:tcPr>
                  <w:tcW w:w="3196" w:type="dxa"/>
                  <w:tcBorders>
                    <w:top w:val="single" w:color="auto" w:sz="6" w:space="0"/>
                    <w:left w:val="single" w:color="auto" w:sz="6" w:space="0"/>
                    <w:bottom w:val="single" w:color="auto" w:sz="6" w:space="0"/>
                    <w:right w:val="single" w:color="auto" w:sz="6" w:space="0"/>
                  </w:tcBorders>
                  <w:vAlign w:val="center"/>
                </w:tcPr>
                <w:p w14:paraId="6A29E124">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200</w:t>
                  </w:r>
                </w:p>
              </w:tc>
            </w:tr>
            <w:tr w14:paraId="4BD334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5066F9F7">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c>
                <w:tcPr>
                  <w:tcW w:w="2409" w:type="dxa"/>
                  <w:tcBorders>
                    <w:top w:val="single" w:color="auto" w:sz="6" w:space="0"/>
                    <w:left w:val="single" w:color="auto" w:sz="6" w:space="0"/>
                    <w:bottom w:val="single" w:color="auto" w:sz="6" w:space="0"/>
                    <w:right w:val="single" w:color="auto" w:sz="6" w:space="0"/>
                  </w:tcBorders>
                  <w:vAlign w:val="center"/>
                </w:tcPr>
                <w:p w14:paraId="199062E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70</w:t>
                  </w:r>
                </w:p>
              </w:tc>
              <w:tc>
                <w:tcPr>
                  <w:tcW w:w="1701" w:type="dxa"/>
                  <w:tcBorders>
                    <w:top w:val="single" w:color="auto" w:sz="6" w:space="0"/>
                    <w:left w:val="single" w:color="auto" w:sz="6" w:space="0"/>
                    <w:bottom w:val="single" w:color="auto" w:sz="6" w:space="0"/>
                    <w:right w:val="single" w:color="auto" w:sz="6" w:space="0"/>
                  </w:tcBorders>
                  <w:vAlign w:val="center"/>
                </w:tcPr>
                <w:p w14:paraId="532F2084">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150</w:t>
                  </w:r>
                </w:p>
              </w:tc>
              <w:tc>
                <w:tcPr>
                  <w:tcW w:w="3196" w:type="dxa"/>
                  <w:tcBorders>
                    <w:top w:val="single" w:color="auto" w:sz="6" w:space="0"/>
                    <w:left w:val="single" w:color="auto" w:sz="6" w:space="0"/>
                    <w:bottom w:val="single" w:color="auto" w:sz="6" w:space="0"/>
                    <w:right w:val="single" w:color="auto" w:sz="6" w:space="0"/>
                  </w:tcBorders>
                  <w:vAlign w:val="center"/>
                </w:tcPr>
                <w:p w14:paraId="51FF57AC">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r>
            <w:tr w14:paraId="6B0F5E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0097DC57">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CO</w:t>
                  </w:r>
                </w:p>
              </w:tc>
              <w:tc>
                <w:tcPr>
                  <w:tcW w:w="2409" w:type="dxa"/>
                  <w:tcBorders>
                    <w:top w:val="single" w:color="auto" w:sz="6" w:space="0"/>
                    <w:left w:val="single" w:color="auto" w:sz="6" w:space="0"/>
                    <w:bottom w:val="single" w:color="auto" w:sz="6" w:space="0"/>
                    <w:right w:val="single" w:color="auto" w:sz="6" w:space="0"/>
                  </w:tcBorders>
                  <w:vAlign w:val="center"/>
                </w:tcPr>
                <w:p w14:paraId="5CEC97C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c>
                <w:tcPr>
                  <w:tcW w:w="1701" w:type="dxa"/>
                  <w:tcBorders>
                    <w:top w:val="single" w:color="auto" w:sz="6" w:space="0"/>
                    <w:left w:val="single" w:color="auto" w:sz="6" w:space="0"/>
                    <w:bottom w:val="single" w:color="auto" w:sz="6" w:space="0"/>
                    <w:right w:val="single" w:color="auto" w:sz="6" w:space="0"/>
                  </w:tcBorders>
                  <w:vAlign w:val="center"/>
                </w:tcPr>
                <w:p w14:paraId="7B875A2C">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4000</w:t>
                  </w:r>
                </w:p>
              </w:tc>
              <w:tc>
                <w:tcPr>
                  <w:tcW w:w="3196" w:type="dxa"/>
                  <w:tcBorders>
                    <w:top w:val="single" w:color="auto" w:sz="6" w:space="0"/>
                    <w:left w:val="single" w:color="auto" w:sz="6" w:space="0"/>
                    <w:bottom w:val="single" w:color="auto" w:sz="6" w:space="0"/>
                    <w:right w:val="single" w:color="auto" w:sz="6" w:space="0"/>
                  </w:tcBorders>
                  <w:vAlign w:val="center"/>
                </w:tcPr>
                <w:p w14:paraId="129B4E1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10000</w:t>
                  </w:r>
                </w:p>
              </w:tc>
            </w:tr>
            <w:tr w14:paraId="436A324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47A79EB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2409" w:type="dxa"/>
                  <w:tcBorders>
                    <w:top w:val="single" w:color="auto" w:sz="6" w:space="0"/>
                    <w:left w:val="single" w:color="auto" w:sz="6" w:space="0"/>
                    <w:bottom w:val="single" w:color="auto" w:sz="6" w:space="0"/>
                    <w:right w:val="single" w:color="auto" w:sz="6" w:space="0"/>
                  </w:tcBorders>
                  <w:vAlign w:val="center"/>
                </w:tcPr>
                <w:p w14:paraId="0481E320">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160（日最大8h平均值）</w:t>
                  </w:r>
                </w:p>
              </w:tc>
              <w:tc>
                <w:tcPr>
                  <w:tcW w:w="1701" w:type="dxa"/>
                  <w:tcBorders>
                    <w:top w:val="single" w:color="auto" w:sz="6" w:space="0"/>
                    <w:left w:val="single" w:color="auto" w:sz="6" w:space="0"/>
                    <w:bottom w:val="single" w:color="auto" w:sz="6" w:space="0"/>
                    <w:right w:val="single" w:color="auto" w:sz="6" w:space="0"/>
                  </w:tcBorders>
                  <w:vAlign w:val="center"/>
                </w:tcPr>
                <w:p w14:paraId="05F2FF0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160</w:t>
                  </w:r>
                </w:p>
              </w:tc>
              <w:tc>
                <w:tcPr>
                  <w:tcW w:w="3196" w:type="dxa"/>
                  <w:tcBorders>
                    <w:top w:val="single" w:color="auto" w:sz="6" w:space="0"/>
                    <w:left w:val="single" w:color="auto" w:sz="6" w:space="0"/>
                    <w:bottom w:val="single" w:color="auto" w:sz="6" w:space="0"/>
                    <w:right w:val="single" w:color="auto" w:sz="6" w:space="0"/>
                  </w:tcBorders>
                  <w:vAlign w:val="center"/>
                </w:tcPr>
                <w:p w14:paraId="562E25BA">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200</w:t>
                  </w:r>
                </w:p>
              </w:tc>
            </w:tr>
            <w:tr w14:paraId="6C19C5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5C17A23C">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2409" w:type="dxa"/>
                  <w:tcBorders>
                    <w:top w:val="single" w:color="auto" w:sz="6" w:space="0"/>
                    <w:left w:val="single" w:color="auto" w:sz="6" w:space="0"/>
                    <w:bottom w:val="single" w:color="auto" w:sz="6" w:space="0"/>
                    <w:right w:val="single" w:color="auto" w:sz="6" w:space="0"/>
                  </w:tcBorders>
                  <w:vAlign w:val="center"/>
                </w:tcPr>
                <w:p w14:paraId="11B7CCD7">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35</w:t>
                  </w:r>
                </w:p>
              </w:tc>
              <w:tc>
                <w:tcPr>
                  <w:tcW w:w="1701" w:type="dxa"/>
                  <w:tcBorders>
                    <w:top w:val="single" w:color="auto" w:sz="6" w:space="0"/>
                    <w:left w:val="single" w:color="auto" w:sz="6" w:space="0"/>
                    <w:bottom w:val="single" w:color="auto" w:sz="6" w:space="0"/>
                    <w:right w:val="single" w:color="auto" w:sz="6" w:space="0"/>
                  </w:tcBorders>
                  <w:vAlign w:val="center"/>
                </w:tcPr>
                <w:p w14:paraId="5339FCF1">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75</w:t>
                  </w:r>
                </w:p>
              </w:tc>
              <w:tc>
                <w:tcPr>
                  <w:tcW w:w="3196" w:type="dxa"/>
                  <w:tcBorders>
                    <w:top w:val="single" w:color="auto" w:sz="6" w:space="0"/>
                    <w:left w:val="single" w:color="auto" w:sz="6" w:space="0"/>
                    <w:bottom w:val="single" w:color="auto" w:sz="6" w:space="0"/>
                    <w:right w:val="single" w:color="auto" w:sz="6" w:space="0"/>
                  </w:tcBorders>
                  <w:vAlign w:val="center"/>
                </w:tcPr>
                <w:p w14:paraId="72A9832A">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33B64CCB">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二、地表水环境质量:</w:t>
            </w:r>
          </w:p>
          <w:p w14:paraId="73ACDBE3">
            <w:pPr>
              <w:pStyle w:val="20"/>
              <w:spacing w:line="480" w:lineRule="exact"/>
              <w:ind w:left="0" w:firstLine="480" w:firstLineChars="200"/>
              <w:rPr>
                <w:rFonts w:ascii="Times New Roman" w:hAnsi="Times New Roman" w:eastAsia="宋体" w:cs="Times New Roman"/>
                <w:b/>
                <w:bCs/>
                <w:sz w:val="24"/>
                <w:szCs w:val="24"/>
              </w:rPr>
            </w:pPr>
            <w:r>
              <w:rPr>
                <w:rFonts w:ascii="Times New Roman" w:hAnsi="Times New Roman" w:eastAsia="宋体" w:cs="Times New Roman"/>
                <w:sz w:val="24"/>
                <w:szCs w:val="24"/>
              </w:rPr>
              <w:t>执行国家《地表水环境质量标准》（GB3838-2002）Ⅲ类标准。标准限值见表4-2。</w:t>
            </w:r>
          </w:p>
          <w:p w14:paraId="497C92FE">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表4-2     地表水环境质量标准单位：mg/L</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9"/>
              <w:gridCol w:w="920"/>
              <w:gridCol w:w="913"/>
              <w:gridCol w:w="1247"/>
              <w:gridCol w:w="1039"/>
              <w:gridCol w:w="1039"/>
              <w:gridCol w:w="1038"/>
            </w:tblGrid>
            <w:tr w14:paraId="084A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4" w:type="pct"/>
                  <w:vAlign w:val="center"/>
                </w:tcPr>
                <w:p w14:paraId="4B1FFA1B">
                  <w:pPr>
                    <w:adjustRightInd w:val="0"/>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lang w:val="zh-CN"/>
                    </w:rPr>
                    <w:t>指标</w:t>
                  </w:r>
                </w:p>
              </w:tc>
              <w:tc>
                <w:tcPr>
                  <w:tcW w:w="553" w:type="pct"/>
                  <w:vAlign w:val="center"/>
                </w:tcPr>
                <w:p w14:paraId="24CAC3D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pH</w:t>
                  </w:r>
                </w:p>
              </w:tc>
              <w:tc>
                <w:tcPr>
                  <w:tcW w:w="549" w:type="pct"/>
                  <w:vAlign w:val="center"/>
                </w:tcPr>
                <w:p w14:paraId="11C8B7E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BOD</w:t>
                  </w:r>
                </w:p>
              </w:tc>
              <w:tc>
                <w:tcPr>
                  <w:tcW w:w="750" w:type="pct"/>
                  <w:vAlign w:val="center"/>
                </w:tcPr>
                <w:p w14:paraId="5C43B863">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COD</w:t>
                  </w:r>
                  <w:r>
                    <w:rPr>
                      <w:rFonts w:ascii="Times New Roman" w:hAnsi="Times New Roman" w:eastAsia="宋体" w:cs="Times New Roman"/>
                      <w:szCs w:val="21"/>
                      <w:vertAlign w:val="subscript"/>
                    </w:rPr>
                    <w:t>Cr</w:t>
                  </w:r>
                </w:p>
              </w:tc>
              <w:tc>
                <w:tcPr>
                  <w:tcW w:w="625" w:type="pct"/>
                  <w:vAlign w:val="center"/>
                </w:tcPr>
                <w:p w14:paraId="2D0592E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氨氮</w:t>
                  </w:r>
                </w:p>
              </w:tc>
              <w:tc>
                <w:tcPr>
                  <w:tcW w:w="625" w:type="pct"/>
                  <w:vAlign w:val="center"/>
                </w:tcPr>
                <w:p w14:paraId="49E1285E">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总磷</w:t>
                  </w:r>
                </w:p>
              </w:tc>
              <w:tc>
                <w:tcPr>
                  <w:tcW w:w="624" w:type="pct"/>
                  <w:vAlign w:val="center"/>
                </w:tcPr>
                <w:p w14:paraId="5DD67B6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石油类</w:t>
                  </w:r>
                </w:p>
              </w:tc>
            </w:tr>
            <w:tr w14:paraId="4332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4" w:type="pct"/>
                  <w:vAlign w:val="center"/>
                </w:tcPr>
                <w:p w14:paraId="2138927E">
                  <w:pPr>
                    <w:adjustRightInd w:val="0"/>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lang w:val="zh-CN"/>
                    </w:rPr>
                    <w:t>标准值</w:t>
                  </w:r>
                  <w:r>
                    <w:rPr>
                      <w:rFonts w:ascii="Times New Roman" w:hAnsi="Times New Roman" w:eastAsia="宋体" w:cs="Times New Roman"/>
                      <w:szCs w:val="21"/>
                    </w:rPr>
                    <w:t>（Ⅲ</w:t>
                  </w:r>
                  <w:r>
                    <w:rPr>
                      <w:rFonts w:ascii="Times New Roman" w:hAnsi="Times New Roman" w:eastAsia="宋体" w:cs="Times New Roman"/>
                      <w:szCs w:val="21"/>
                      <w:lang w:val="zh-CN"/>
                    </w:rPr>
                    <w:t>类</w:t>
                  </w:r>
                  <w:r>
                    <w:rPr>
                      <w:rFonts w:ascii="Times New Roman" w:hAnsi="Times New Roman" w:eastAsia="宋体" w:cs="Times New Roman"/>
                      <w:szCs w:val="21"/>
                    </w:rPr>
                    <w:t>）</w:t>
                  </w:r>
                </w:p>
              </w:tc>
              <w:tc>
                <w:tcPr>
                  <w:tcW w:w="553" w:type="pct"/>
                  <w:vAlign w:val="center"/>
                </w:tcPr>
                <w:p w14:paraId="1258A4D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6~9</w:t>
                  </w:r>
                </w:p>
              </w:tc>
              <w:tc>
                <w:tcPr>
                  <w:tcW w:w="549" w:type="pct"/>
                  <w:vAlign w:val="center"/>
                </w:tcPr>
                <w:p w14:paraId="6DB9C23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w:t>
                  </w:r>
                </w:p>
              </w:tc>
              <w:tc>
                <w:tcPr>
                  <w:tcW w:w="750" w:type="pct"/>
                  <w:vAlign w:val="center"/>
                </w:tcPr>
                <w:p w14:paraId="0A5CDBE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w:t>
                  </w:r>
                </w:p>
              </w:tc>
              <w:tc>
                <w:tcPr>
                  <w:tcW w:w="625" w:type="pct"/>
                  <w:vAlign w:val="center"/>
                </w:tcPr>
                <w:p w14:paraId="276DD70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w:t>
                  </w:r>
                </w:p>
              </w:tc>
              <w:tc>
                <w:tcPr>
                  <w:tcW w:w="625" w:type="pct"/>
                  <w:vAlign w:val="center"/>
                </w:tcPr>
                <w:p w14:paraId="3BE02AA0">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≤0.2</w:t>
                  </w:r>
                </w:p>
              </w:tc>
              <w:tc>
                <w:tcPr>
                  <w:tcW w:w="624" w:type="pct"/>
                  <w:vAlign w:val="center"/>
                </w:tcPr>
                <w:p w14:paraId="21CFFD3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≤0.05</w:t>
                  </w:r>
                </w:p>
              </w:tc>
            </w:tr>
          </w:tbl>
          <w:p w14:paraId="11F1A6E4">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三、噪声环境质量：</w:t>
            </w:r>
          </w:p>
          <w:p w14:paraId="7E9C3E82">
            <w:pPr>
              <w:pStyle w:val="20"/>
              <w:spacing w:line="480" w:lineRule="exact"/>
              <w:ind w:left="0" w:firstLine="480" w:firstLineChars="200"/>
              <w:rPr>
                <w:rFonts w:ascii="Times New Roman" w:hAnsi="Times New Roman" w:eastAsia="宋体" w:cs="Times New Roman"/>
                <w:b/>
                <w:bCs/>
                <w:sz w:val="24"/>
                <w:szCs w:val="24"/>
              </w:rPr>
            </w:pPr>
            <w:r>
              <w:rPr>
                <w:rFonts w:ascii="Times New Roman" w:hAnsi="Times New Roman" w:eastAsia="宋体" w:cs="Times New Roman"/>
                <w:sz w:val="24"/>
                <w:szCs w:val="24"/>
              </w:rPr>
              <w:t>执行国家《声环境质量标准》（GB3096-2008）中3类标准</w:t>
            </w:r>
            <w:r>
              <w:rPr>
                <w:rFonts w:ascii="Times New Roman" w:hAnsi="Times New Roman" w:eastAsia="宋体" w:cs="Times New Roman"/>
                <w:bCs/>
                <w:sz w:val="24"/>
                <w:szCs w:val="24"/>
              </w:rPr>
              <w:t>。标准限值见表4-3。</w:t>
            </w:r>
          </w:p>
          <w:p w14:paraId="4B16FE95">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表4-3    环境噪声标准值表单位：dB(A)</w:t>
            </w:r>
          </w:p>
          <w:tbl>
            <w:tblPr>
              <w:tblStyle w:val="26"/>
              <w:tblW w:w="828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659"/>
              <w:gridCol w:w="2835"/>
              <w:gridCol w:w="2790"/>
            </w:tblGrid>
            <w:tr w14:paraId="6BDC13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659" w:type="dxa"/>
                  <w:tcBorders>
                    <w:top w:val="single" w:color="auto" w:sz="6" w:space="0"/>
                    <w:left w:val="single" w:color="auto" w:sz="6" w:space="0"/>
                    <w:bottom w:val="single" w:color="auto" w:sz="6" w:space="0"/>
                    <w:right w:val="single" w:color="auto" w:sz="6" w:space="0"/>
                  </w:tcBorders>
                  <w:vAlign w:val="center"/>
                </w:tcPr>
                <w:p w14:paraId="4C316F9F">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标准</w:t>
                  </w:r>
                </w:p>
              </w:tc>
              <w:tc>
                <w:tcPr>
                  <w:tcW w:w="2835" w:type="dxa"/>
                  <w:tcBorders>
                    <w:top w:val="single" w:color="auto" w:sz="6" w:space="0"/>
                    <w:left w:val="single" w:color="auto" w:sz="6" w:space="0"/>
                    <w:bottom w:val="single" w:color="auto" w:sz="6" w:space="0"/>
                    <w:right w:val="single" w:color="auto" w:sz="6" w:space="0"/>
                  </w:tcBorders>
                  <w:vAlign w:val="center"/>
                </w:tcPr>
                <w:p w14:paraId="1F940A45">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昼间</w:t>
                  </w:r>
                </w:p>
              </w:tc>
              <w:tc>
                <w:tcPr>
                  <w:tcW w:w="2790" w:type="dxa"/>
                  <w:tcBorders>
                    <w:top w:val="single" w:color="auto" w:sz="6" w:space="0"/>
                    <w:left w:val="single" w:color="auto" w:sz="6" w:space="0"/>
                    <w:bottom w:val="single" w:color="auto" w:sz="6" w:space="0"/>
                    <w:right w:val="single" w:color="auto" w:sz="6" w:space="0"/>
                  </w:tcBorders>
                  <w:vAlign w:val="center"/>
                </w:tcPr>
                <w:p w14:paraId="0D5AB4F0">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夜间</w:t>
                  </w:r>
                </w:p>
              </w:tc>
            </w:tr>
            <w:tr w14:paraId="7D8454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659" w:type="dxa"/>
                  <w:tcBorders>
                    <w:top w:val="single" w:color="auto" w:sz="6" w:space="0"/>
                    <w:left w:val="single" w:color="auto" w:sz="6" w:space="0"/>
                    <w:bottom w:val="single" w:color="auto" w:sz="6" w:space="0"/>
                    <w:right w:val="single" w:color="auto" w:sz="6" w:space="0"/>
                  </w:tcBorders>
                  <w:vAlign w:val="center"/>
                </w:tcPr>
                <w:p w14:paraId="74EBF8C3">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3类标准</w:t>
                  </w:r>
                </w:p>
              </w:tc>
              <w:tc>
                <w:tcPr>
                  <w:tcW w:w="2835" w:type="dxa"/>
                  <w:tcBorders>
                    <w:top w:val="single" w:color="auto" w:sz="6" w:space="0"/>
                    <w:left w:val="single" w:color="auto" w:sz="6" w:space="0"/>
                    <w:bottom w:val="single" w:color="auto" w:sz="6" w:space="0"/>
                    <w:right w:val="single" w:color="auto" w:sz="6" w:space="0"/>
                  </w:tcBorders>
                  <w:vAlign w:val="center"/>
                </w:tcPr>
                <w:p w14:paraId="1BB3491A">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65</w:t>
                  </w:r>
                </w:p>
              </w:tc>
              <w:tc>
                <w:tcPr>
                  <w:tcW w:w="2790" w:type="dxa"/>
                  <w:tcBorders>
                    <w:top w:val="single" w:color="auto" w:sz="6" w:space="0"/>
                    <w:left w:val="single" w:color="auto" w:sz="6" w:space="0"/>
                    <w:bottom w:val="single" w:color="auto" w:sz="6" w:space="0"/>
                    <w:right w:val="single" w:color="auto" w:sz="6" w:space="0"/>
                  </w:tcBorders>
                  <w:vAlign w:val="center"/>
                </w:tcPr>
                <w:p w14:paraId="48083274">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55</w:t>
                  </w:r>
                </w:p>
              </w:tc>
            </w:tr>
          </w:tbl>
          <w:p w14:paraId="58BC9D36">
            <w:pPr>
              <w:tabs>
                <w:tab w:val="left" w:pos="2792"/>
              </w:tabs>
              <w:spacing w:line="480" w:lineRule="exact"/>
              <w:rPr>
                <w:rFonts w:ascii="Times New Roman" w:hAnsi="Times New Roman" w:eastAsia="宋体" w:cs="Times New Roman"/>
              </w:rPr>
            </w:pPr>
          </w:p>
        </w:tc>
      </w:tr>
      <w:tr w14:paraId="0981A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1EA81359">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污</w:t>
            </w:r>
          </w:p>
          <w:p w14:paraId="30FAFEBF">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染</w:t>
            </w:r>
          </w:p>
          <w:p w14:paraId="280BAED1">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物</w:t>
            </w:r>
          </w:p>
          <w:p w14:paraId="633E6210">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排</w:t>
            </w:r>
          </w:p>
          <w:p w14:paraId="6B44ED5B">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放</w:t>
            </w:r>
          </w:p>
          <w:p w14:paraId="4E52AB54">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标</w:t>
            </w:r>
          </w:p>
          <w:p w14:paraId="54838550">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准</w:t>
            </w:r>
          </w:p>
          <w:p w14:paraId="549E390F">
            <w:pPr>
              <w:spacing w:line="360" w:lineRule="exact"/>
              <w:ind w:left="482" w:firstLine="482"/>
              <w:rPr>
                <w:rFonts w:ascii="Times New Roman" w:hAnsi="Times New Roman" w:eastAsia="宋体" w:cs="Times New Roman"/>
                <w:b/>
                <w:sz w:val="24"/>
              </w:rPr>
            </w:pPr>
          </w:p>
        </w:tc>
        <w:tc>
          <w:tcPr>
            <w:tcW w:w="8541" w:type="dxa"/>
          </w:tcPr>
          <w:p w14:paraId="54FFDCF9">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一、废气排放标准</w:t>
            </w:r>
          </w:p>
          <w:p w14:paraId="76CD2534">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废气排放标准执行《大气污染物综合排放标准》（GB16297-1996）表2中二级排放限值。</w:t>
            </w:r>
          </w:p>
          <w:p w14:paraId="3719398C">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表4-4 《大气污染物综合排放标准》（GB16297-1996）单位：mg/m</w:t>
            </w:r>
            <w:r>
              <w:rPr>
                <w:rFonts w:ascii="Times New Roman" w:hAnsi="Times New Roman" w:eastAsia="宋体" w:cs="Times New Roman"/>
                <w:snapToGrid w:val="0"/>
                <w:kern w:val="0"/>
                <w:sz w:val="24"/>
                <w:szCs w:val="24"/>
                <w:vertAlign w:val="superscript"/>
              </w:rPr>
              <w:t>3</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693"/>
              <w:gridCol w:w="1691"/>
              <w:gridCol w:w="1691"/>
              <w:gridCol w:w="1688"/>
            </w:tblGrid>
            <w:tr w14:paraId="41362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Merge w:val="restart"/>
                  <w:vAlign w:val="center"/>
                </w:tcPr>
                <w:p w14:paraId="5DC17ADC">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018" w:type="pct"/>
                  <w:vMerge w:val="restart"/>
                  <w:vAlign w:val="center"/>
                </w:tcPr>
                <w:p w14:paraId="6293434E">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最高允许排放浓度（mg/m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2034" w:type="pct"/>
                  <w:gridSpan w:val="2"/>
                  <w:vAlign w:val="center"/>
                </w:tcPr>
                <w:p w14:paraId="4689EB11">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最高允许排放速率，kg</w:t>
                  </w:r>
                  <w:r>
                    <w:rPr>
                      <w:rFonts w:ascii="Times New Roman" w:hAnsi="Times New Roman" w:eastAsia="宋体" w:cs="Times New Roman"/>
                      <w:szCs w:val="21"/>
                    </w:rPr>
                    <w:t>/</w:t>
                  </w:r>
                  <w:r>
                    <w:rPr>
                      <w:rFonts w:hint="eastAsia" w:ascii="Times New Roman" w:hAnsi="Times New Roman" w:eastAsia="宋体" w:cs="Times New Roman"/>
                      <w:szCs w:val="21"/>
                    </w:rPr>
                    <w:t>h</w:t>
                  </w:r>
                </w:p>
              </w:tc>
              <w:tc>
                <w:tcPr>
                  <w:tcW w:w="1015" w:type="pct"/>
                  <w:vMerge w:val="restart"/>
                  <w:vAlign w:val="center"/>
                </w:tcPr>
                <w:p w14:paraId="340BBBF3">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无组织排放限值（mg/m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r>
            <w:tr w14:paraId="6C4AD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Merge w:val="continue"/>
                  <w:vAlign w:val="center"/>
                </w:tcPr>
                <w:p w14:paraId="563A243E">
                  <w:pPr>
                    <w:snapToGrid w:val="0"/>
                    <w:spacing w:line="276" w:lineRule="auto"/>
                    <w:jc w:val="center"/>
                    <w:rPr>
                      <w:rFonts w:ascii="Times New Roman" w:hAnsi="Times New Roman" w:eastAsia="宋体" w:cs="Times New Roman"/>
                      <w:szCs w:val="21"/>
                    </w:rPr>
                  </w:pPr>
                </w:p>
              </w:tc>
              <w:tc>
                <w:tcPr>
                  <w:tcW w:w="1018" w:type="pct"/>
                  <w:vMerge w:val="continue"/>
                  <w:vAlign w:val="center"/>
                </w:tcPr>
                <w:p w14:paraId="0F8D4C26">
                  <w:pPr>
                    <w:snapToGrid w:val="0"/>
                    <w:spacing w:line="276" w:lineRule="auto"/>
                    <w:jc w:val="center"/>
                    <w:rPr>
                      <w:rFonts w:ascii="Times New Roman" w:hAnsi="Times New Roman" w:eastAsia="宋体" w:cs="Times New Roman"/>
                      <w:szCs w:val="21"/>
                    </w:rPr>
                  </w:pPr>
                </w:p>
              </w:tc>
              <w:tc>
                <w:tcPr>
                  <w:tcW w:w="1017" w:type="pct"/>
                  <w:vAlign w:val="center"/>
                </w:tcPr>
                <w:p w14:paraId="3AAEF751">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排气筒高度m</w:t>
                  </w:r>
                </w:p>
              </w:tc>
              <w:tc>
                <w:tcPr>
                  <w:tcW w:w="1017" w:type="pct"/>
                  <w:vAlign w:val="center"/>
                </w:tcPr>
                <w:p w14:paraId="6552AA07">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二级</w:t>
                  </w:r>
                </w:p>
              </w:tc>
              <w:tc>
                <w:tcPr>
                  <w:tcW w:w="1015" w:type="pct"/>
                  <w:vMerge w:val="continue"/>
                  <w:vAlign w:val="center"/>
                </w:tcPr>
                <w:p w14:paraId="2F51B2F3">
                  <w:pPr>
                    <w:snapToGrid w:val="0"/>
                    <w:spacing w:line="276" w:lineRule="auto"/>
                    <w:jc w:val="center"/>
                    <w:rPr>
                      <w:rFonts w:ascii="Times New Roman" w:hAnsi="Times New Roman" w:eastAsia="宋体" w:cs="Times New Roman"/>
                      <w:szCs w:val="21"/>
                    </w:rPr>
                  </w:pPr>
                </w:p>
              </w:tc>
            </w:tr>
            <w:tr w14:paraId="367D2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Align w:val="center"/>
                </w:tcPr>
                <w:p w14:paraId="0E286E6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018" w:type="pct"/>
                  <w:vAlign w:val="center"/>
                </w:tcPr>
                <w:p w14:paraId="40204241">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120</w:t>
                  </w:r>
                </w:p>
              </w:tc>
              <w:tc>
                <w:tcPr>
                  <w:tcW w:w="1017" w:type="pct"/>
                  <w:vAlign w:val="center"/>
                </w:tcPr>
                <w:p w14:paraId="309A937A">
                  <w:pPr>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w:t>
                  </w:r>
                </w:p>
              </w:tc>
              <w:tc>
                <w:tcPr>
                  <w:tcW w:w="1017" w:type="pct"/>
                  <w:vAlign w:val="center"/>
                </w:tcPr>
                <w:p w14:paraId="35187D52">
                  <w:pPr>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.5</w:t>
                  </w:r>
                </w:p>
              </w:tc>
              <w:tc>
                <w:tcPr>
                  <w:tcW w:w="1015" w:type="pct"/>
                  <w:vAlign w:val="center"/>
                </w:tcPr>
                <w:p w14:paraId="078C9001">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w:t>
                  </w:r>
                </w:p>
              </w:tc>
            </w:tr>
          </w:tbl>
          <w:p w14:paraId="7A81715C">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二、废水排放标准</w:t>
            </w:r>
          </w:p>
          <w:p w14:paraId="52E6DBDE">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本项目无生产废水</w:t>
            </w:r>
            <w:r>
              <w:rPr>
                <w:rFonts w:hint="eastAsia" w:ascii="Times New Roman" w:hAnsi="Times New Roman" w:eastAsia="宋体" w:cs="Times New Roman"/>
                <w:sz w:val="24"/>
              </w:rPr>
              <w:t>外排；生活污水经二级生化池处理后回用农肥处理，待规划园区污水处理厂建成后接入园区管网</w:t>
            </w:r>
            <w:r>
              <w:rPr>
                <w:rFonts w:ascii="Times New Roman" w:hAnsi="Times New Roman" w:eastAsia="宋体" w:cs="Times New Roman"/>
                <w:sz w:val="24"/>
              </w:rPr>
              <w:t>，不外排</w:t>
            </w:r>
            <w:r>
              <w:rPr>
                <w:rFonts w:hint="eastAsia" w:ascii="Times New Roman" w:hAnsi="Times New Roman" w:eastAsia="宋体" w:cs="Times New Roman"/>
                <w:sz w:val="24"/>
              </w:rPr>
              <w:t>，禁止直接排入地表水</w:t>
            </w:r>
            <w:r>
              <w:rPr>
                <w:rFonts w:ascii="Times New Roman" w:hAnsi="Times New Roman" w:eastAsia="宋体" w:cs="Times New Roman"/>
                <w:sz w:val="24"/>
              </w:rPr>
              <w:t>。</w:t>
            </w:r>
          </w:p>
          <w:p w14:paraId="7D8DC0D1">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三、噪声执行标准</w:t>
            </w:r>
          </w:p>
          <w:p w14:paraId="422B04B7">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施工期：执行《建筑施工场界环境噪声排放标准》(GB12523-2011</w:t>
            </w:r>
            <w:r>
              <w:rPr>
                <w:rFonts w:hint="eastAsia" w:ascii="Times New Roman" w:hAnsi="Times New Roman" w:eastAsia="宋体" w:cs="Times New Roman"/>
                <w:sz w:val="24"/>
                <w:lang w:eastAsia="zh-CN"/>
              </w:rPr>
              <w:t>）</w:t>
            </w:r>
            <w:r>
              <w:rPr>
                <w:rFonts w:ascii="Times New Roman" w:hAnsi="Times New Roman" w:eastAsia="宋体" w:cs="Times New Roman"/>
                <w:sz w:val="24"/>
              </w:rPr>
              <w:t>中相关标准；营运期：执行国家《工业企业厂界环境噪声排放标准》(GB12348-2008</w:t>
            </w:r>
            <w:r>
              <w:rPr>
                <w:rFonts w:hint="eastAsia" w:ascii="Times New Roman" w:hAnsi="Times New Roman" w:eastAsia="宋体" w:cs="Times New Roman"/>
                <w:sz w:val="24"/>
                <w:lang w:eastAsia="zh-CN"/>
              </w:rPr>
              <w:t>）</w:t>
            </w:r>
            <w:r>
              <w:rPr>
                <w:rFonts w:ascii="Times New Roman" w:hAnsi="Times New Roman" w:eastAsia="宋体" w:cs="Times New Roman"/>
                <w:sz w:val="24"/>
              </w:rPr>
              <w:t>中的</w:t>
            </w:r>
            <w:r>
              <w:rPr>
                <w:rFonts w:hint="eastAsia" w:ascii="Times New Roman" w:hAnsi="Times New Roman" w:eastAsia="宋体" w:cs="Times New Roman"/>
                <w:sz w:val="24"/>
              </w:rPr>
              <w:t>3</w:t>
            </w:r>
            <w:r>
              <w:rPr>
                <w:rFonts w:ascii="Times New Roman" w:hAnsi="Times New Roman" w:eastAsia="宋体" w:cs="Times New Roman"/>
                <w:sz w:val="24"/>
              </w:rPr>
              <w:t>类标准；</w:t>
            </w:r>
            <w:r>
              <w:rPr>
                <w:rFonts w:ascii="Times New Roman" w:hAnsi="Times New Roman" w:eastAsia="宋体" w:cs="Times New Roman"/>
                <w:bCs/>
                <w:sz w:val="24"/>
              </w:rPr>
              <w:t>标准限值见表4-5。</w:t>
            </w:r>
          </w:p>
          <w:p w14:paraId="0760C4D0">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表4-5  项目噪声执行标准单位：dB(A)</w:t>
            </w:r>
          </w:p>
          <w:tbl>
            <w:tblPr>
              <w:tblStyle w:val="26"/>
              <w:tblW w:w="828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095"/>
              <w:gridCol w:w="2008"/>
              <w:gridCol w:w="3181"/>
            </w:tblGrid>
            <w:tr w14:paraId="547931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266B1B5B">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caps/>
                      <w:szCs w:val="21"/>
                    </w:rPr>
                    <w:t>类别</w:t>
                  </w:r>
                </w:p>
              </w:tc>
              <w:tc>
                <w:tcPr>
                  <w:tcW w:w="2008" w:type="dxa"/>
                  <w:tcBorders>
                    <w:top w:val="single" w:color="auto" w:sz="6" w:space="0"/>
                    <w:left w:val="single" w:color="auto" w:sz="6" w:space="0"/>
                    <w:bottom w:val="single" w:color="auto" w:sz="6" w:space="0"/>
                    <w:right w:val="single" w:color="auto" w:sz="6" w:space="0"/>
                  </w:tcBorders>
                  <w:vAlign w:val="center"/>
                </w:tcPr>
                <w:p w14:paraId="760549F2">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昼间</w:t>
                  </w:r>
                </w:p>
              </w:tc>
              <w:tc>
                <w:tcPr>
                  <w:tcW w:w="3181" w:type="dxa"/>
                  <w:tcBorders>
                    <w:top w:val="single" w:color="auto" w:sz="6" w:space="0"/>
                    <w:left w:val="single" w:color="auto" w:sz="6" w:space="0"/>
                    <w:bottom w:val="single" w:color="auto" w:sz="6" w:space="0"/>
                    <w:right w:val="single" w:color="auto" w:sz="6" w:space="0"/>
                  </w:tcBorders>
                  <w:vAlign w:val="center"/>
                </w:tcPr>
                <w:p w14:paraId="43F2CB97">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夜间</w:t>
                  </w:r>
                </w:p>
              </w:tc>
            </w:tr>
            <w:tr w14:paraId="3664CD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486541D2">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caps/>
                      <w:szCs w:val="21"/>
                    </w:rPr>
                    <w:t>3类标准</w:t>
                  </w:r>
                </w:p>
              </w:tc>
              <w:tc>
                <w:tcPr>
                  <w:tcW w:w="2008" w:type="dxa"/>
                  <w:tcBorders>
                    <w:top w:val="single" w:color="auto" w:sz="6" w:space="0"/>
                    <w:left w:val="single" w:color="auto" w:sz="6" w:space="0"/>
                    <w:bottom w:val="single" w:color="auto" w:sz="6" w:space="0"/>
                    <w:right w:val="single" w:color="auto" w:sz="6" w:space="0"/>
                  </w:tcBorders>
                  <w:vAlign w:val="center"/>
                </w:tcPr>
                <w:p w14:paraId="6F9AEFE0">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65</w:t>
                  </w:r>
                </w:p>
              </w:tc>
              <w:tc>
                <w:tcPr>
                  <w:tcW w:w="3181" w:type="dxa"/>
                  <w:tcBorders>
                    <w:top w:val="single" w:color="auto" w:sz="6" w:space="0"/>
                    <w:left w:val="single" w:color="auto" w:sz="6" w:space="0"/>
                    <w:bottom w:val="single" w:color="auto" w:sz="6" w:space="0"/>
                    <w:right w:val="single" w:color="auto" w:sz="6" w:space="0"/>
                  </w:tcBorders>
                  <w:vAlign w:val="center"/>
                </w:tcPr>
                <w:p w14:paraId="25F1555E">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55</w:t>
                  </w:r>
                </w:p>
              </w:tc>
            </w:tr>
            <w:tr w14:paraId="4B33B4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5433D145">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szCs w:val="21"/>
                    </w:rPr>
                    <w:t>建筑施工场界环境噪声限值</w:t>
                  </w:r>
                </w:p>
              </w:tc>
              <w:tc>
                <w:tcPr>
                  <w:tcW w:w="2008" w:type="dxa"/>
                  <w:tcBorders>
                    <w:top w:val="single" w:color="auto" w:sz="6" w:space="0"/>
                    <w:left w:val="single" w:color="auto" w:sz="6" w:space="0"/>
                    <w:bottom w:val="single" w:color="auto" w:sz="6" w:space="0"/>
                    <w:right w:val="single" w:color="auto" w:sz="6" w:space="0"/>
                  </w:tcBorders>
                  <w:vAlign w:val="center"/>
                </w:tcPr>
                <w:p w14:paraId="62F03954">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70</w:t>
                  </w:r>
                </w:p>
              </w:tc>
              <w:tc>
                <w:tcPr>
                  <w:tcW w:w="3181" w:type="dxa"/>
                  <w:tcBorders>
                    <w:top w:val="single" w:color="auto" w:sz="6" w:space="0"/>
                    <w:left w:val="single" w:color="auto" w:sz="6" w:space="0"/>
                    <w:bottom w:val="single" w:color="auto" w:sz="6" w:space="0"/>
                    <w:right w:val="single" w:color="auto" w:sz="6" w:space="0"/>
                  </w:tcBorders>
                  <w:vAlign w:val="center"/>
                </w:tcPr>
                <w:p w14:paraId="34D42F9F">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55</w:t>
                  </w:r>
                </w:p>
              </w:tc>
            </w:tr>
          </w:tbl>
          <w:p w14:paraId="198DBB59">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三、固体废弃物排放标准</w:t>
            </w:r>
          </w:p>
          <w:p w14:paraId="6D58FA27">
            <w:pPr>
              <w:widowControl/>
              <w:adjustRightInd w:val="0"/>
              <w:snapToGrid w:val="0"/>
              <w:spacing w:line="480" w:lineRule="exact"/>
              <w:ind w:right="92" w:rightChars="44"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项目一般固废执行《一般工业固体废弃物储存、处置场污染控制标准》（GB12523-2001）及修改清单相关标准；危险固体废物储存、处置按《危险废物贮存污染物控制标准》（GB 18597-2001）及2013年修改清单标准执行。</w:t>
            </w:r>
          </w:p>
        </w:tc>
      </w:tr>
      <w:tr w14:paraId="0FA3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4EC52C6F">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总</w:t>
            </w:r>
          </w:p>
          <w:p w14:paraId="7D46734A">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量</w:t>
            </w:r>
          </w:p>
          <w:p w14:paraId="12C1DD57">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控</w:t>
            </w:r>
          </w:p>
          <w:p w14:paraId="32550509">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制</w:t>
            </w:r>
          </w:p>
          <w:p w14:paraId="02AEE71E">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指</w:t>
            </w:r>
          </w:p>
          <w:p w14:paraId="0AE509E5">
            <w:pPr>
              <w:spacing w:line="400" w:lineRule="exact"/>
              <w:rPr>
                <w:rFonts w:ascii="Times New Roman" w:hAnsi="Times New Roman" w:eastAsia="宋体" w:cs="Times New Roman"/>
                <w:sz w:val="24"/>
              </w:rPr>
            </w:pPr>
            <w:r>
              <w:rPr>
                <w:rFonts w:ascii="Times New Roman" w:hAnsi="Times New Roman" w:eastAsia="宋体" w:cs="Times New Roman"/>
                <w:b/>
                <w:sz w:val="28"/>
                <w:szCs w:val="28"/>
              </w:rPr>
              <w:t>标</w:t>
            </w:r>
          </w:p>
        </w:tc>
        <w:tc>
          <w:tcPr>
            <w:tcW w:w="8541" w:type="dxa"/>
          </w:tcPr>
          <w:p w14:paraId="0FB95F2D">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根据本项目的具体情况，结合国家污染物排放总量控制原则，项目无生产废水外排，生活污水</w:t>
            </w:r>
            <w:r>
              <w:rPr>
                <w:rFonts w:hint="eastAsia" w:ascii="Times New Roman" w:hAnsi="Times New Roman" w:eastAsia="宋体" w:cs="Times New Roman"/>
                <w:bCs/>
                <w:sz w:val="24"/>
              </w:rPr>
              <w:t>利用</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rPr>
              <w:t>收集处理后</w:t>
            </w:r>
            <w:r>
              <w:rPr>
                <w:rFonts w:hint="eastAsia" w:ascii="Times New Roman" w:hAnsi="Times New Roman" w:eastAsia="宋体" w:cs="Times New Roman"/>
                <w:sz w:val="24"/>
              </w:rPr>
              <w:t>回用农灌处理</w:t>
            </w:r>
            <w:r>
              <w:rPr>
                <w:rFonts w:ascii="Times New Roman" w:hAnsi="Times New Roman" w:eastAsia="宋体" w:cs="Times New Roman"/>
                <w:sz w:val="24"/>
              </w:rPr>
              <w:t>；</w:t>
            </w:r>
            <w:r>
              <w:rPr>
                <w:rFonts w:hint="eastAsia" w:ascii="Times New Roman" w:hAnsi="Times New Roman" w:eastAsia="宋体" w:cs="Times New Roman"/>
                <w:sz w:val="24"/>
              </w:rPr>
              <w:t>同时，</w:t>
            </w:r>
            <w:r>
              <w:rPr>
                <w:rFonts w:hint="eastAsia" w:ascii="Times New Roman" w:hAnsi="Times New Roman" w:eastAsia="宋体" w:cs="Times New Roman"/>
                <w:b/>
                <w:sz w:val="24"/>
              </w:rPr>
              <w:t>根据《固定污染源排污许可分类管理名录（2</w:t>
            </w:r>
            <w:r>
              <w:rPr>
                <w:rFonts w:ascii="Times New Roman" w:hAnsi="Times New Roman" w:eastAsia="宋体" w:cs="Times New Roman"/>
                <w:b/>
                <w:sz w:val="24"/>
              </w:rPr>
              <w:t>019</w:t>
            </w:r>
            <w:r>
              <w:rPr>
                <w:rFonts w:hint="eastAsia" w:ascii="Times New Roman" w:hAnsi="Times New Roman" w:eastAsia="宋体" w:cs="Times New Roman"/>
                <w:b/>
                <w:sz w:val="24"/>
              </w:rPr>
              <w:t>年版）》，本项目属于“二十五、非金属矿物制品3</w:t>
            </w:r>
            <w:r>
              <w:rPr>
                <w:rFonts w:ascii="Times New Roman" w:hAnsi="Times New Roman" w:eastAsia="宋体" w:cs="Times New Roman"/>
                <w:b/>
                <w:sz w:val="24"/>
              </w:rPr>
              <w:t>0  70</w:t>
            </w:r>
            <w:r>
              <w:rPr>
                <w:rFonts w:hint="eastAsia" w:ascii="Times New Roman" w:hAnsi="Times New Roman" w:eastAsia="宋体" w:cs="Times New Roman"/>
                <w:b/>
                <w:sz w:val="24"/>
              </w:rPr>
              <w:t xml:space="preserve">石墨及其他非金属矿物制品制造 </w:t>
            </w:r>
            <w:r>
              <w:rPr>
                <w:rFonts w:ascii="Times New Roman" w:hAnsi="Times New Roman" w:eastAsia="宋体" w:cs="Times New Roman"/>
                <w:b/>
                <w:sz w:val="24"/>
              </w:rPr>
              <w:t>3099</w:t>
            </w:r>
            <w:r>
              <w:rPr>
                <w:rFonts w:hint="eastAsia" w:ascii="Times New Roman" w:hAnsi="Times New Roman" w:eastAsia="宋体" w:cs="Times New Roman"/>
                <w:b/>
                <w:sz w:val="24"/>
              </w:rPr>
              <w:t>”为登记管理类项目，不核发总量</w:t>
            </w:r>
            <w:r>
              <w:rPr>
                <w:rFonts w:ascii="Times New Roman" w:hAnsi="Times New Roman" w:eastAsia="宋体" w:cs="Times New Roman"/>
                <w:bCs/>
                <w:sz w:val="24"/>
              </w:rPr>
              <w:t>。</w:t>
            </w:r>
          </w:p>
          <w:p w14:paraId="558508AB">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上述指标仅供环保管理部门在制定区域总量控制计划时参考。</w:t>
            </w:r>
          </w:p>
          <w:p w14:paraId="6BAA7613">
            <w:pPr>
              <w:spacing w:line="480" w:lineRule="exact"/>
              <w:ind w:firstLine="480" w:firstLineChars="200"/>
              <w:rPr>
                <w:rFonts w:ascii="Times New Roman" w:hAnsi="Times New Roman" w:eastAsia="宋体" w:cs="Times New Roman"/>
                <w:bCs/>
                <w:sz w:val="24"/>
              </w:rPr>
            </w:pPr>
          </w:p>
          <w:p w14:paraId="0580B948">
            <w:pPr>
              <w:spacing w:line="480" w:lineRule="exact"/>
              <w:ind w:firstLine="480" w:firstLineChars="200"/>
              <w:rPr>
                <w:rFonts w:ascii="Times New Roman" w:hAnsi="Times New Roman" w:eastAsia="宋体" w:cs="Times New Roman"/>
                <w:bCs/>
                <w:sz w:val="24"/>
              </w:rPr>
            </w:pPr>
          </w:p>
          <w:p w14:paraId="3650B4BB">
            <w:pPr>
              <w:spacing w:line="480" w:lineRule="exact"/>
              <w:ind w:firstLine="480" w:firstLineChars="200"/>
              <w:rPr>
                <w:rFonts w:ascii="Times New Roman" w:hAnsi="Times New Roman" w:eastAsia="宋体" w:cs="Times New Roman"/>
                <w:bCs/>
                <w:sz w:val="24"/>
              </w:rPr>
            </w:pPr>
          </w:p>
          <w:p w14:paraId="51323EE7">
            <w:pPr>
              <w:spacing w:line="480" w:lineRule="exact"/>
              <w:ind w:firstLine="480" w:firstLineChars="200"/>
              <w:rPr>
                <w:rFonts w:ascii="Times New Roman" w:hAnsi="Times New Roman" w:eastAsia="宋体" w:cs="Times New Roman"/>
                <w:bCs/>
                <w:sz w:val="24"/>
              </w:rPr>
            </w:pPr>
          </w:p>
        </w:tc>
      </w:tr>
    </w:tbl>
    <w:p w14:paraId="7D48850E">
      <w:pPr>
        <w:outlineLvl w:val="0"/>
        <w:rPr>
          <w:rFonts w:ascii="Times New Roman" w:hAnsi="Times New Roman" w:eastAsia="宋体" w:cs="Times New Roman"/>
          <w:b/>
          <w:sz w:val="30"/>
          <w:szCs w:val="30"/>
        </w:rPr>
        <w:sectPr>
          <w:footerReference r:id="rId6" w:type="default"/>
          <w:pgSz w:w="11906" w:h="16838"/>
          <w:pgMar w:top="1814" w:right="1474" w:bottom="1474" w:left="1474" w:header="851" w:footer="958" w:gutter="0"/>
          <w:pgNumType w:start="1"/>
          <w:cols w:space="720" w:num="1"/>
          <w:docGrid w:linePitch="312" w:charSpace="0"/>
        </w:sectPr>
      </w:pPr>
    </w:p>
    <w:p w14:paraId="7EECE149">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建设项目工程分析（表五）</w:t>
      </w:r>
    </w:p>
    <w:tbl>
      <w:tblPr>
        <w:tblStyle w:val="26"/>
        <w:tblW w:w="852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28"/>
      </w:tblGrid>
      <w:tr w14:paraId="0CB22F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528" w:type="dxa"/>
            <w:tcBorders>
              <w:top w:val="single" w:color="auto" w:sz="4" w:space="0"/>
              <w:bottom w:val="single" w:color="auto" w:sz="4" w:space="0"/>
            </w:tcBorders>
          </w:tcPr>
          <w:p w14:paraId="608B9E5C">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一、工艺流程简述（图示）</w:t>
            </w:r>
          </w:p>
          <w:p w14:paraId="67471E8A">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（一）施工期</w:t>
            </w:r>
          </w:p>
          <w:p w14:paraId="2E6B7C49">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本项目利用现有平整场地进行改扩建。施工期主要为厂房的建设、生产设备的安装、环保设施的安装，</w:t>
            </w:r>
            <w:r>
              <w:rPr>
                <w:rFonts w:ascii="Times New Roman" w:hAnsi="Times New Roman" w:eastAsia="宋体" w:cs="Times New Roman"/>
                <w:bCs/>
                <w:sz w:val="24"/>
                <w:szCs w:val="24"/>
              </w:rPr>
              <w:t>不修建永久建筑物，</w:t>
            </w:r>
            <w:r>
              <w:rPr>
                <w:rFonts w:ascii="Times New Roman" w:hAnsi="Times New Roman" w:eastAsia="宋体" w:cs="Times New Roman"/>
                <w:sz w:val="24"/>
              </w:rPr>
              <w:t>不涉及大规模建筑施工过程。由于施工期较短，对周边环境影响较小。项目施工基本工艺流程及产污情况详见图5-1。</w:t>
            </w:r>
          </w:p>
          <w:p w14:paraId="6C8BC26D">
            <w:pPr>
              <w:spacing w:line="360" w:lineRule="auto"/>
              <w:ind w:firstLine="420" w:firstLineChars="200"/>
              <w:jc w:val="center"/>
              <w:rPr>
                <w:rFonts w:ascii="Times New Roman" w:hAnsi="Times New Roman" w:eastAsia="宋体" w:cs="Times New Roman"/>
                <w:sz w:val="24"/>
              </w:rPr>
            </w:pPr>
            <w:r>
              <w:rPr>
                <w:rFonts w:ascii="Times New Roman" w:hAnsi="Times New Roman" w:eastAsia="宋体" w:cs="Times New Roman"/>
              </w:rPr>
              <w:object>
                <v:shape id="_x0000_i1025" o:spt="75" type="#_x0000_t75" style="height:151.4pt;width:322.15pt;" o:ole="t" filled="f" o:preferrelative="t" stroked="f" coordsize="21600,21600">
                  <v:path/>
                  <v:fill on="f" focussize="0,0"/>
                  <v:stroke on="f" joinstyle="miter"/>
                  <v:imagedata r:id="rId13" o:title=""/>
                  <o:lock v:ext="edit" aspectratio="t"/>
                  <w10:wrap type="none"/>
                  <w10:anchorlock/>
                </v:shape>
                <o:OLEObject Type="Embed" ProgID="Visio.Drawing.11" ShapeID="_x0000_i1025" DrawAspect="Content" ObjectID="_1468075725" r:id="rId12">
                  <o:LockedField>false</o:LockedField>
                </o:OLEObject>
              </w:object>
            </w:r>
          </w:p>
          <w:p w14:paraId="48AEBB7F">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（二）运营期</w:t>
            </w:r>
          </w:p>
          <w:p w14:paraId="725BC030">
            <w:pPr>
              <w:spacing w:line="360" w:lineRule="auto"/>
              <w:ind w:firstLine="422" w:firstLineChars="176"/>
              <w:rPr>
                <w:rFonts w:ascii="Times New Roman" w:hAnsi="Times New Roman" w:eastAsia="宋体" w:cs="Times New Roman"/>
                <w:sz w:val="24"/>
              </w:rPr>
            </w:pPr>
            <w:r>
              <w:rPr>
                <w:rFonts w:ascii="Times New Roman" w:hAnsi="Times New Roman" w:eastAsia="宋体" w:cs="Times New Roman"/>
                <w:sz w:val="24"/>
              </w:rPr>
              <w:t>本项目为</w:t>
            </w:r>
            <w:r>
              <w:rPr>
                <w:rFonts w:hint="eastAsia" w:ascii="Times New Roman" w:hAnsi="Times New Roman" w:eastAsia="宋体" w:cs="Times New Roman"/>
                <w:sz w:val="24"/>
              </w:rPr>
              <w:t>硅粉</w:t>
            </w:r>
            <w:r>
              <w:rPr>
                <w:rFonts w:ascii="Times New Roman" w:hAnsi="Times New Roman" w:eastAsia="宋体" w:cs="Times New Roman"/>
                <w:sz w:val="24"/>
              </w:rPr>
              <w:t>加工项目，产品为</w:t>
            </w:r>
            <w:r>
              <w:rPr>
                <w:rFonts w:hint="eastAsia" w:ascii="Times New Roman" w:hAnsi="Times New Roman" w:eastAsia="宋体" w:cs="Times New Roman"/>
                <w:sz w:val="24"/>
              </w:rPr>
              <w:t>工业硅粉</w:t>
            </w:r>
            <w:r>
              <w:rPr>
                <w:rFonts w:ascii="Times New Roman" w:hAnsi="Times New Roman" w:eastAsia="宋体" w:cs="Times New Roman"/>
                <w:sz w:val="24"/>
              </w:rPr>
              <w:t>，加工能力为4万t/a。本项目生产工艺流程简述如下：营运期生产工艺流程及污染物产生环节见下图5-2。</w:t>
            </w:r>
          </w:p>
          <w:p w14:paraId="44E8F576">
            <w:pPr>
              <w:spacing w:line="360" w:lineRule="auto"/>
              <w:jc w:val="center"/>
              <w:rPr>
                <w:rFonts w:ascii="Times New Roman" w:hAnsi="Times New Roman" w:eastAsia="宋体" w:cs="Times New Roman"/>
                <w:sz w:val="24"/>
              </w:rPr>
            </w:pPr>
            <w:r>
              <w:object>
                <v:shape id="_x0000_i1026" o:spt="75" type="#_x0000_t75" style="height:210.8pt;width:379.3pt;" o:ole="t" filled="f" o:preferrelative="t" stroked="f" coordsize="21600,21600">
                  <v:path/>
                  <v:fill on="f" focussize="0,0"/>
                  <v:stroke on="f" joinstyle="miter"/>
                  <v:imagedata r:id="rId15" o:title=""/>
                  <o:lock v:ext="edit" aspectratio="t"/>
                  <w10:wrap type="none"/>
                  <w10:anchorlock/>
                </v:shape>
                <o:OLEObject Type="Embed" ProgID="Visio.Drawing.15" ShapeID="_x0000_i1026" DrawAspect="Content" ObjectID="_1468075726" r:id="rId14">
                  <o:LockedField>false</o:LockedField>
                </o:OLEObject>
              </w:object>
            </w:r>
          </w:p>
          <w:p w14:paraId="381D8BCE">
            <w:pPr>
              <w:spacing w:line="360" w:lineRule="auto"/>
              <w:ind w:firstLine="422" w:firstLineChars="176"/>
              <w:jc w:val="center"/>
              <w:rPr>
                <w:rFonts w:ascii="Times New Roman" w:hAnsi="Times New Roman" w:eastAsia="宋体" w:cs="Times New Roman"/>
                <w:b/>
                <w:sz w:val="24"/>
              </w:rPr>
            </w:pPr>
            <w:r>
              <w:rPr>
                <w:rFonts w:ascii="Times New Roman" w:hAnsi="Times New Roman" w:eastAsia="宋体" w:cs="Times New Roman"/>
                <w:sz w:val="24"/>
                <w:szCs w:val="24"/>
              </w:rPr>
              <w:t>图5-2 项目生产工艺流程及产污节点图</w:t>
            </w:r>
          </w:p>
          <w:p w14:paraId="608932CE">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投料：</w:t>
            </w:r>
            <w:r>
              <w:rPr>
                <w:rFonts w:hint="eastAsia" w:ascii="Times New Roman" w:hAnsi="Times New Roman" w:eastAsia="宋体" w:cs="Times New Roman"/>
                <w:sz w:val="24"/>
              </w:rPr>
              <w:t>将硅块中转库内的硅块领出，通过行车吊运。</w:t>
            </w:r>
          </w:p>
          <w:p w14:paraId="0A6EE1EE">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此过程会产生噪声。</w:t>
            </w:r>
          </w:p>
          <w:p w14:paraId="5ADE19D0">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除铁：</w:t>
            </w:r>
            <w:r>
              <w:rPr>
                <w:rFonts w:hint="eastAsia" w:ascii="Times New Roman" w:hAnsi="Times New Roman" w:eastAsia="宋体" w:cs="Times New Roman"/>
                <w:sz w:val="24"/>
              </w:rPr>
              <w:t>除去硅块中可能含有的铁块，防止损坏设备，杜绝安全隐患。</w:t>
            </w:r>
          </w:p>
          <w:p w14:paraId="15911CCD">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此过程会产生噪声、</w:t>
            </w:r>
            <w:r>
              <w:rPr>
                <w:rFonts w:hint="eastAsia" w:ascii="Times New Roman" w:hAnsi="Times New Roman" w:eastAsia="宋体" w:cs="Times New Roman"/>
                <w:bCs/>
                <w:sz w:val="24"/>
              </w:rPr>
              <w:t>固废</w:t>
            </w:r>
            <w:r>
              <w:rPr>
                <w:rFonts w:ascii="Times New Roman" w:hAnsi="Times New Roman" w:eastAsia="宋体" w:cs="Times New Roman"/>
                <w:bCs/>
                <w:sz w:val="24"/>
              </w:rPr>
              <w:t>。</w:t>
            </w:r>
          </w:p>
          <w:p w14:paraId="7B0AAEF3">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粗破、筛分、除铁：</w:t>
            </w:r>
            <w:r>
              <w:rPr>
                <w:rFonts w:hint="eastAsia" w:ascii="Times New Roman" w:hAnsi="Times New Roman" w:eastAsia="宋体" w:cs="Times New Roman"/>
                <w:sz w:val="24"/>
              </w:rPr>
              <w:t>将处理的硅块用起重设备吊到加料岗位，加入硅块料仓，通过与后系统料仓联锁的变频给料机将硅块加入颚式破碎机进行粗破，粉碎到平均粒径约2cm至3cm。进行筛分，粗料返回继续破碎。细料经提升机提升至二楼，由管道除铁器进入细碎硅块料仓。</w:t>
            </w:r>
          </w:p>
          <w:p w14:paraId="63E68F3F">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此过程会产生噪声、</w:t>
            </w:r>
            <w:r>
              <w:rPr>
                <w:rFonts w:hint="eastAsia" w:ascii="Times New Roman" w:hAnsi="Times New Roman" w:eastAsia="宋体" w:cs="Times New Roman"/>
                <w:bCs/>
                <w:sz w:val="24"/>
              </w:rPr>
              <w:t>废气、固废</w:t>
            </w:r>
            <w:r>
              <w:rPr>
                <w:rFonts w:ascii="Times New Roman" w:hAnsi="Times New Roman" w:eastAsia="宋体" w:cs="Times New Roman"/>
                <w:bCs/>
                <w:sz w:val="24"/>
              </w:rPr>
              <w:t>。</w:t>
            </w:r>
          </w:p>
          <w:p w14:paraId="1F123E2D">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粉磨：</w:t>
            </w:r>
            <w:r>
              <w:rPr>
                <w:rFonts w:hint="eastAsia" w:ascii="Times New Roman" w:hAnsi="Times New Roman" w:eastAsia="宋体" w:cs="Times New Roman"/>
                <w:sz w:val="24"/>
              </w:rPr>
              <w:t>粗破后的细碎硅料从细碎料仓通过变频给料机喂入劈裂磨进行粉碎，该工序为硅粉生产的核心工序。粉碎后的硅粉通过斗提进入筛分工序。</w:t>
            </w:r>
          </w:p>
          <w:p w14:paraId="19E81978">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此过程会产生噪声、</w:t>
            </w:r>
            <w:r>
              <w:rPr>
                <w:rFonts w:hint="eastAsia" w:ascii="Times New Roman" w:hAnsi="Times New Roman" w:eastAsia="宋体" w:cs="Times New Roman"/>
                <w:bCs/>
                <w:sz w:val="24"/>
              </w:rPr>
              <w:t>废气</w:t>
            </w:r>
            <w:r>
              <w:rPr>
                <w:rFonts w:ascii="Times New Roman" w:hAnsi="Times New Roman" w:eastAsia="宋体" w:cs="Times New Roman"/>
                <w:bCs/>
                <w:sz w:val="24"/>
              </w:rPr>
              <w:t>。</w:t>
            </w:r>
          </w:p>
          <w:p w14:paraId="7825D141">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筛分：</w:t>
            </w:r>
            <w:r>
              <w:rPr>
                <w:rFonts w:hint="eastAsia" w:ascii="Times New Roman" w:hAnsi="Times New Roman" w:eastAsia="宋体" w:cs="Times New Roman"/>
                <w:sz w:val="24"/>
              </w:rPr>
              <w:t>将粉磨后的硅粉经筛分机筛分，筛分后筛上物（回料）回到粉磨工序重新粉碎，成品粉由提升机提入成品粉料仓。</w:t>
            </w:r>
          </w:p>
          <w:p w14:paraId="5DD9A173">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此过程会产生噪声、</w:t>
            </w:r>
            <w:r>
              <w:rPr>
                <w:rFonts w:hint="eastAsia" w:ascii="Times New Roman" w:hAnsi="Times New Roman" w:eastAsia="宋体" w:cs="Times New Roman"/>
                <w:bCs/>
                <w:sz w:val="24"/>
              </w:rPr>
              <w:t>废气</w:t>
            </w:r>
            <w:r>
              <w:rPr>
                <w:rFonts w:ascii="Times New Roman" w:hAnsi="Times New Roman" w:eastAsia="宋体" w:cs="Times New Roman"/>
                <w:bCs/>
                <w:sz w:val="24"/>
              </w:rPr>
              <w:t>。</w:t>
            </w:r>
          </w:p>
          <w:p w14:paraId="011395EB">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转运：</w:t>
            </w:r>
            <w:r>
              <w:rPr>
                <w:rFonts w:hint="eastAsia" w:ascii="Times New Roman" w:hAnsi="Times New Roman" w:eastAsia="宋体" w:cs="Times New Roman"/>
                <w:sz w:val="24"/>
              </w:rPr>
              <w:t>成品硅粉经槽罐车罐装后转运至林河集团公司其他车间使用。</w:t>
            </w:r>
          </w:p>
          <w:p w14:paraId="676B0361">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二、主要污染工序</w:t>
            </w:r>
          </w:p>
          <w:p w14:paraId="0F6D841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本工程建设施工期和营运期主要产污工序分述如下：</w:t>
            </w:r>
          </w:p>
          <w:p w14:paraId="77725D1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（一）施工期</w:t>
            </w:r>
          </w:p>
          <w:p w14:paraId="79696423">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施工期污染工序主要为扬尘、施工机械废气、噪声、固废等。施工期主要包括装修工程、设备安装、工程验收等，施工期产生的污染物主要为：</w:t>
            </w:r>
          </w:p>
          <w:p w14:paraId="5B33826E">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施工废水：主要为施工人员生活污水和生产废水。</w:t>
            </w:r>
          </w:p>
          <w:p w14:paraId="621FAF9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施工废气：主要有施工扬尘、汽车、机械设备尾气等。</w:t>
            </w:r>
          </w:p>
          <w:p w14:paraId="749F464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施工噪声：主要来源于施工现场各类机械设备和物料运输车辆的噪声。</w:t>
            </w:r>
          </w:p>
          <w:p w14:paraId="1D592F79">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施工固废：施工固废主要为建筑垃圾、生活垃圾等。</w:t>
            </w:r>
          </w:p>
          <w:p w14:paraId="017F08A8">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（二）运营期</w:t>
            </w:r>
          </w:p>
          <w:p w14:paraId="017BC46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结合项目原辅料用量和生产工艺，本项目生产过程中主要污染因子如下表所示：</w:t>
            </w:r>
          </w:p>
          <w:p w14:paraId="0429DC04">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表5-1  污染因子分析表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94"/>
              <w:gridCol w:w="2546"/>
              <w:gridCol w:w="4742"/>
            </w:tblGrid>
            <w:tr w14:paraId="6A3139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Align w:val="center"/>
                </w:tcPr>
                <w:p w14:paraId="54EA4075">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1537" w:type="pct"/>
                  <w:vAlign w:val="center"/>
                </w:tcPr>
                <w:p w14:paraId="39B7A025">
                  <w:pPr>
                    <w:jc w:val="center"/>
                    <w:rPr>
                      <w:rFonts w:ascii="Times New Roman" w:hAnsi="Times New Roman" w:eastAsia="宋体" w:cs="Times New Roman"/>
                      <w:szCs w:val="21"/>
                    </w:rPr>
                  </w:pPr>
                  <w:r>
                    <w:rPr>
                      <w:rFonts w:ascii="Times New Roman" w:hAnsi="Times New Roman" w:eastAsia="宋体" w:cs="Times New Roman"/>
                      <w:szCs w:val="21"/>
                    </w:rPr>
                    <w:t>污染工序</w:t>
                  </w:r>
                </w:p>
              </w:tc>
              <w:tc>
                <w:tcPr>
                  <w:tcW w:w="2863" w:type="pct"/>
                  <w:vAlign w:val="center"/>
                </w:tcPr>
                <w:p w14:paraId="54876B6E">
                  <w:pPr>
                    <w:jc w:val="center"/>
                    <w:rPr>
                      <w:rFonts w:ascii="Times New Roman" w:hAnsi="Times New Roman" w:eastAsia="宋体" w:cs="Times New Roman"/>
                      <w:szCs w:val="21"/>
                    </w:rPr>
                  </w:pPr>
                  <w:r>
                    <w:rPr>
                      <w:rFonts w:ascii="Times New Roman" w:hAnsi="Times New Roman" w:eastAsia="宋体" w:cs="Times New Roman"/>
                      <w:szCs w:val="21"/>
                    </w:rPr>
                    <w:t>污染因子</w:t>
                  </w:r>
                </w:p>
              </w:tc>
            </w:tr>
            <w:tr w14:paraId="71D5ED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restart"/>
                  <w:vAlign w:val="center"/>
                </w:tcPr>
                <w:p w14:paraId="7D75A61F">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1537" w:type="pct"/>
                  <w:vAlign w:val="center"/>
                </w:tcPr>
                <w:p w14:paraId="2573000E">
                  <w:pPr>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2863" w:type="pct"/>
                  <w:vAlign w:val="center"/>
                </w:tcPr>
                <w:p w14:paraId="47D5D840">
                  <w:pPr>
                    <w:jc w:val="center"/>
                    <w:rPr>
                      <w:rFonts w:ascii="Times New Roman" w:hAnsi="Times New Roman" w:eastAsia="宋体" w:cs="Times New Roman"/>
                      <w:szCs w:val="21"/>
                    </w:rPr>
                  </w:pPr>
                  <w:r>
                    <w:rPr>
                      <w:rFonts w:ascii="Times New Roman" w:hAnsi="Times New Roman" w:eastAsia="宋体" w:cs="Times New Roman"/>
                      <w:szCs w:val="21"/>
                    </w:rPr>
                    <w:t>粉尘</w:t>
                  </w:r>
                </w:p>
              </w:tc>
            </w:tr>
            <w:tr w14:paraId="06FB45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371100E1">
                  <w:pPr>
                    <w:jc w:val="center"/>
                    <w:rPr>
                      <w:rFonts w:ascii="Times New Roman" w:hAnsi="Times New Roman" w:eastAsia="宋体" w:cs="Times New Roman"/>
                      <w:szCs w:val="21"/>
                    </w:rPr>
                  </w:pPr>
                </w:p>
              </w:tc>
              <w:tc>
                <w:tcPr>
                  <w:tcW w:w="1537" w:type="pct"/>
                  <w:vAlign w:val="center"/>
                </w:tcPr>
                <w:p w14:paraId="225B9A1F">
                  <w:pPr>
                    <w:jc w:val="center"/>
                    <w:rPr>
                      <w:rFonts w:ascii="Times New Roman" w:hAnsi="Times New Roman" w:eastAsia="宋体" w:cs="Times New Roman"/>
                      <w:szCs w:val="21"/>
                    </w:rPr>
                  </w:pPr>
                  <w:r>
                    <w:rPr>
                      <w:rFonts w:ascii="Times New Roman" w:hAnsi="Times New Roman" w:eastAsia="宋体" w:cs="Times New Roman"/>
                      <w:szCs w:val="21"/>
                    </w:rPr>
                    <w:t>机械转运</w:t>
                  </w:r>
                </w:p>
              </w:tc>
              <w:tc>
                <w:tcPr>
                  <w:tcW w:w="2863" w:type="pct"/>
                  <w:vAlign w:val="center"/>
                </w:tcPr>
                <w:p w14:paraId="2F345DB2">
                  <w:pPr>
                    <w:jc w:val="center"/>
                    <w:rPr>
                      <w:rFonts w:ascii="Times New Roman" w:hAnsi="Times New Roman" w:eastAsia="宋体" w:cs="Times New Roman"/>
                      <w:kern w:val="0"/>
                      <w:szCs w:val="21"/>
                    </w:rPr>
                  </w:pPr>
                  <w:r>
                    <w:rPr>
                      <w:rFonts w:hint="eastAsia" w:ascii="Times New Roman" w:hAnsi="Times New Roman" w:eastAsia="宋体" w:cs="Times New Roman"/>
                      <w:szCs w:val="21"/>
                    </w:rPr>
                    <w:t>汽车转运</w:t>
                  </w:r>
                  <w:r>
                    <w:rPr>
                      <w:rFonts w:ascii="Times New Roman" w:hAnsi="Times New Roman" w:eastAsia="宋体" w:cs="Times New Roman"/>
                      <w:szCs w:val="21"/>
                    </w:rPr>
                    <w:t>尾气</w:t>
                  </w:r>
                  <w:r>
                    <w:rPr>
                      <w:rFonts w:hint="eastAsia" w:ascii="Times New Roman" w:hAnsi="Times New Roman" w:eastAsia="宋体" w:cs="Times New Roman"/>
                      <w:szCs w:val="21"/>
                    </w:rPr>
                    <w:t>、机械废气</w:t>
                  </w:r>
                </w:p>
              </w:tc>
            </w:tr>
            <w:tr w14:paraId="4E30F1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Align w:val="center"/>
                </w:tcPr>
                <w:p w14:paraId="70AA6A9A">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1537" w:type="pct"/>
                  <w:vAlign w:val="center"/>
                </w:tcPr>
                <w:p w14:paraId="54C89C97">
                  <w:pPr>
                    <w:jc w:val="center"/>
                    <w:rPr>
                      <w:rFonts w:ascii="Times New Roman" w:hAnsi="Times New Roman" w:eastAsia="宋体" w:cs="Times New Roman"/>
                      <w:szCs w:val="21"/>
                    </w:rPr>
                  </w:pPr>
                  <w:r>
                    <w:rPr>
                      <w:rFonts w:ascii="Times New Roman" w:hAnsi="Times New Roman" w:eastAsia="宋体" w:cs="Times New Roman"/>
                      <w:szCs w:val="21"/>
                    </w:rPr>
                    <w:t>综合办公楼、卫生间等</w:t>
                  </w:r>
                </w:p>
              </w:tc>
              <w:tc>
                <w:tcPr>
                  <w:tcW w:w="2863" w:type="pct"/>
                  <w:vAlign w:val="center"/>
                </w:tcPr>
                <w:p w14:paraId="2F2C366E">
                  <w:pPr>
                    <w:jc w:val="center"/>
                    <w:rPr>
                      <w:rFonts w:ascii="Times New Roman" w:hAnsi="Times New Roman" w:eastAsia="宋体" w:cs="Times New Roman"/>
                      <w:szCs w:val="21"/>
                    </w:rPr>
                  </w:pPr>
                  <w:r>
                    <w:rPr>
                      <w:rFonts w:ascii="Times New Roman" w:hAnsi="Times New Roman" w:eastAsia="宋体" w:cs="Times New Roman"/>
                      <w:szCs w:val="21"/>
                    </w:rPr>
                    <w:t>员工生活污水</w:t>
                  </w:r>
                </w:p>
              </w:tc>
            </w:tr>
            <w:tr w14:paraId="588562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Align w:val="center"/>
                </w:tcPr>
                <w:p w14:paraId="46A135AC">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537" w:type="pct"/>
                  <w:vAlign w:val="center"/>
                </w:tcPr>
                <w:p w14:paraId="3194D7A9">
                  <w:pPr>
                    <w:jc w:val="center"/>
                    <w:rPr>
                      <w:rFonts w:ascii="Times New Roman" w:hAnsi="Times New Roman" w:eastAsia="宋体" w:cs="Times New Roman"/>
                      <w:szCs w:val="21"/>
                    </w:rPr>
                  </w:pPr>
                  <w:r>
                    <w:rPr>
                      <w:rFonts w:ascii="Times New Roman" w:hAnsi="Times New Roman" w:eastAsia="宋体" w:cs="Times New Roman"/>
                      <w:szCs w:val="21"/>
                    </w:rPr>
                    <w:t>设备运行</w:t>
                  </w:r>
                </w:p>
              </w:tc>
              <w:tc>
                <w:tcPr>
                  <w:tcW w:w="2863" w:type="pct"/>
                  <w:vAlign w:val="center"/>
                </w:tcPr>
                <w:p w14:paraId="36222F82">
                  <w:pPr>
                    <w:jc w:val="center"/>
                    <w:rPr>
                      <w:rFonts w:ascii="Times New Roman" w:hAnsi="Times New Roman" w:eastAsia="宋体" w:cs="Times New Roman"/>
                      <w:szCs w:val="21"/>
                    </w:rPr>
                  </w:pPr>
                  <w:r>
                    <w:rPr>
                      <w:rFonts w:ascii="Times New Roman" w:hAnsi="Times New Roman" w:eastAsia="宋体" w:cs="Times New Roman"/>
                      <w:szCs w:val="21"/>
                    </w:rPr>
                    <w:t>等效声级</w:t>
                  </w:r>
                </w:p>
              </w:tc>
            </w:tr>
            <w:tr w14:paraId="291AA5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restart"/>
                  <w:vAlign w:val="center"/>
                </w:tcPr>
                <w:p w14:paraId="10131011">
                  <w:pPr>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1537" w:type="pct"/>
                  <w:vAlign w:val="center"/>
                </w:tcPr>
                <w:p w14:paraId="465C21DC">
                  <w:pPr>
                    <w:adjustRightInd w:val="0"/>
                    <w:snapToGrid w:val="0"/>
                    <w:spacing w:line="320" w:lineRule="exact"/>
                    <w:jc w:val="center"/>
                    <w:rPr>
                      <w:rFonts w:ascii="Times New Roman" w:hAnsi="Times New Roman" w:eastAsia="宋体" w:cs="Times New Roman"/>
                      <w:bCs/>
                      <w:szCs w:val="21"/>
                    </w:rPr>
                  </w:pPr>
                  <w:r>
                    <w:rPr>
                      <w:rFonts w:ascii="Times New Roman" w:hAnsi="Times New Roman" w:eastAsia="宋体" w:cs="Times New Roman"/>
                      <w:szCs w:val="21"/>
                    </w:rPr>
                    <w:t>综合办公楼等</w:t>
                  </w:r>
                </w:p>
              </w:tc>
              <w:tc>
                <w:tcPr>
                  <w:tcW w:w="2863" w:type="pct"/>
                  <w:vAlign w:val="center"/>
                </w:tcPr>
                <w:p w14:paraId="578BCBEA">
                  <w:pPr>
                    <w:adjustRightInd w:val="0"/>
                    <w:snapToGrid w:val="0"/>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生活垃圾</w:t>
                  </w:r>
                </w:p>
              </w:tc>
            </w:tr>
            <w:tr w14:paraId="620364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7E492321">
                  <w:pPr>
                    <w:jc w:val="center"/>
                    <w:rPr>
                      <w:rFonts w:ascii="Times New Roman" w:hAnsi="Times New Roman" w:eastAsia="宋体" w:cs="Times New Roman"/>
                      <w:szCs w:val="21"/>
                    </w:rPr>
                  </w:pPr>
                </w:p>
              </w:tc>
              <w:tc>
                <w:tcPr>
                  <w:tcW w:w="1537" w:type="pct"/>
                  <w:vAlign w:val="center"/>
                </w:tcPr>
                <w:p w14:paraId="56D5B5B4">
                  <w:pPr>
                    <w:adjustRightInd w:val="0"/>
                    <w:snapToGrid w:val="0"/>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废水处理系统</w:t>
                  </w:r>
                </w:p>
              </w:tc>
              <w:tc>
                <w:tcPr>
                  <w:tcW w:w="2863" w:type="pct"/>
                  <w:vAlign w:val="center"/>
                </w:tcPr>
                <w:p w14:paraId="5FA89906">
                  <w:pPr>
                    <w:adjustRightInd w:val="0"/>
                    <w:snapToGrid w:val="0"/>
                    <w:spacing w:line="320" w:lineRule="exact"/>
                    <w:jc w:val="center"/>
                    <w:rPr>
                      <w:rFonts w:ascii="Times New Roman" w:hAnsi="Times New Roman" w:eastAsia="宋体" w:cs="Times New Roman"/>
                    </w:rPr>
                  </w:pPr>
                  <w:r>
                    <w:rPr>
                      <w:rFonts w:ascii="Times New Roman" w:hAnsi="Times New Roman" w:eastAsia="宋体" w:cs="Times New Roman"/>
                      <w:szCs w:val="21"/>
                    </w:rPr>
                    <w:t>淤泥</w:t>
                  </w:r>
                </w:p>
              </w:tc>
            </w:tr>
            <w:tr w14:paraId="0DF33D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373FF734">
                  <w:pPr>
                    <w:jc w:val="center"/>
                    <w:rPr>
                      <w:rFonts w:ascii="Times New Roman" w:hAnsi="Times New Roman" w:eastAsia="宋体" w:cs="Times New Roman"/>
                      <w:szCs w:val="21"/>
                    </w:rPr>
                  </w:pPr>
                </w:p>
              </w:tc>
              <w:tc>
                <w:tcPr>
                  <w:tcW w:w="1537" w:type="pct"/>
                  <w:vAlign w:val="center"/>
                </w:tcPr>
                <w:p w14:paraId="2BFB45BB">
                  <w:pPr>
                    <w:adjustRightInd w:val="0"/>
                    <w:snapToGrid w:val="0"/>
                    <w:spacing w:line="320" w:lineRule="exact"/>
                    <w:jc w:val="center"/>
                    <w:rPr>
                      <w:rFonts w:ascii="Times New Roman" w:hAnsi="Times New Roman" w:eastAsia="宋体" w:cs="Times New Roman"/>
                      <w:bCs/>
                      <w:szCs w:val="21"/>
                    </w:rPr>
                  </w:pPr>
                  <w:r>
                    <w:rPr>
                      <w:rFonts w:ascii="Times New Roman" w:hAnsi="Times New Roman" w:eastAsia="宋体" w:cs="Times New Roman"/>
                      <w:szCs w:val="21"/>
                    </w:rPr>
                    <w:t>生产车间设备</w:t>
                  </w:r>
                </w:p>
              </w:tc>
              <w:tc>
                <w:tcPr>
                  <w:tcW w:w="2863" w:type="pct"/>
                  <w:vAlign w:val="center"/>
                </w:tcPr>
                <w:p w14:paraId="61AEE77B">
                  <w:pPr>
                    <w:adjustRightInd w:val="0"/>
                    <w:snapToGrid w:val="0"/>
                    <w:spacing w:line="320" w:lineRule="exact"/>
                    <w:jc w:val="center"/>
                    <w:rPr>
                      <w:rFonts w:ascii="Times New Roman" w:hAnsi="Times New Roman" w:eastAsia="宋体" w:cs="Times New Roman"/>
                    </w:rPr>
                  </w:pPr>
                  <w:r>
                    <w:rPr>
                      <w:rFonts w:ascii="Times New Roman" w:hAnsi="Times New Roman" w:eastAsia="宋体" w:cs="Times New Roman"/>
                      <w:szCs w:val="21"/>
                    </w:rPr>
                    <w:t>废机械部件、机油</w:t>
                  </w:r>
                </w:p>
              </w:tc>
            </w:tr>
          </w:tbl>
          <w:p w14:paraId="47907BE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（三）物料平衡分析</w:t>
            </w:r>
          </w:p>
          <w:p w14:paraId="0CEDC654">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项目物料平衡详见表5-2。</w:t>
            </w:r>
          </w:p>
          <w:p w14:paraId="18DE3898">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表5-2  项目物料平衡表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681"/>
              <w:gridCol w:w="1273"/>
              <w:gridCol w:w="1995"/>
              <w:gridCol w:w="2333"/>
            </w:tblGrid>
            <w:tr w14:paraId="16FF45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cantSplit/>
                <w:trHeight w:val="340" w:hRule="atLeast"/>
                <w:jc w:val="center"/>
              </w:trPr>
              <w:tc>
                <w:tcPr>
                  <w:tcW w:w="3964" w:type="dxa"/>
                  <w:gridSpan w:val="2"/>
                  <w:shd w:val="clear" w:color="auto" w:fill="auto"/>
                  <w:vAlign w:val="center"/>
                </w:tcPr>
                <w:p w14:paraId="202DDBEA">
                  <w:pPr>
                    <w:jc w:val="center"/>
                    <w:rPr>
                      <w:rFonts w:ascii="Times New Roman" w:hAnsi="Times New Roman" w:eastAsia="宋体" w:cs="Times New Roman"/>
                    </w:rPr>
                  </w:pPr>
                  <w:r>
                    <w:rPr>
                      <w:rFonts w:ascii="Times New Roman" w:hAnsi="Times New Roman" w:eastAsia="宋体" w:cs="Times New Roman"/>
                    </w:rPr>
                    <w:t>投入（t/a）</w:t>
                  </w:r>
                </w:p>
              </w:tc>
              <w:tc>
                <w:tcPr>
                  <w:tcW w:w="4338" w:type="dxa"/>
                  <w:gridSpan w:val="2"/>
                  <w:shd w:val="clear" w:color="auto" w:fill="auto"/>
                  <w:vAlign w:val="center"/>
                </w:tcPr>
                <w:p w14:paraId="1A5A586E">
                  <w:pPr>
                    <w:jc w:val="center"/>
                    <w:rPr>
                      <w:rFonts w:ascii="Times New Roman" w:hAnsi="Times New Roman" w:eastAsia="宋体" w:cs="Times New Roman"/>
                    </w:rPr>
                  </w:pPr>
                  <w:r>
                    <w:rPr>
                      <w:rFonts w:ascii="Times New Roman" w:hAnsi="Times New Roman" w:eastAsia="宋体" w:cs="Times New Roman"/>
                    </w:rPr>
                    <w:t>产出（t/a）</w:t>
                  </w:r>
                </w:p>
              </w:tc>
            </w:tr>
            <w:tr w14:paraId="0D3F79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5A0DF204">
                  <w:pPr>
                    <w:jc w:val="center"/>
                    <w:rPr>
                      <w:rFonts w:ascii="Times New Roman" w:hAnsi="Times New Roman" w:eastAsia="宋体" w:cs="Times New Roman"/>
                    </w:rPr>
                  </w:pPr>
                  <w:r>
                    <w:rPr>
                      <w:rFonts w:hint="eastAsia" w:ascii="Times New Roman" w:hAnsi="Times New Roman" w:eastAsia="宋体" w:cs="Times New Roman"/>
                    </w:rPr>
                    <w:t>工业硅块</w:t>
                  </w:r>
                </w:p>
              </w:tc>
              <w:tc>
                <w:tcPr>
                  <w:tcW w:w="1275" w:type="dxa"/>
                  <w:shd w:val="clear" w:color="auto" w:fill="auto"/>
                  <w:vAlign w:val="center"/>
                </w:tcPr>
                <w:p w14:paraId="640A6A67">
                  <w:pPr>
                    <w:jc w:val="center"/>
                    <w:rPr>
                      <w:rFonts w:ascii="Times New Roman" w:hAnsi="Times New Roman" w:eastAsia="宋体" w:cs="Times New Roman"/>
                    </w:rPr>
                  </w:pPr>
                  <w:r>
                    <w:rPr>
                      <w:rFonts w:ascii="Times New Roman" w:hAnsi="Times New Roman" w:eastAsia="宋体" w:cs="Times New Roman"/>
                    </w:rPr>
                    <w:t>40033.8</w:t>
                  </w:r>
                </w:p>
              </w:tc>
              <w:tc>
                <w:tcPr>
                  <w:tcW w:w="2001" w:type="dxa"/>
                  <w:shd w:val="clear" w:color="auto" w:fill="auto"/>
                  <w:vAlign w:val="center"/>
                </w:tcPr>
                <w:p w14:paraId="7EA0E148">
                  <w:pPr>
                    <w:jc w:val="center"/>
                    <w:rPr>
                      <w:rFonts w:ascii="Times New Roman" w:hAnsi="Times New Roman" w:eastAsia="宋体" w:cs="Times New Roman"/>
                    </w:rPr>
                  </w:pPr>
                  <w:r>
                    <w:rPr>
                      <w:rFonts w:hint="eastAsia" w:ascii="Times New Roman" w:hAnsi="Times New Roman" w:eastAsia="宋体" w:cs="Times New Roman"/>
                    </w:rPr>
                    <w:t>工业硅粉</w:t>
                  </w:r>
                </w:p>
              </w:tc>
              <w:tc>
                <w:tcPr>
                  <w:tcW w:w="2337" w:type="dxa"/>
                  <w:shd w:val="clear" w:color="auto" w:fill="auto"/>
                  <w:vAlign w:val="center"/>
                </w:tcPr>
                <w:p w14:paraId="7CEF8EA0">
                  <w:pPr>
                    <w:jc w:val="center"/>
                    <w:rPr>
                      <w:rFonts w:ascii="Times New Roman" w:hAnsi="Times New Roman" w:eastAsia="宋体" w:cs="Times New Roman"/>
                    </w:rPr>
                  </w:pPr>
                  <w:r>
                    <w:rPr>
                      <w:rFonts w:ascii="Times New Roman" w:hAnsi="Times New Roman" w:eastAsia="宋体" w:cs="Times New Roman"/>
                    </w:rPr>
                    <w:t>4万</w:t>
                  </w:r>
                </w:p>
              </w:tc>
            </w:tr>
            <w:tr w14:paraId="497BA6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5726DF94">
                  <w:pPr>
                    <w:jc w:val="center"/>
                    <w:rPr>
                      <w:rFonts w:ascii="Times New Roman" w:hAnsi="Times New Roman" w:eastAsia="宋体" w:cs="Times New Roman"/>
                    </w:rPr>
                  </w:pPr>
                  <w:r>
                    <w:rPr>
                      <w:rFonts w:ascii="Times New Roman" w:hAnsi="Times New Roman" w:eastAsia="宋体" w:cs="Times New Roman"/>
                    </w:rPr>
                    <w:t>/</w:t>
                  </w:r>
                </w:p>
              </w:tc>
              <w:tc>
                <w:tcPr>
                  <w:tcW w:w="1275" w:type="dxa"/>
                  <w:shd w:val="clear" w:color="auto" w:fill="auto"/>
                  <w:vAlign w:val="center"/>
                </w:tcPr>
                <w:p w14:paraId="095C03F1">
                  <w:pPr>
                    <w:jc w:val="center"/>
                    <w:rPr>
                      <w:rFonts w:ascii="Times New Roman" w:hAnsi="Times New Roman" w:eastAsia="宋体" w:cs="Times New Roman"/>
                    </w:rPr>
                  </w:pPr>
                  <w:r>
                    <w:rPr>
                      <w:rFonts w:ascii="Times New Roman" w:hAnsi="Times New Roman" w:eastAsia="宋体" w:cs="Times New Roman"/>
                    </w:rPr>
                    <w:t>/</w:t>
                  </w:r>
                </w:p>
              </w:tc>
              <w:tc>
                <w:tcPr>
                  <w:tcW w:w="2001" w:type="dxa"/>
                  <w:shd w:val="clear" w:color="auto" w:fill="auto"/>
                  <w:vAlign w:val="center"/>
                </w:tcPr>
                <w:p w14:paraId="2A0FD97E">
                  <w:pPr>
                    <w:jc w:val="center"/>
                    <w:rPr>
                      <w:rFonts w:ascii="Times New Roman" w:hAnsi="Times New Roman" w:eastAsia="宋体" w:cs="Times New Roman"/>
                    </w:rPr>
                  </w:pPr>
                  <w:r>
                    <w:rPr>
                      <w:rFonts w:hint="eastAsia" w:ascii="Times New Roman" w:hAnsi="Times New Roman" w:eastAsia="宋体" w:cs="Times New Roman"/>
                    </w:rPr>
                    <w:t>除尘</w:t>
                  </w:r>
                  <w:r>
                    <w:rPr>
                      <w:rFonts w:ascii="Times New Roman" w:hAnsi="Times New Roman" w:eastAsia="宋体" w:cs="Times New Roman"/>
                    </w:rPr>
                    <w:t>粉尘</w:t>
                  </w:r>
                </w:p>
              </w:tc>
              <w:tc>
                <w:tcPr>
                  <w:tcW w:w="2337" w:type="dxa"/>
                  <w:shd w:val="clear" w:color="auto" w:fill="auto"/>
                  <w:vAlign w:val="center"/>
                </w:tcPr>
                <w:p w14:paraId="3D177F4E">
                  <w:pPr>
                    <w:jc w:val="center"/>
                    <w:rPr>
                      <w:rFonts w:ascii="Times New Roman" w:hAnsi="Times New Roman" w:eastAsia="宋体" w:cs="Times New Roman"/>
                    </w:rPr>
                  </w:pPr>
                  <w:r>
                    <w:rPr>
                      <w:rFonts w:ascii="Times New Roman" w:hAnsi="Times New Roman" w:eastAsia="宋体" w:cs="Times New Roman"/>
                    </w:rPr>
                    <w:t>28.443</w:t>
                  </w:r>
                </w:p>
              </w:tc>
            </w:tr>
            <w:tr w14:paraId="767753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27B27467">
                  <w:pPr>
                    <w:jc w:val="center"/>
                    <w:rPr>
                      <w:rFonts w:ascii="Times New Roman" w:hAnsi="Times New Roman" w:eastAsia="宋体" w:cs="Times New Roman"/>
                    </w:rPr>
                  </w:pPr>
                  <w:r>
                    <w:rPr>
                      <w:rFonts w:ascii="Times New Roman" w:hAnsi="Times New Roman" w:eastAsia="宋体" w:cs="Times New Roman"/>
                    </w:rPr>
                    <w:t>/</w:t>
                  </w:r>
                </w:p>
              </w:tc>
              <w:tc>
                <w:tcPr>
                  <w:tcW w:w="1275" w:type="dxa"/>
                  <w:shd w:val="clear" w:color="auto" w:fill="auto"/>
                  <w:vAlign w:val="center"/>
                </w:tcPr>
                <w:p w14:paraId="042857D5">
                  <w:pPr>
                    <w:jc w:val="center"/>
                    <w:rPr>
                      <w:rFonts w:ascii="Times New Roman" w:hAnsi="Times New Roman" w:eastAsia="宋体" w:cs="Times New Roman"/>
                    </w:rPr>
                  </w:pPr>
                  <w:r>
                    <w:rPr>
                      <w:rFonts w:ascii="Times New Roman" w:hAnsi="Times New Roman" w:eastAsia="宋体" w:cs="Times New Roman"/>
                    </w:rPr>
                    <w:t>/</w:t>
                  </w:r>
                </w:p>
              </w:tc>
              <w:tc>
                <w:tcPr>
                  <w:tcW w:w="2001" w:type="dxa"/>
                  <w:shd w:val="clear" w:color="auto" w:fill="auto"/>
                  <w:vAlign w:val="center"/>
                </w:tcPr>
                <w:p w14:paraId="1ABE33A3">
                  <w:pPr>
                    <w:jc w:val="center"/>
                    <w:rPr>
                      <w:rFonts w:ascii="Times New Roman" w:hAnsi="Times New Roman" w:eastAsia="宋体" w:cs="Times New Roman"/>
                    </w:rPr>
                  </w:pPr>
                  <w:r>
                    <w:rPr>
                      <w:rFonts w:hint="eastAsia" w:ascii="Times New Roman" w:hAnsi="Times New Roman" w:eastAsia="宋体" w:cs="Times New Roman"/>
                    </w:rPr>
                    <w:t>有组织粉尘</w:t>
                  </w:r>
                </w:p>
              </w:tc>
              <w:tc>
                <w:tcPr>
                  <w:tcW w:w="2337" w:type="dxa"/>
                  <w:shd w:val="clear" w:color="auto" w:fill="auto"/>
                  <w:vAlign w:val="center"/>
                </w:tcPr>
                <w:p w14:paraId="0DCFC2F8">
                  <w:pPr>
                    <w:jc w:val="center"/>
                    <w:rPr>
                      <w:rFonts w:ascii="Times New Roman" w:hAnsi="Times New Roman" w:eastAsia="宋体" w:cs="Times New Roman"/>
                    </w:rPr>
                  </w:pPr>
                  <w:r>
                    <w:rPr>
                      <w:rFonts w:ascii="Times New Roman" w:hAnsi="Times New Roman" w:eastAsia="宋体" w:cs="Times New Roman"/>
                    </w:rPr>
                    <w:t>0.057</w:t>
                  </w:r>
                </w:p>
              </w:tc>
            </w:tr>
            <w:tr w14:paraId="6D1CC0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5ADA740C">
                  <w:pPr>
                    <w:jc w:val="center"/>
                    <w:rPr>
                      <w:rFonts w:ascii="Times New Roman" w:hAnsi="Times New Roman" w:eastAsia="宋体" w:cs="Times New Roman"/>
                    </w:rPr>
                  </w:pPr>
                  <w:r>
                    <w:rPr>
                      <w:rFonts w:ascii="Times New Roman" w:hAnsi="Times New Roman" w:eastAsia="宋体" w:cs="Times New Roman"/>
                    </w:rPr>
                    <w:t>/</w:t>
                  </w:r>
                </w:p>
              </w:tc>
              <w:tc>
                <w:tcPr>
                  <w:tcW w:w="1275" w:type="dxa"/>
                  <w:shd w:val="clear" w:color="auto" w:fill="auto"/>
                  <w:vAlign w:val="center"/>
                </w:tcPr>
                <w:p w14:paraId="09A2D3F1">
                  <w:pPr>
                    <w:jc w:val="center"/>
                    <w:rPr>
                      <w:rFonts w:ascii="Times New Roman" w:hAnsi="Times New Roman" w:eastAsia="宋体" w:cs="Times New Roman"/>
                    </w:rPr>
                  </w:pPr>
                  <w:r>
                    <w:rPr>
                      <w:rFonts w:ascii="Times New Roman" w:hAnsi="Times New Roman" w:eastAsia="宋体" w:cs="Times New Roman"/>
                    </w:rPr>
                    <w:t>/</w:t>
                  </w:r>
                </w:p>
              </w:tc>
              <w:tc>
                <w:tcPr>
                  <w:tcW w:w="2001" w:type="dxa"/>
                  <w:shd w:val="clear" w:color="auto" w:fill="auto"/>
                  <w:vAlign w:val="center"/>
                </w:tcPr>
                <w:p w14:paraId="46A98763">
                  <w:pPr>
                    <w:jc w:val="center"/>
                    <w:rPr>
                      <w:rFonts w:ascii="Times New Roman" w:hAnsi="Times New Roman" w:eastAsia="宋体" w:cs="Times New Roman"/>
                    </w:rPr>
                  </w:pPr>
                  <w:r>
                    <w:rPr>
                      <w:rFonts w:hint="eastAsia" w:ascii="Times New Roman" w:hAnsi="Times New Roman" w:eastAsia="宋体" w:cs="Times New Roman"/>
                    </w:rPr>
                    <w:t>无组织粉尘</w:t>
                  </w:r>
                </w:p>
              </w:tc>
              <w:tc>
                <w:tcPr>
                  <w:tcW w:w="2337" w:type="dxa"/>
                  <w:shd w:val="clear" w:color="auto" w:fill="auto"/>
                  <w:vAlign w:val="center"/>
                </w:tcPr>
                <w:p w14:paraId="70BBBBB3">
                  <w:pPr>
                    <w:jc w:val="center"/>
                    <w:rPr>
                      <w:rFonts w:ascii="Times New Roman" w:hAnsi="Times New Roman" w:eastAsia="宋体" w:cs="Times New Roman"/>
                    </w:rPr>
                  </w:pPr>
                  <w:r>
                    <w:rPr>
                      <w:rFonts w:ascii="Times New Roman" w:hAnsi="Times New Roman" w:eastAsia="宋体" w:cs="Times New Roman"/>
                    </w:rPr>
                    <w:t>0.3</w:t>
                  </w:r>
                </w:p>
              </w:tc>
            </w:tr>
            <w:tr w14:paraId="43F1FF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03234575">
                  <w:pPr>
                    <w:jc w:val="center"/>
                    <w:rPr>
                      <w:rFonts w:ascii="Times New Roman" w:hAnsi="Times New Roman" w:eastAsia="宋体" w:cs="Times New Roman"/>
                    </w:rPr>
                  </w:pPr>
                  <w:r>
                    <w:rPr>
                      <w:rFonts w:hint="eastAsia" w:ascii="Times New Roman" w:hAnsi="Times New Roman" w:eastAsia="宋体" w:cs="Times New Roman"/>
                    </w:rPr>
                    <w:t>/</w:t>
                  </w:r>
                </w:p>
              </w:tc>
              <w:tc>
                <w:tcPr>
                  <w:tcW w:w="1275" w:type="dxa"/>
                  <w:shd w:val="clear" w:color="auto" w:fill="auto"/>
                  <w:vAlign w:val="center"/>
                </w:tcPr>
                <w:p w14:paraId="7B2C53DF">
                  <w:pPr>
                    <w:jc w:val="center"/>
                    <w:rPr>
                      <w:rFonts w:ascii="Times New Roman" w:hAnsi="Times New Roman" w:eastAsia="宋体" w:cs="Times New Roman"/>
                    </w:rPr>
                  </w:pPr>
                  <w:r>
                    <w:rPr>
                      <w:rFonts w:hint="eastAsia" w:ascii="Times New Roman" w:hAnsi="Times New Roman" w:eastAsia="宋体" w:cs="Times New Roman"/>
                    </w:rPr>
                    <w:t>/</w:t>
                  </w:r>
                </w:p>
              </w:tc>
              <w:tc>
                <w:tcPr>
                  <w:tcW w:w="2001" w:type="dxa"/>
                  <w:shd w:val="clear" w:color="auto" w:fill="auto"/>
                  <w:vAlign w:val="center"/>
                </w:tcPr>
                <w:p w14:paraId="6E9A7EF5">
                  <w:pPr>
                    <w:jc w:val="center"/>
                    <w:rPr>
                      <w:rFonts w:ascii="Times New Roman" w:hAnsi="Times New Roman" w:eastAsia="宋体" w:cs="Times New Roman"/>
                    </w:rPr>
                  </w:pPr>
                  <w:r>
                    <w:rPr>
                      <w:rFonts w:hint="eastAsia" w:ascii="Times New Roman" w:hAnsi="Times New Roman" w:eastAsia="宋体" w:cs="Times New Roman"/>
                    </w:rPr>
                    <w:t>磁选废铁渣</w:t>
                  </w:r>
                </w:p>
              </w:tc>
              <w:tc>
                <w:tcPr>
                  <w:tcW w:w="2337" w:type="dxa"/>
                  <w:shd w:val="clear" w:color="auto" w:fill="auto"/>
                  <w:vAlign w:val="center"/>
                </w:tcPr>
                <w:p w14:paraId="380571F8">
                  <w:pPr>
                    <w:jc w:val="center"/>
                    <w:rPr>
                      <w:rFonts w:ascii="Times New Roman" w:hAnsi="Times New Roman" w:eastAsia="宋体" w:cs="Times New Roman"/>
                    </w:rPr>
                  </w:pPr>
                  <w:r>
                    <w:rPr>
                      <w:rFonts w:hint="eastAsia" w:ascii="Times New Roman" w:hAnsi="Times New Roman" w:eastAsia="宋体" w:cs="Times New Roman"/>
                    </w:rPr>
                    <w:t>5</w:t>
                  </w:r>
                </w:p>
              </w:tc>
            </w:tr>
            <w:tr w14:paraId="0CDDFE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cantSplit/>
                <w:trHeight w:val="340" w:hRule="atLeast"/>
                <w:jc w:val="center"/>
              </w:trPr>
              <w:tc>
                <w:tcPr>
                  <w:tcW w:w="2689" w:type="dxa"/>
                  <w:shd w:val="clear" w:color="auto" w:fill="auto"/>
                  <w:vAlign w:val="center"/>
                </w:tcPr>
                <w:p w14:paraId="35DFD0C2">
                  <w:pPr>
                    <w:jc w:val="center"/>
                    <w:rPr>
                      <w:rFonts w:ascii="Times New Roman" w:hAnsi="Times New Roman" w:eastAsia="宋体" w:cs="Times New Roman"/>
                    </w:rPr>
                  </w:pPr>
                  <w:r>
                    <w:rPr>
                      <w:rFonts w:ascii="Times New Roman" w:hAnsi="Times New Roman" w:eastAsia="宋体" w:cs="Times New Roman"/>
                    </w:rPr>
                    <w:t>合计</w:t>
                  </w:r>
                </w:p>
              </w:tc>
              <w:tc>
                <w:tcPr>
                  <w:tcW w:w="1275" w:type="dxa"/>
                  <w:shd w:val="clear" w:color="auto" w:fill="auto"/>
                  <w:vAlign w:val="center"/>
                </w:tcPr>
                <w:p w14:paraId="6658811C">
                  <w:pPr>
                    <w:jc w:val="center"/>
                    <w:rPr>
                      <w:rFonts w:ascii="Times New Roman" w:hAnsi="Times New Roman" w:eastAsia="宋体" w:cs="Times New Roman"/>
                    </w:rPr>
                  </w:pPr>
                  <w:r>
                    <w:rPr>
                      <w:rFonts w:ascii="Times New Roman" w:hAnsi="Times New Roman" w:eastAsia="宋体" w:cs="Times New Roman"/>
                    </w:rPr>
                    <w:t>40033.8</w:t>
                  </w:r>
                </w:p>
              </w:tc>
              <w:tc>
                <w:tcPr>
                  <w:tcW w:w="2001" w:type="dxa"/>
                  <w:shd w:val="clear" w:color="auto" w:fill="auto"/>
                  <w:vAlign w:val="center"/>
                </w:tcPr>
                <w:p w14:paraId="6C5DF8D2">
                  <w:pPr>
                    <w:jc w:val="center"/>
                    <w:rPr>
                      <w:rFonts w:ascii="Times New Roman" w:hAnsi="Times New Roman" w:eastAsia="宋体" w:cs="Times New Roman"/>
                    </w:rPr>
                  </w:pPr>
                  <w:r>
                    <w:rPr>
                      <w:rFonts w:ascii="Times New Roman" w:hAnsi="Times New Roman" w:eastAsia="宋体" w:cs="Times New Roman"/>
                    </w:rPr>
                    <w:t>合计</w:t>
                  </w:r>
                </w:p>
              </w:tc>
              <w:tc>
                <w:tcPr>
                  <w:tcW w:w="2337" w:type="dxa"/>
                  <w:shd w:val="clear" w:color="auto" w:fill="auto"/>
                  <w:vAlign w:val="center"/>
                </w:tcPr>
                <w:p w14:paraId="6C1F6E79">
                  <w:pPr>
                    <w:jc w:val="center"/>
                    <w:rPr>
                      <w:rFonts w:ascii="Times New Roman" w:hAnsi="Times New Roman" w:eastAsia="宋体" w:cs="Times New Roman"/>
                    </w:rPr>
                  </w:pPr>
                  <w:r>
                    <w:rPr>
                      <w:rFonts w:ascii="Times New Roman" w:hAnsi="Times New Roman" w:eastAsia="宋体" w:cs="Times New Roman"/>
                    </w:rPr>
                    <w:t>40033.8</w:t>
                  </w:r>
                </w:p>
              </w:tc>
            </w:tr>
          </w:tbl>
          <w:p w14:paraId="3B6F1B63">
            <w:pPr>
              <w:spacing w:line="360" w:lineRule="auto"/>
              <w:rPr>
                <w:rFonts w:ascii="Times New Roman" w:hAnsi="Times New Roman" w:eastAsia="宋体" w:cs="Times New Roman"/>
                <w:bCs/>
                <w:sz w:val="18"/>
                <w:szCs w:val="18"/>
              </w:rPr>
            </w:pPr>
            <w:r>
              <w:rPr>
                <w:rFonts w:hint="eastAsia" w:ascii="Times New Roman" w:hAnsi="Times New Roman" w:eastAsia="宋体" w:cs="Times New Roman"/>
                <w:bCs/>
                <w:sz w:val="18"/>
                <w:szCs w:val="18"/>
              </w:rPr>
              <w:t>（不含水，以干物料计）</w:t>
            </w:r>
          </w:p>
          <w:p w14:paraId="307A8BC5">
            <w:pPr>
              <w:spacing w:line="360" w:lineRule="auto"/>
              <w:rPr>
                <w:rFonts w:ascii="Times New Roman" w:hAnsi="Times New Roman" w:eastAsia="宋体" w:cs="Times New Roman"/>
                <w:sz w:val="24"/>
                <w:szCs w:val="24"/>
              </w:rPr>
            </w:pPr>
            <w:r>
              <w:rPr>
                <w:rFonts w:ascii="Times New Roman" w:hAnsi="Times New Roman" w:eastAsia="宋体" w:cs="Times New Roman"/>
                <w:b/>
                <w:sz w:val="28"/>
                <w:szCs w:val="28"/>
              </w:rPr>
              <w:t>三、污染物的排放及治理</w:t>
            </w:r>
          </w:p>
          <w:p w14:paraId="6850C022">
            <w:pPr>
              <w:spacing w:line="360" w:lineRule="auto"/>
              <w:ind w:firstLine="482" w:firstLineChars="200"/>
              <w:rPr>
                <w:rFonts w:ascii="Times New Roman" w:hAnsi="Times New Roman" w:eastAsia="宋体" w:cs="Times New Roman"/>
                <w:b/>
                <w:sz w:val="24"/>
              </w:rPr>
            </w:pPr>
            <w:r>
              <w:rPr>
                <w:rFonts w:ascii="Times New Roman" w:hAnsi="Times New Roman" w:eastAsia="宋体" w:cs="Times New Roman"/>
                <w:b/>
                <w:sz w:val="24"/>
              </w:rPr>
              <w:t>（一）施工期污染物排放及治理</w:t>
            </w:r>
          </w:p>
          <w:p w14:paraId="7CE7C1B3">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1、施工废气</w:t>
            </w:r>
          </w:p>
          <w:p w14:paraId="61FED8B3">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本项目施工期废气的主要来源为施工扬尘、施工机械运行产生的无组织排放的废气，其中以施工扬尘对空气环境质量影响最大。</w:t>
            </w:r>
          </w:p>
          <w:p w14:paraId="08CC41CB">
            <w:pPr>
              <w:adjustRightInd w:val="0"/>
              <w:snapToGrid w:val="0"/>
              <w:spacing w:line="360" w:lineRule="auto"/>
              <w:ind w:firstLine="426" w:firstLineChars="177"/>
              <w:rPr>
                <w:rFonts w:ascii="Times New Roman" w:hAnsi="Times New Roman" w:eastAsia="宋体" w:cs="Times New Roman"/>
                <w:b/>
                <w:sz w:val="24"/>
              </w:rPr>
            </w:pPr>
            <w:r>
              <w:rPr>
                <w:rFonts w:hint="eastAsia" w:ascii="宋体" w:hAnsi="宋体" w:eastAsia="宋体" w:cs="宋体"/>
                <w:b/>
                <w:sz w:val="24"/>
              </w:rPr>
              <w:t>①</w:t>
            </w:r>
            <w:r>
              <w:rPr>
                <w:rFonts w:ascii="Times New Roman" w:hAnsi="Times New Roman" w:eastAsia="宋体" w:cs="Times New Roman"/>
                <w:b/>
                <w:sz w:val="24"/>
              </w:rPr>
              <w:t>施工扬尘</w:t>
            </w:r>
          </w:p>
          <w:p w14:paraId="1F04B867">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项目在建设施工过程中的大气污染主要来自于施工场地的扬尘。在整个施工期，产生扬尘的作业有建材运输、露天堆放、装卸等过程，如遇干旱无雨季节，加上大风，施工扬尘将更严重。</w:t>
            </w:r>
          </w:p>
          <w:p w14:paraId="13230EFA">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为防止和减少施工期间废气和扬尘的污染，施工单位应加强统一</w:t>
            </w:r>
            <w:r>
              <w:rPr>
                <w:rFonts w:ascii="Times New Roman" w:hAnsi="Times New Roman" w:eastAsia="宋体" w:cs="Times New Roman"/>
                <w:sz w:val="24"/>
              </w:rPr>
              <w:t>、严格、规范</w:t>
            </w:r>
            <w:r>
              <w:rPr>
                <w:rFonts w:hint="eastAsia" w:ascii="Times New Roman" w:hAnsi="Times New Roman" w:eastAsia="宋体" w:cs="Times New Roman"/>
                <w:sz w:val="24"/>
              </w:rPr>
              <w:t>管理制度和措施，纳入本单位环保管理程序。建议采取如下措施：</w:t>
            </w:r>
          </w:p>
          <w:p w14:paraId="43025234">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①施工场地非雨天时适时洒水，包括正在施工的场地、材料加工场所和主要道路等。</w:t>
            </w:r>
          </w:p>
          <w:p w14:paraId="4B18765F">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②材料运输禁止超载，装高不得超过车厢板，并采取盖篷布等防尘措施，严禁沿途撒落。</w:t>
            </w:r>
          </w:p>
          <w:p w14:paraId="0482006B">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③材料堆放和加工场所应设在当地主导风向的下风向，并采取密闭、围挡或覆盖等有效防尘措施，同时定期洒水。</w:t>
            </w:r>
          </w:p>
          <w:p w14:paraId="0A56BD8D">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④建筑主体施工时用密目安全网围护，施工场地建施工围栏。</w:t>
            </w:r>
          </w:p>
          <w:p w14:paraId="3CB271EF">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⑤风速四级及以上易产生扬尘时，建议施工单位暂停土石方开挖，同时采取覆盖、湿润等措施降低扬尘污染。</w:t>
            </w:r>
          </w:p>
          <w:p w14:paraId="24C9C201">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⑥及时清理施工场地废弃物，暂时不能清运的应采取覆盖措施，运输沙、石、水泥和土方等易产生扬尘的车辆必须封闭严密，严禁洒漏。</w:t>
            </w:r>
          </w:p>
          <w:p w14:paraId="6B247495">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⑦施工期间，应在渣土、垃圾运输车辆的出口内侧设置洗车平台，车辆驶离工地前，应在洗车平台清洗轮胎及车身，不得带泥上路。同时，洗车废水应设沉淀池进行处理，并回用，不得随意外排。</w:t>
            </w:r>
          </w:p>
          <w:p w14:paraId="70995842">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⑧对施工场地的车辆进出路面进行硬化；对进出车辆的轮胎用水冲洗干净。</w:t>
            </w:r>
          </w:p>
          <w:p w14:paraId="45DBDDFA">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⑨扬尘管理六不准六必须：必须打围作业、必须硬化道路、必须设置冲洗设施、必须湿法作业、必须配齐保洁人员、必须定时清扫施工现场；不准车辆带泥出门、不准高空抛撒建渣、不准现场搅拌混凝土、不准场地积水、不准现场焚烧废弃物、不准现场堆放未覆盖的裸土。</w:t>
            </w:r>
          </w:p>
          <w:p w14:paraId="1EDF9F5B">
            <w:pPr>
              <w:adjustRightInd w:val="0"/>
              <w:snapToGrid w:val="0"/>
              <w:spacing w:line="360" w:lineRule="auto"/>
              <w:ind w:firstLine="424" w:firstLineChars="177"/>
              <w:rPr>
                <w:rFonts w:ascii="Times New Roman" w:hAnsi="Times New Roman" w:eastAsia="宋体" w:cs="Times New Roman"/>
                <w:bCs/>
                <w:sz w:val="24"/>
              </w:rPr>
            </w:pPr>
            <w:r>
              <w:rPr>
                <w:rFonts w:ascii="Times New Roman" w:hAnsi="Times New Roman" w:eastAsia="宋体" w:cs="Times New Roman"/>
                <w:sz w:val="24"/>
              </w:rPr>
              <w:t>另，根据乐山市打赢蓝天保卫战实施方案要求，</w:t>
            </w:r>
            <w:r>
              <w:rPr>
                <w:rFonts w:ascii="Times New Roman" w:hAnsi="Times New Roman" w:eastAsia="宋体" w:cs="Times New Roman"/>
                <w:bCs/>
                <w:sz w:val="24"/>
              </w:rPr>
              <w:t>建筑施工工地全部做到工地周边围挡、物料堆放覆盖、土方开挖湿法作业、路面硬化、出入车辆清洗、渣土车辆密闭运输“六个百分之百”。</w:t>
            </w:r>
          </w:p>
          <w:p w14:paraId="03F1303E">
            <w:pPr>
              <w:adjustRightInd w:val="0"/>
              <w:snapToGrid w:val="0"/>
              <w:spacing w:line="360" w:lineRule="auto"/>
              <w:ind w:firstLine="426" w:firstLineChars="177"/>
              <w:rPr>
                <w:rFonts w:ascii="Times New Roman" w:hAnsi="Times New Roman" w:eastAsia="宋体" w:cs="Times New Roman"/>
                <w:sz w:val="24"/>
              </w:rPr>
            </w:pPr>
            <w:r>
              <w:rPr>
                <w:rFonts w:hint="eastAsia" w:ascii="宋体" w:hAnsi="宋体" w:eastAsia="宋体" w:cs="宋体"/>
                <w:b/>
                <w:sz w:val="24"/>
              </w:rPr>
              <w:t>②</w:t>
            </w:r>
            <w:r>
              <w:rPr>
                <w:rFonts w:ascii="Times New Roman" w:hAnsi="Times New Roman" w:eastAsia="宋体" w:cs="Times New Roman"/>
                <w:b/>
                <w:sz w:val="24"/>
              </w:rPr>
              <w:t>其他废气</w:t>
            </w:r>
          </w:p>
          <w:p w14:paraId="56D46741">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kern w:val="28"/>
                <w:sz w:val="24"/>
                <w:szCs w:val="28"/>
              </w:rPr>
              <w:t>本项目施工期废气的另一来源是施工机械排放的燃油废气。</w:t>
            </w:r>
          </w:p>
          <w:p w14:paraId="2D8A1350">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施工期间，使用机动车运送原材料、设备和建筑机械将会排放一定量的CO、NO</w:t>
            </w:r>
            <w:r>
              <w:rPr>
                <w:rFonts w:ascii="Times New Roman" w:hAnsi="Times New Roman" w:eastAsia="宋体" w:cs="Times New Roman"/>
                <w:sz w:val="24"/>
                <w:vertAlign w:val="subscript"/>
              </w:rPr>
              <w:t>2</w:t>
            </w:r>
            <w:r>
              <w:rPr>
                <w:rFonts w:ascii="Times New Roman" w:hAnsi="Times New Roman" w:eastAsia="宋体" w:cs="Times New Roman"/>
                <w:sz w:val="24"/>
              </w:rPr>
              <w:t>以及未完全燃烧的HC等，其特点是排放量小，属于间断性排放，加之项目施工场地扩散条件良好，这些废气可得到有效地稀释扩散，能够达标排放，对此，建设方要做好施工现场的交通组织，避免因施工造成的交通阻塞，减少运输车辆怠速产生的废气排放，从而可以在一定程度进一步降低其对外界环境的影响。</w:t>
            </w:r>
          </w:p>
          <w:p w14:paraId="2513B0B7">
            <w:pPr>
              <w:spacing w:line="360" w:lineRule="auto"/>
              <w:ind w:firstLine="480" w:firstLineChars="200"/>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小结</w:t>
            </w:r>
          </w:p>
          <w:p w14:paraId="7F6F2F59">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综上所述，采取以上废气的污染防治措施后，可有效控制施工废气对周围环境及施工作业人员的影响。</w:t>
            </w:r>
          </w:p>
          <w:p w14:paraId="6778657C">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2、施工期废水</w:t>
            </w:r>
          </w:p>
          <w:p w14:paraId="10DA4581">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废水来源于两部分：一是场址建筑施工产生的生产废水，这部分废水含泥沙等悬浮物很高，一般呈碱性，部分废水还带少量油污；二是场地施工人员的生活污水，主要含CODcr、BOD</w:t>
            </w:r>
            <w:r>
              <w:rPr>
                <w:rFonts w:ascii="Times New Roman" w:hAnsi="Times New Roman" w:eastAsia="宋体" w:cs="Times New Roman"/>
                <w:sz w:val="24"/>
                <w:vertAlign w:val="subscript"/>
              </w:rPr>
              <w:t>5</w:t>
            </w:r>
            <w:r>
              <w:rPr>
                <w:rFonts w:ascii="Times New Roman" w:hAnsi="Times New Roman" w:eastAsia="宋体" w:cs="Times New Roman"/>
                <w:sz w:val="24"/>
              </w:rPr>
              <w:t>、NH</w:t>
            </w:r>
            <w:r>
              <w:rPr>
                <w:rFonts w:ascii="Times New Roman" w:hAnsi="Times New Roman" w:eastAsia="宋体" w:cs="Times New Roman"/>
                <w:sz w:val="24"/>
                <w:vertAlign w:val="subscript"/>
              </w:rPr>
              <w:t>3</w:t>
            </w:r>
            <w:r>
              <w:rPr>
                <w:rFonts w:ascii="Times New Roman" w:hAnsi="Times New Roman" w:eastAsia="宋体" w:cs="Times New Roman"/>
                <w:sz w:val="24"/>
              </w:rPr>
              <w:t>-N、SS等污染物质。</w:t>
            </w:r>
          </w:p>
          <w:p w14:paraId="20A91838">
            <w:pPr>
              <w:adjustRightInd w:val="0"/>
              <w:snapToGrid w:val="0"/>
              <w:spacing w:line="360" w:lineRule="auto"/>
              <w:ind w:firstLine="426" w:firstLineChars="177"/>
              <w:rPr>
                <w:rFonts w:ascii="Times New Roman" w:hAnsi="Times New Roman" w:eastAsia="宋体" w:cs="Times New Roman"/>
                <w:sz w:val="24"/>
              </w:rPr>
            </w:pP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1 \* GB3 </w:instrText>
            </w:r>
            <w:r>
              <w:rPr>
                <w:rFonts w:ascii="Times New Roman" w:hAnsi="Times New Roman" w:eastAsia="宋体" w:cs="Times New Roman"/>
                <w:b/>
                <w:sz w:val="24"/>
              </w:rPr>
              <w:fldChar w:fldCharType="separate"/>
            </w:r>
            <w:r>
              <w:rPr>
                <w:rFonts w:hint="eastAsia" w:ascii="宋体" w:hAnsi="宋体" w:eastAsia="宋体" w:cs="宋体"/>
                <w:b/>
                <w:sz w:val="24"/>
              </w:rPr>
              <w:t>①</w:t>
            </w:r>
            <w:r>
              <w:rPr>
                <w:rFonts w:ascii="Times New Roman" w:hAnsi="Times New Roman" w:eastAsia="宋体" w:cs="Times New Roman"/>
                <w:b/>
                <w:sz w:val="24"/>
              </w:rPr>
              <w:fldChar w:fldCharType="end"/>
            </w:r>
            <w:r>
              <w:rPr>
                <w:rFonts w:ascii="Times New Roman" w:hAnsi="Times New Roman" w:eastAsia="宋体" w:cs="Times New Roman"/>
                <w:b/>
                <w:sz w:val="24"/>
              </w:rPr>
              <w:t>施工废水</w:t>
            </w:r>
          </w:p>
          <w:p w14:paraId="1212D238">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施工废水主要施工生产废水和机械及车辆冲洗废水。</w:t>
            </w:r>
          </w:p>
          <w:p w14:paraId="771778D2">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在工程的整个施工期，预计每天产生施工废水0.5m</w:t>
            </w:r>
            <w:r>
              <w:rPr>
                <w:rFonts w:ascii="Times New Roman" w:hAnsi="Times New Roman" w:eastAsia="宋体" w:cs="Times New Roman"/>
                <w:sz w:val="24"/>
                <w:vertAlign w:val="superscript"/>
              </w:rPr>
              <w:t>3</w:t>
            </w:r>
            <w:r>
              <w:rPr>
                <w:rFonts w:ascii="Times New Roman" w:hAnsi="Times New Roman" w:eastAsia="宋体" w:cs="Times New Roman"/>
                <w:sz w:val="24"/>
              </w:rPr>
              <w:t>，其中废水中主要以SS污染为主，其值为400～1000mg/l。本次环评针对施工废水水量少，废水排放不连续，悬浮物浓度和pH值较高等特点</w:t>
            </w:r>
            <w:r>
              <w:rPr>
                <w:rFonts w:hint="eastAsia" w:ascii="Times New Roman" w:hAnsi="Times New Roman" w:eastAsia="宋体" w:cs="Times New Roman"/>
                <w:sz w:val="24"/>
              </w:rPr>
              <w:t>，施工废水经</w:t>
            </w:r>
            <w:r>
              <w:rPr>
                <w:rFonts w:ascii="Times New Roman" w:hAnsi="Times New Roman" w:eastAsia="宋体" w:cs="Times New Roman"/>
                <w:sz w:val="24"/>
              </w:rPr>
              <w:t>沉淀池收集处理后回用生产，以充分利用水资源。</w:t>
            </w:r>
          </w:p>
          <w:p w14:paraId="5A82FF42">
            <w:pPr>
              <w:adjustRightInd w:val="0"/>
              <w:snapToGrid w:val="0"/>
              <w:spacing w:line="348" w:lineRule="auto"/>
              <w:ind w:firstLine="426" w:firstLineChars="177"/>
              <w:rPr>
                <w:rFonts w:ascii="Times New Roman" w:hAnsi="Times New Roman" w:eastAsia="宋体" w:cs="Times New Roman"/>
                <w:b/>
                <w:sz w:val="24"/>
              </w:rPr>
            </w:pP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2 \* GB3 </w:instrText>
            </w:r>
            <w:r>
              <w:rPr>
                <w:rFonts w:ascii="Times New Roman" w:hAnsi="Times New Roman" w:eastAsia="宋体" w:cs="Times New Roman"/>
                <w:b/>
                <w:sz w:val="24"/>
              </w:rPr>
              <w:fldChar w:fldCharType="separate"/>
            </w:r>
            <w:r>
              <w:rPr>
                <w:rFonts w:hint="eastAsia" w:ascii="宋体" w:hAnsi="宋体" w:eastAsia="宋体" w:cs="宋体"/>
                <w:b/>
                <w:sz w:val="24"/>
              </w:rPr>
              <w:t>②</w:t>
            </w:r>
            <w:r>
              <w:rPr>
                <w:rFonts w:ascii="Times New Roman" w:hAnsi="Times New Roman" w:eastAsia="宋体" w:cs="Times New Roman"/>
                <w:b/>
                <w:sz w:val="24"/>
              </w:rPr>
              <w:fldChar w:fldCharType="end"/>
            </w:r>
            <w:r>
              <w:rPr>
                <w:rFonts w:ascii="Times New Roman" w:hAnsi="Times New Roman" w:eastAsia="宋体" w:cs="Times New Roman"/>
                <w:b/>
                <w:sz w:val="24"/>
              </w:rPr>
              <w:t>施工工人生活污水</w:t>
            </w:r>
          </w:p>
          <w:p w14:paraId="6E876143">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根据类比分析，估算本项目施工高峰期有施工人员及工地管理人员20人左右，生活废水排放按0.05m</w:t>
            </w:r>
            <w:r>
              <w:rPr>
                <w:rFonts w:ascii="Times New Roman" w:hAnsi="Times New Roman" w:eastAsia="宋体" w:cs="Times New Roman"/>
                <w:sz w:val="24"/>
                <w:vertAlign w:val="superscript"/>
              </w:rPr>
              <w:t>3</w:t>
            </w:r>
            <w:r>
              <w:rPr>
                <w:rFonts w:ascii="Times New Roman" w:hAnsi="Times New Roman" w:eastAsia="宋体" w:cs="Times New Roman"/>
                <w:sz w:val="24"/>
              </w:rPr>
              <w:t>/人·d计算，排污系数取0.8，则施工人员生活废水产生量约为0.8m</w:t>
            </w:r>
            <w:r>
              <w:rPr>
                <w:rFonts w:ascii="Times New Roman" w:hAnsi="Times New Roman" w:eastAsia="宋体" w:cs="Times New Roman"/>
                <w:sz w:val="24"/>
                <w:vertAlign w:val="superscript"/>
              </w:rPr>
              <w:t>3</w:t>
            </w:r>
            <w:r>
              <w:rPr>
                <w:rFonts w:ascii="Times New Roman" w:hAnsi="Times New Roman" w:eastAsia="宋体" w:cs="Times New Roman"/>
                <w:sz w:val="24"/>
              </w:rPr>
              <w:t>/d。主要污染物浓度为：COD</w:t>
            </w:r>
            <w:r>
              <w:rPr>
                <w:rFonts w:ascii="Times New Roman" w:hAnsi="Times New Roman" w:eastAsia="宋体" w:cs="Times New Roman"/>
                <w:sz w:val="24"/>
                <w:vertAlign w:val="subscript"/>
              </w:rPr>
              <w:t xml:space="preserve">cr </w:t>
            </w:r>
            <w:r>
              <w:rPr>
                <w:rFonts w:ascii="Times New Roman" w:hAnsi="Times New Roman" w:eastAsia="宋体" w:cs="Times New Roman"/>
                <w:sz w:val="24"/>
              </w:rPr>
              <w:t>400mg/L、BOD</w:t>
            </w:r>
            <w:r>
              <w:rPr>
                <w:rFonts w:ascii="Times New Roman" w:hAnsi="Times New Roman" w:eastAsia="宋体" w:cs="Times New Roman"/>
                <w:sz w:val="24"/>
                <w:vertAlign w:val="subscript"/>
              </w:rPr>
              <w:t>5</w:t>
            </w:r>
            <w:r>
              <w:rPr>
                <w:rFonts w:ascii="Times New Roman" w:hAnsi="Times New Roman" w:eastAsia="宋体" w:cs="Times New Roman"/>
                <w:sz w:val="24"/>
              </w:rPr>
              <w:t>200mg/L、SS 250mg/L，氨氮40mg/L，动植物油30 mg/L。由于本项目施工人员主要为当地居民，不在施工场所内食宿，产生的生活废水</w:t>
            </w:r>
            <w:r>
              <w:rPr>
                <w:rFonts w:hint="eastAsia" w:ascii="Times New Roman" w:hAnsi="Times New Roman" w:eastAsia="宋体" w:cs="Times New Roman"/>
                <w:sz w:val="24"/>
              </w:rPr>
              <w:t>利用</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rPr>
              <w:t>处理回用农肥。</w:t>
            </w:r>
          </w:p>
          <w:p w14:paraId="5AAB42D2">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3、施工期噪声</w:t>
            </w:r>
          </w:p>
          <w:p w14:paraId="772F5950">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施工期的噪声主要来源于施工现场的各类机械设备噪声，不同施工阶段和不同施工机械发出的噪声水平是不同的。</w:t>
            </w:r>
          </w:p>
          <w:p w14:paraId="6E8248E5">
            <w:pPr>
              <w:adjustRightInd w:val="0"/>
              <w:snapToGrid w:val="0"/>
              <w:spacing w:line="348" w:lineRule="auto"/>
              <w:ind w:firstLine="424" w:firstLineChars="177"/>
              <w:jc w:val="center"/>
              <w:rPr>
                <w:rFonts w:ascii="Times New Roman" w:hAnsi="Times New Roman" w:eastAsia="宋体" w:cs="Times New Roman"/>
                <w:sz w:val="24"/>
              </w:rPr>
            </w:pPr>
            <w:r>
              <w:rPr>
                <w:rFonts w:hint="eastAsia" w:ascii="Times New Roman" w:hAnsi="Times New Roman" w:eastAsia="宋体" w:cs="Times New Roman"/>
                <w:sz w:val="24"/>
              </w:rPr>
              <w:t>表5</w:t>
            </w:r>
            <w:r>
              <w:rPr>
                <w:rFonts w:ascii="Times New Roman" w:hAnsi="Times New Roman" w:eastAsia="宋体" w:cs="Times New Roman"/>
                <w:sz w:val="24"/>
              </w:rPr>
              <w:t xml:space="preserve">-3 </w:t>
            </w:r>
            <w:r>
              <w:rPr>
                <w:rFonts w:hint="eastAsia" w:ascii="Times New Roman" w:hAnsi="Times New Roman" w:eastAsia="宋体" w:cs="Times New Roman"/>
                <w:sz w:val="24"/>
              </w:rPr>
              <w:t>交通运输车辆噪声</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761"/>
              <w:gridCol w:w="2761"/>
              <w:gridCol w:w="2760"/>
            </w:tblGrid>
            <w:tr w14:paraId="4AA8B5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shd w:val="clear" w:color="auto" w:fill="auto"/>
                  <w:vAlign w:val="center"/>
                </w:tcPr>
                <w:p w14:paraId="17337CB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施工阶段</w:t>
                  </w:r>
                </w:p>
              </w:tc>
              <w:tc>
                <w:tcPr>
                  <w:tcW w:w="1667" w:type="pct"/>
                  <w:shd w:val="clear" w:color="auto" w:fill="auto"/>
                  <w:vAlign w:val="center"/>
                </w:tcPr>
                <w:p w14:paraId="2D4363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设备名称</w:t>
                  </w:r>
                </w:p>
              </w:tc>
              <w:tc>
                <w:tcPr>
                  <w:tcW w:w="1666" w:type="pct"/>
                  <w:shd w:val="clear" w:color="auto" w:fill="auto"/>
                  <w:vAlign w:val="center"/>
                </w:tcPr>
                <w:p w14:paraId="0D56813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噪声级d</w:t>
                  </w:r>
                  <w:r>
                    <w:rPr>
                      <w:rFonts w:ascii="Times New Roman" w:hAnsi="Times New Roman" w:eastAsia="宋体" w:cs="Times New Roman"/>
                      <w:szCs w:val="21"/>
                    </w:rPr>
                    <w:t>B</w:t>
                  </w:r>
                  <w:r>
                    <w:rPr>
                      <w:rFonts w:hint="eastAsia" w:ascii="Times New Roman" w:hAnsi="Times New Roman" w:eastAsia="宋体" w:cs="Times New Roman"/>
                      <w:szCs w:val="21"/>
                    </w:rPr>
                    <w:t>（A）</w:t>
                  </w:r>
                </w:p>
              </w:tc>
            </w:tr>
            <w:tr w14:paraId="64E5C6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restart"/>
                  <w:shd w:val="clear" w:color="auto" w:fill="auto"/>
                  <w:vAlign w:val="center"/>
                </w:tcPr>
                <w:p w14:paraId="4543619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基础阶段的主要噪声源</w:t>
                  </w:r>
                </w:p>
              </w:tc>
              <w:tc>
                <w:tcPr>
                  <w:tcW w:w="1667" w:type="pct"/>
                  <w:shd w:val="clear" w:color="auto" w:fill="auto"/>
                  <w:vAlign w:val="center"/>
                </w:tcPr>
                <w:p w14:paraId="4503DA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移动式空压机</w:t>
                  </w:r>
                </w:p>
              </w:tc>
              <w:tc>
                <w:tcPr>
                  <w:tcW w:w="1666" w:type="pct"/>
                  <w:shd w:val="clear" w:color="auto" w:fill="auto"/>
                  <w:vAlign w:val="center"/>
                </w:tcPr>
                <w:p w14:paraId="3FEC3CD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7</w:t>
                  </w:r>
                  <w:r>
                    <w:rPr>
                      <w:rFonts w:hint="eastAsia" w:ascii="Times New Roman" w:hAnsi="Times New Roman" w:eastAsia="宋体" w:cs="Times New Roman"/>
                      <w:szCs w:val="21"/>
                    </w:rPr>
                    <w:t>~</w:t>
                  </w:r>
                  <w:r>
                    <w:rPr>
                      <w:rFonts w:ascii="Times New Roman" w:hAnsi="Times New Roman" w:eastAsia="宋体" w:cs="Times New Roman"/>
                      <w:szCs w:val="21"/>
                    </w:rPr>
                    <w:t>92</w:t>
                  </w:r>
                </w:p>
              </w:tc>
            </w:tr>
            <w:tr w14:paraId="37D9E0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5DFB80F8">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148F9DB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吊车</w:t>
                  </w:r>
                </w:p>
              </w:tc>
              <w:tc>
                <w:tcPr>
                  <w:tcW w:w="1666" w:type="pct"/>
                  <w:shd w:val="clear" w:color="auto" w:fill="auto"/>
                  <w:vAlign w:val="center"/>
                </w:tcPr>
                <w:p w14:paraId="64A20D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73</w:t>
                  </w:r>
                </w:p>
              </w:tc>
            </w:tr>
            <w:tr w14:paraId="2C164F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restart"/>
                  <w:shd w:val="clear" w:color="auto" w:fill="auto"/>
                  <w:vAlign w:val="center"/>
                </w:tcPr>
                <w:p w14:paraId="3C964D0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结构阶段的主要噪声源</w:t>
                  </w:r>
                </w:p>
              </w:tc>
              <w:tc>
                <w:tcPr>
                  <w:tcW w:w="1667" w:type="pct"/>
                  <w:shd w:val="clear" w:color="auto" w:fill="auto"/>
                  <w:vAlign w:val="center"/>
                </w:tcPr>
                <w:p w14:paraId="6D1594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混凝土搅拌机</w:t>
                  </w:r>
                </w:p>
              </w:tc>
              <w:tc>
                <w:tcPr>
                  <w:tcW w:w="1666" w:type="pct"/>
                  <w:shd w:val="clear" w:color="auto" w:fill="auto"/>
                  <w:vAlign w:val="center"/>
                </w:tcPr>
                <w:p w14:paraId="6FF8851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8</w:t>
                  </w:r>
                  <w:r>
                    <w:rPr>
                      <w:rFonts w:hint="eastAsia" w:ascii="Times New Roman" w:hAnsi="Times New Roman" w:eastAsia="宋体" w:cs="Times New Roman"/>
                      <w:szCs w:val="21"/>
                    </w:rPr>
                    <w:t>~</w:t>
                  </w:r>
                  <w:r>
                    <w:rPr>
                      <w:rFonts w:ascii="Times New Roman" w:hAnsi="Times New Roman" w:eastAsia="宋体" w:cs="Times New Roman"/>
                      <w:szCs w:val="21"/>
                    </w:rPr>
                    <w:t>89</w:t>
                  </w:r>
                </w:p>
              </w:tc>
            </w:tr>
            <w:tr w14:paraId="72379D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6F02DE5F">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5C19E3D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汽车吊车</w:t>
                  </w:r>
                </w:p>
              </w:tc>
              <w:tc>
                <w:tcPr>
                  <w:tcW w:w="1666" w:type="pct"/>
                  <w:shd w:val="clear" w:color="auto" w:fill="auto"/>
                  <w:vAlign w:val="center"/>
                </w:tcPr>
                <w:p w14:paraId="6846765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86</w:t>
                  </w:r>
                </w:p>
              </w:tc>
            </w:tr>
            <w:tr w14:paraId="04EC0E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5AA827FF">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0013461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混凝土搅拌车</w:t>
                  </w:r>
                </w:p>
              </w:tc>
              <w:tc>
                <w:tcPr>
                  <w:tcW w:w="1666" w:type="pct"/>
                  <w:shd w:val="clear" w:color="auto" w:fill="auto"/>
                  <w:vAlign w:val="center"/>
                </w:tcPr>
                <w:p w14:paraId="7E75B6A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3</w:t>
                  </w:r>
                  <w:r>
                    <w:rPr>
                      <w:rFonts w:hint="eastAsia" w:ascii="Times New Roman" w:hAnsi="Times New Roman" w:eastAsia="宋体" w:cs="Times New Roman"/>
                      <w:szCs w:val="21"/>
                    </w:rPr>
                    <w:t>~</w:t>
                  </w:r>
                  <w:r>
                    <w:rPr>
                      <w:rFonts w:ascii="Times New Roman" w:hAnsi="Times New Roman" w:eastAsia="宋体" w:cs="Times New Roman"/>
                      <w:szCs w:val="21"/>
                    </w:rPr>
                    <w:t>91</w:t>
                  </w:r>
                </w:p>
              </w:tc>
            </w:tr>
          </w:tbl>
          <w:p w14:paraId="6EE73F7C">
            <w:pPr>
              <w:adjustRightInd w:val="0"/>
              <w:snapToGrid w:val="0"/>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rPr>
              <w:t>表5</w:t>
            </w:r>
            <w:r>
              <w:rPr>
                <w:rFonts w:ascii="Times New Roman" w:hAnsi="Times New Roman" w:eastAsia="宋体" w:cs="Times New Roman"/>
                <w:sz w:val="24"/>
              </w:rPr>
              <w:t xml:space="preserve">-4 </w:t>
            </w:r>
            <w:r>
              <w:rPr>
                <w:rFonts w:hint="eastAsia" w:ascii="Times New Roman" w:hAnsi="Times New Roman" w:eastAsia="宋体" w:cs="Times New Roman"/>
                <w:sz w:val="24"/>
              </w:rPr>
              <w:t>施工机械噪声声源强度表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82"/>
              <w:gridCol w:w="1183"/>
              <w:gridCol w:w="1184"/>
              <w:gridCol w:w="1183"/>
              <w:gridCol w:w="1182"/>
              <w:gridCol w:w="1184"/>
              <w:gridCol w:w="1184"/>
            </w:tblGrid>
            <w:tr w14:paraId="6C6327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restart"/>
                  <w:shd w:val="clear" w:color="auto" w:fill="auto"/>
                  <w:vAlign w:val="center"/>
                </w:tcPr>
                <w:p w14:paraId="387B72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施工阶段</w:t>
                  </w:r>
                </w:p>
              </w:tc>
              <w:tc>
                <w:tcPr>
                  <w:tcW w:w="1185" w:type="dxa"/>
                  <w:vMerge w:val="restart"/>
                  <w:shd w:val="clear" w:color="auto" w:fill="auto"/>
                  <w:vAlign w:val="center"/>
                </w:tcPr>
                <w:p w14:paraId="72D26BA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声源</w:t>
                  </w:r>
                </w:p>
              </w:tc>
              <w:tc>
                <w:tcPr>
                  <w:tcW w:w="1185" w:type="dxa"/>
                  <w:vMerge w:val="restart"/>
                  <w:shd w:val="clear" w:color="auto" w:fill="auto"/>
                  <w:vAlign w:val="center"/>
                </w:tcPr>
                <w:p w14:paraId="0D78E23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声源强度[d</w:t>
                  </w:r>
                  <w:r>
                    <w:rPr>
                      <w:rFonts w:ascii="Times New Roman" w:hAnsi="Times New Roman" w:eastAsia="宋体" w:cs="Times New Roman"/>
                      <w:szCs w:val="21"/>
                    </w:rPr>
                    <w:t>B</w:t>
                  </w:r>
                  <w:r>
                    <w:rPr>
                      <w:rFonts w:hint="eastAsia" w:ascii="Times New Roman" w:hAnsi="Times New Roman" w:eastAsia="宋体" w:cs="Times New Roman"/>
                      <w:szCs w:val="21"/>
                    </w:rPr>
                    <w:t>（A）</w:t>
                  </w:r>
                  <w:r>
                    <w:rPr>
                      <w:rFonts w:ascii="Times New Roman" w:hAnsi="Times New Roman" w:eastAsia="宋体" w:cs="Times New Roman"/>
                      <w:szCs w:val="21"/>
                    </w:rPr>
                    <w:t>]</w:t>
                  </w:r>
                </w:p>
              </w:tc>
              <w:tc>
                <w:tcPr>
                  <w:tcW w:w="4742" w:type="dxa"/>
                  <w:gridSpan w:val="4"/>
                  <w:shd w:val="clear" w:color="auto" w:fill="auto"/>
                  <w:vAlign w:val="center"/>
                </w:tcPr>
                <w:p w14:paraId="718A942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厂界噪声d</w:t>
                  </w:r>
                  <w:r>
                    <w:rPr>
                      <w:rFonts w:ascii="Times New Roman" w:hAnsi="Times New Roman" w:eastAsia="宋体" w:cs="Times New Roman"/>
                      <w:szCs w:val="21"/>
                    </w:rPr>
                    <w:t>B</w:t>
                  </w:r>
                  <w:r>
                    <w:rPr>
                      <w:rFonts w:hint="eastAsia" w:ascii="Times New Roman" w:hAnsi="Times New Roman" w:eastAsia="宋体" w:cs="Times New Roman"/>
                      <w:szCs w:val="21"/>
                    </w:rPr>
                    <w:t>（A）</w:t>
                  </w:r>
                </w:p>
              </w:tc>
            </w:tr>
            <w:tr w14:paraId="62EBE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32DE6AF4">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19B9D9E6">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09E91C6F">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4EF4739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昼间</w:t>
                  </w:r>
                </w:p>
              </w:tc>
              <w:tc>
                <w:tcPr>
                  <w:tcW w:w="1185" w:type="dxa"/>
                  <w:shd w:val="clear" w:color="auto" w:fill="auto"/>
                  <w:vAlign w:val="center"/>
                </w:tcPr>
                <w:p w14:paraId="13023FB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标准</w:t>
                  </w:r>
                </w:p>
              </w:tc>
              <w:tc>
                <w:tcPr>
                  <w:tcW w:w="1186" w:type="dxa"/>
                  <w:shd w:val="clear" w:color="auto" w:fill="auto"/>
                  <w:vAlign w:val="center"/>
                </w:tcPr>
                <w:p w14:paraId="5853389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夜间</w:t>
                  </w:r>
                </w:p>
              </w:tc>
              <w:tc>
                <w:tcPr>
                  <w:tcW w:w="1186" w:type="dxa"/>
                  <w:shd w:val="clear" w:color="auto" w:fill="auto"/>
                  <w:vAlign w:val="center"/>
                </w:tcPr>
                <w:p w14:paraId="0BAF661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标准</w:t>
                  </w:r>
                </w:p>
              </w:tc>
            </w:tr>
            <w:tr w14:paraId="77D4AF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shd w:val="clear" w:color="auto" w:fill="auto"/>
                  <w:vAlign w:val="center"/>
                </w:tcPr>
                <w:p w14:paraId="0F7B039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底板与结构阶段</w:t>
                  </w:r>
                </w:p>
              </w:tc>
              <w:tc>
                <w:tcPr>
                  <w:tcW w:w="1185" w:type="dxa"/>
                  <w:shd w:val="clear" w:color="auto" w:fill="auto"/>
                  <w:vAlign w:val="center"/>
                </w:tcPr>
                <w:p w14:paraId="7D44A7E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电锯</w:t>
                  </w:r>
                </w:p>
              </w:tc>
              <w:tc>
                <w:tcPr>
                  <w:tcW w:w="1185" w:type="dxa"/>
                  <w:shd w:val="clear" w:color="auto" w:fill="auto"/>
                  <w:vAlign w:val="center"/>
                </w:tcPr>
                <w:p w14:paraId="4DEABED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shd w:val="clear" w:color="auto" w:fill="auto"/>
                  <w:vAlign w:val="center"/>
                </w:tcPr>
                <w:p w14:paraId="41A7D0E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r>
                    <w:rPr>
                      <w:rFonts w:hint="eastAsia" w:ascii="Times New Roman" w:hAnsi="Times New Roman" w:eastAsia="宋体" w:cs="Times New Roman"/>
                      <w:szCs w:val="21"/>
                    </w:rPr>
                    <w:t>~</w:t>
                  </w:r>
                  <w:r>
                    <w:rPr>
                      <w:rFonts w:ascii="Times New Roman" w:hAnsi="Times New Roman" w:eastAsia="宋体" w:cs="Times New Roman"/>
                      <w:szCs w:val="21"/>
                    </w:rPr>
                    <w:t>85</w:t>
                  </w:r>
                </w:p>
              </w:tc>
              <w:tc>
                <w:tcPr>
                  <w:tcW w:w="1185" w:type="dxa"/>
                  <w:vMerge w:val="restart"/>
                  <w:shd w:val="clear" w:color="auto" w:fill="auto"/>
                  <w:vAlign w:val="center"/>
                </w:tcPr>
                <w:p w14:paraId="5E066B2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p>
              </w:tc>
              <w:tc>
                <w:tcPr>
                  <w:tcW w:w="1186" w:type="dxa"/>
                  <w:shd w:val="clear" w:color="auto" w:fill="auto"/>
                  <w:vAlign w:val="center"/>
                </w:tcPr>
                <w:p w14:paraId="374AE38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86" w:type="dxa"/>
                  <w:vMerge w:val="restart"/>
                  <w:shd w:val="clear" w:color="auto" w:fill="auto"/>
                  <w:vAlign w:val="center"/>
                </w:tcPr>
                <w:p w14:paraId="4F07C31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5</w:t>
                  </w:r>
                </w:p>
              </w:tc>
            </w:tr>
            <w:tr w14:paraId="3002FC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restart"/>
                  <w:shd w:val="clear" w:color="auto" w:fill="auto"/>
                  <w:vAlign w:val="center"/>
                </w:tcPr>
                <w:p w14:paraId="355C14B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安装阶段</w:t>
                  </w:r>
                </w:p>
              </w:tc>
              <w:tc>
                <w:tcPr>
                  <w:tcW w:w="1185" w:type="dxa"/>
                  <w:shd w:val="clear" w:color="auto" w:fill="auto"/>
                  <w:vAlign w:val="center"/>
                </w:tcPr>
                <w:p w14:paraId="28946C9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电钻、手工钻</w:t>
                  </w:r>
                </w:p>
              </w:tc>
              <w:tc>
                <w:tcPr>
                  <w:tcW w:w="1185" w:type="dxa"/>
                  <w:shd w:val="clear" w:color="auto" w:fill="auto"/>
                  <w:vAlign w:val="center"/>
                </w:tcPr>
                <w:p w14:paraId="611736E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vMerge w:val="restart"/>
                  <w:shd w:val="clear" w:color="auto" w:fill="auto"/>
                  <w:vAlign w:val="center"/>
                </w:tcPr>
                <w:p w14:paraId="52A1DF0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r>
                    <w:rPr>
                      <w:rFonts w:hint="eastAsia" w:ascii="Times New Roman" w:hAnsi="Times New Roman" w:eastAsia="宋体" w:cs="Times New Roman"/>
                      <w:szCs w:val="21"/>
                    </w:rPr>
                    <w:t>~</w:t>
                  </w:r>
                  <w:r>
                    <w:rPr>
                      <w:rFonts w:ascii="Times New Roman" w:hAnsi="Times New Roman" w:eastAsia="宋体" w:cs="Times New Roman"/>
                      <w:szCs w:val="21"/>
                    </w:rPr>
                    <w:t>95</w:t>
                  </w:r>
                </w:p>
              </w:tc>
              <w:tc>
                <w:tcPr>
                  <w:tcW w:w="1185" w:type="dxa"/>
                  <w:vMerge w:val="continue"/>
                  <w:shd w:val="clear" w:color="auto" w:fill="auto"/>
                  <w:vAlign w:val="center"/>
                </w:tcPr>
                <w:p w14:paraId="26F7238F">
                  <w:pPr>
                    <w:adjustRightInd w:val="0"/>
                    <w:snapToGrid w:val="0"/>
                    <w:jc w:val="center"/>
                    <w:rPr>
                      <w:rFonts w:ascii="Times New Roman" w:hAnsi="Times New Roman" w:eastAsia="宋体" w:cs="Times New Roman"/>
                      <w:szCs w:val="21"/>
                    </w:rPr>
                  </w:pPr>
                </w:p>
              </w:tc>
              <w:tc>
                <w:tcPr>
                  <w:tcW w:w="1186" w:type="dxa"/>
                  <w:vMerge w:val="restart"/>
                  <w:shd w:val="clear" w:color="auto" w:fill="auto"/>
                  <w:vAlign w:val="center"/>
                </w:tcPr>
                <w:p w14:paraId="721BE8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86" w:type="dxa"/>
                  <w:vMerge w:val="continue"/>
                  <w:shd w:val="clear" w:color="auto" w:fill="auto"/>
                  <w:vAlign w:val="center"/>
                </w:tcPr>
                <w:p w14:paraId="33A0845F">
                  <w:pPr>
                    <w:adjustRightInd w:val="0"/>
                    <w:snapToGrid w:val="0"/>
                    <w:jc w:val="center"/>
                    <w:rPr>
                      <w:rFonts w:ascii="Times New Roman" w:hAnsi="Times New Roman" w:eastAsia="宋体" w:cs="Times New Roman"/>
                      <w:szCs w:val="21"/>
                    </w:rPr>
                  </w:pPr>
                </w:p>
              </w:tc>
            </w:tr>
            <w:tr w14:paraId="5714A6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7DAB87A4">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387FAB3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电锤</w:t>
                  </w:r>
                </w:p>
              </w:tc>
              <w:tc>
                <w:tcPr>
                  <w:tcW w:w="1185" w:type="dxa"/>
                  <w:shd w:val="clear" w:color="auto" w:fill="auto"/>
                  <w:vAlign w:val="center"/>
                </w:tcPr>
                <w:p w14:paraId="14D85AF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vMerge w:val="continue"/>
                  <w:shd w:val="clear" w:color="auto" w:fill="auto"/>
                  <w:vAlign w:val="center"/>
                </w:tcPr>
                <w:p w14:paraId="4B2569A0">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7552010E">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65FF5F6F">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10FD0E27">
                  <w:pPr>
                    <w:adjustRightInd w:val="0"/>
                    <w:snapToGrid w:val="0"/>
                    <w:jc w:val="center"/>
                    <w:rPr>
                      <w:rFonts w:ascii="Times New Roman" w:hAnsi="Times New Roman" w:eastAsia="宋体" w:cs="Times New Roman"/>
                      <w:szCs w:val="21"/>
                    </w:rPr>
                  </w:pPr>
                </w:p>
              </w:tc>
            </w:tr>
            <w:tr w14:paraId="652D9B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4E33A0FC">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2DB3AFF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无齿锯</w:t>
                  </w:r>
                </w:p>
              </w:tc>
              <w:tc>
                <w:tcPr>
                  <w:tcW w:w="1185" w:type="dxa"/>
                  <w:shd w:val="clear" w:color="auto" w:fill="auto"/>
                  <w:vAlign w:val="center"/>
                </w:tcPr>
                <w:p w14:paraId="6172C7C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05</w:t>
                  </w:r>
                </w:p>
              </w:tc>
              <w:tc>
                <w:tcPr>
                  <w:tcW w:w="1185" w:type="dxa"/>
                  <w:vMerge w:val="continue"/>
                  <w:shd w:val="clear" w:color="auto" w:fill="auto"/>
                  <w:vAlign w:val="center"/>
                </w:tcPr>
                <w:p w14:paraId="0B674C2E">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14E2323E">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44AE2A79">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68A03567">
                  <w:pPr>
                    <w:adjustRightInd w:val="0"/>
                    <w:snapToGrid w:val="0"/>
                    <w:jc w:val="center"/>
                    <w:rPr>
                      <w:rFonts w:ascii="Times New Roman" w:hAnsi="Times New Roman" w:eastAsia="宋体" w:cs="Times New Roman"/>
                      <w:szCs w:val="21"/>
                    </w:rPr>
                  </w:pPr>
                </w:p>
              </w:tc>
            </w:tr>
          </w:tbl>
          <w:p w14:paraId="21AA5A4B">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由外环境关系可知，项目</w:t>
            </w:r>
            <w:r>
              <w:rPr>
                <w:rFonts w:ascii="Times New Roman" w:hAnsi="Times New Roman" w:eastAsia="宋体" w:cs="Times New Roman"/>
                <w:sz w:val="24"/>
                <w:szCs w:val="24"/>
              </w:rPr>
              <w:t>外环境单纯，项目</w:t>
            </w:r>
            <w:r>
              <w:rPr>
                <w:rFonts w:hint="eastAsia" w:ascii="Times New Roman" w:hAnsi="Times New Roman" w:eastAsia="宋体" w:cs="Times New Roman"/>
                <w:sz w:val="24"/>
                <w:szCs w:val="24"/>
              </w:rPr>
              <w:t>位于工业园区内</w:t>
            </w:r>
            <w:r>
              <w:rPr>
                <w:rFonts w:ascii="Times New Roman" w:hAnsi="Times New Roman" w:eastAsia="宋体" w:cs="Times New Roman"/>
                <w:sz w:val="24"/>
                <w:szCs w:val="24"/>
              </w:rPr>
              <w:t>周边</w:t>
            </w:r>
            <w:r>
              <w:rPr>
                <w:rFonts w:hint="eastAsia" w:ascii="Times New Roman" w:hAnsi="Times New Roman" w:eastAsia="宋体" w:cs="Times New Roman"/>
                <w:sz w:val="24"/>
                <w:szCs w:val="24"/>
              </w:rPr>
              <w:t>敏感点较少，</w:t>
            </w:r>
            <w:r>
              <w:rPr>
                <w:rFonts w:ascii="Times New Roman" w:hAnsi="Times New Roman" w:eastAsia="宋体" w:cs="Times New Roman"/>
                <w:sz w:val="24"/>
                <w:szCs w:val="24"/>
              </w:rPr>
              <w:t>无特殊敏感点</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项目采取</w:t>
            </w:r>
            <w:r>
              <w:rPr>
                <w:rFonts w:ascii="Times New Roman" w:hAnsi="Times New Roman" w:eastAsia="宋体" w:cs="Times New Roman"/>
                <w:sz w:val="24"/>
              </w:rPr>
              <w:t>隔离墙的隔声，再利用施工场区的距离衰减作用，可使施工噪声影响得到有效控制。</w:t>
            </w:r>
          </w:p>
          <w:p w14:paraId="1F56B9E1">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但由于施工阶段一般为露天作业，除修筑建筑隔离墙进行隔声降噪外，无特殊隔声与削减措施，故噪声传播较远，受影响面较大，施工方应合理安排施工时间；如果工艺要求必须连续作业的强噪声施工，应首先征得当地建委、城管和环保局等主管部门的同意，并及时公告周边居民，取得谅解，避免噪声扰民纠纷。</w:t>
            </w:r>
          </w:p>
          <w:p w14:paraId="5D259CEA">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本项目选址于乐山市峨边彝族自治县峨边新场工业园区，为尽量防止和减少施工期间的噪声对周围会造成的影响，应采取如下控制措施：</w:t>
            </w:r>
          </w:p>
          <w:p w14:paraId="0701B559">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1）严格执行《环境噪声（振动）管理条例》中夜间严禁高噪声施工作业的规</w:t>
            </w:r>
            <w:r>
              <w:rPr>
                <w:rFonts w:hint="eastAsia" w:ascii="Times New Roman" w:hAnsi="Times New Roman" w:eastAsia="宋体" w:cs="Times New Roman"/>
                <w:sz w:val="24"/>
              </w:rPr>
              <w:t>定，合理安排高噪声施工作业的时间，每天</w:t>
            </w:r>
            <w:r>
              <w:rPr>
                <w:rFonts w:ascii="Times New Roman" w:hAnsi="Times New Roman" w:eastAsia="宋体" w:cs="Times New Roman"/>
                <w:sz w:val="24"/>
              </w:rPr>
              <w:t xml:space="preserve"> 22 点至次日凌晨 6 点禁止高噪声机械施</w:t>
            </w:r>
            <w:r>
              <w:rPr>
                <w:rFonts w:hint="eastAsia" w:ascii="Times New Roman" w:hAnsi="Times New Roman" w:eastAsia="宋体" w:cs="Times New Roman"/>
                <w:sz w:val="24"/>
              </w:rPr>
              <w:t>工和电动工具作业，尽量减少其他施工机械对周围环境的影响。</w:t>
            </w:r>
          </w:p>
          <w:p w14:paraId="6796BFDE">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2）严格执行《建筑施工场界环境噪声排放标准》（GB12523-2011）对施工阶</w:t>
            </w:r>
            <w:r>
              <w:rPr>
                <w:rFonts w:hint="eastAsia" w:ascii="Times New Roman" w:hAnsi="Times New Roman" w:eastAsia="宋体" w:cs="Times New Roman"/>
                <w:sz w:val="24"/>
              </w:rPr>
              <w:t>段噪声要求。</w:t>
            </w:r>
          </w:p>
          <w:p w14:paraId="1D4B8BC1">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3）加强施工区附近的交通管理，避免运输车辆堵塞而增加的车辆鸣号。</w:t>
            </w:r>
          </w:p>
          <w:p w14:paraId="763D385D">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在采取上述施工噪声防治措施后，施工期场界噪声能满足《建筑施工场界噪声排放标准》（</w:t>
            </w:r>
            <w:r>
              <w:rPr>
                <w:rFonts w:ascii="Times New Roman" w:hAnsi="Times New Roman" w:eastAsia="宋体" w:cs="Times New Roman"/>
                <w:sz w:val="24"/>
              </w:rPr>
              <w:t>GB12523-2011）标准的要求</w:t>
            </w:r>
            <w:r>
              <w:rPr>
                <w:rFonts w:ascii="Times New Roman" w:hAnsi="Times New Roman" w:eastAsia="宋体" w:cs="Times New Roman"/>
                <w:bCs/>
                <w:sz w:val="24"/>
                <w:szCs w:val="24"/>
              </w:rPr>
              <w:t>，且影响是有限的、暂时的，会随着施工期的结束而消失。</w:t>
            </w:r>
          </w:p>
          <w:p w14:paraId="25A82C0B">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4、施工期固体废弃物</w:t>
            </w:r>
          </w:p>
          <w:p w14:paraId="3FAE56F9">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施工期产生的固体废弃物为施工现场建筑废物和施工人员生活垃圾。根据《中华人民共和国固体废物污染环境防治法》相关规定，项目固废采取的处理措施如下：</w:t>
            </w:r>
          </w:p>
          <w:p w14:paraId="1E4B520B">
            <w:pPr>
              <w:adjustRightInd w:val="0"/>
              <w:snapToGrid w:val="0"/>
              <w:spacing w:line="360" w:lineRule="auto"/>
              <w:ind w:right="91" w:firstLine="482" w:firstLineChars="200"/>
              <w:rPr>
                <w:rFonts w:ascii="Times New Roman" w:hAnsi="Times New Roman" w:eastAsia="宋体" w:cs="Times New Roman"/>
                <w:sz w:val="24"/>
              </w:rPr>
            </w:pPr>
            <w:r>
              <w:rPr>
                <w:rFonts w:hint="eastAsia" w:ascii="宋体" w:hAnsi="宋体" w:eastAsia="宋体" w:cs="宋体"/>
                <w:b/>
                <w:sz w:val="24"/>
              </w:rPr>
              <w:t>①</w:t>
            </w:r>
            <w:r>
              <w:rPr>
                <w:rFonts w:ascii="Times New Roman" w:hAnsi="Times New Roman" w:eastAsia="宋体" w:cs="Times New Roman"/>
                <w:b/>
                <w:sz w:val="24"/>
              </w:rPr>
              <w:t>施工人员产生的生活垃圾</w:t>
            </w:r>
          </w:p>
          <w:p w14:paraId="4A9743B1">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按高峰期施工人员20人左右，产生的生活垃圾按0.5kg/人·d计算，垃圾产生量为10kg/d，集中收集后自行清运处理，不可就地填埋，以避免对区域环境空气和地下水环境质量构成潜在的影响因素。</w:t>
            </w:r>
          </w:p>
          <w:p w14:paraId="280CB305">
            <w:pPr>
              <w:adjustRightInd w:val="0"/>
              <w:snapToGrid w:val="0"/>
              <w:spacing w:line="360" w:lineRule="auto"/>
              <w:ind w:right="91" w:firstLine="482" w:firstLineChars="200"/>
              <w:rPr>
                <w:rFonts w:ascii="Times New Roman" w:hAnsi="Times New Roman" w:eastAsia="宋体" w:cs="Times New Roman"/>
                <w:sz w:val="24"/>
              </w:rPr>
            </w:pPr>
            <w:r>
              <w:rPr>
                <w:rFonts w:hint="eastAsia" w:ascii="宋体" w:hAnsi="宋体" w:eastAsia="宋体" w:cs="宋体"/>
                <w:b/>
                <w:sz w:val="24"/>
              </w:rPr>
              <w:t>②</w:t>
            </w:r>
            <w:r>
              <w:rPr>
                <w:rFonts w:ascii="Times New Roman" w:hAnsi="Times New Roman" w:eastAsia="宋体" w:cs="Times New Roman"/>
                <w:b/>
                <w:sz w:val="24"/>
              </w:rPr>
              <w:t>施工现场建筑废物</w:t>
            </w:r>
          </w:p>
          <w:p w14:paraId="0A3C98DE">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预计项目施工过程中产生的建筑垃圾</w:t>
            </w:r>
            <w:r>
              <w:rPr>
                <w:rFonts w:hint="eastAsia" w:ascii="Times New Roman" w:hAnsi="Times New Roman" w:eastAsia="宋体" w:cs="Times New Roman"/>
                <w:sz w:val="24"/>
                <w:lang w:eastAsia="zh-CN"/>
              </w:rPr>
              <w:t>（</w:t>
            </w:r>
            <w:r>
              <w:rPr>
                <w:rFonts w:ascii="Times New Roman" w:hAnsi="Times New Roman" w:eastAsia="宋体" w:cs="Times New Roman"/>
                <w:sz w:val="24"/>
              </w:rPr>
              <w:t>如水泥袋、铁质弃料、木材弃</w:t>
            </w:r>
            <w:r>
              <w:rPr>
                <w:rFonts w:hint="eastAsia" w:ascii="Times New Roman" w:hAnsi="Times New Roman" w:eastAsia="宋体" w:cs="Times New Roman"/>
                <w:sz w:val="24"/>
              </w:rPr>
              <w:t>料等</w:t>
            </w:r>
            <w:r>
              <w:rPr>
                <w:rFonts w:hint="eastAsia" w:ascii="Times New Roman" w:hAnsi="Times New Roman" w:eastAsia="宋体" w:cs="Times New Roman"/>
                <w:sz w:val="24"/>
                <w:lang w:eastAsia="zh-CN"/>
              </w:rPr>
              <w:t>）</w:t>
            </w:r>
            <w:r>
              <w:rPr>
                <w:rFonts w:ascii="Times New Roman" w:hAnsi="Times New Roman" w:eastAsia="宋体" w:cs="Times New Roman"/>
                <w:sz w:val="24"/>
              </w:rPr>
              <w:t>约为0.5t/d。在施工现场应设置临时建筑废物堆放场并进行密闭处理。施工生</w:t>
            </w:r>
            <w:r>
              <w:rPr>
                <w:rFonts w:hint="eastAsia" w:ascii="Times New Roman" w:hAnsi="Times New Roman" w:eastAsia="宋体" w:cs="Times New Roman"/>
                <w:sz w:val="24"/>
              </w:rPr>
              <w:t>产的废料首先应考虑废料的回收利用，对钢筋、钢板、木材等下角料可分类回收，交废物收购站处理；对不能回收的建筑垃圾，如混凝土废料、含砖、石、砂的杂土等以及不能回填的废渣，应集中堆放，定时清运到指定垃圾场，以免影响环境质量。为确保废弃物处置措施落实，建设单位或施工总承包单位在与建筑垃圾清运公司签订清运合同时，应要求承包公司提供废弃物去向的证明材料，严禁随意倾倒、填埋。进入房子装修阶段时，将会产生大量的装修垃圾，其量较难计算。一般有废砖头、砂、水泥及木屑等，会产生扬尘，因此不能随意倾倒，而应用编织袋包装后运出屋外，放在指定地点，由园区环卫部门统一清运处理。</w:t>
            </w:r>
          </w:p>
          <w:p w14:paraId="51C12C27">
            <w:pPr>
              <w:adjustRightInd w:val="0"/>
              <w:snapToGrid w:val="0"/>
              <w:spacing w:line="360" w:lineRule="auto"/>
              <w:ind w:right="91"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外运以上各种建筑垃圾时，运输车辆不允许超载，出场前一律清洗轮胎，用毡布覆盖，并且应沿指定的方向行驶至指定的建筑垃圾场。</w:t>
            </w:r>
          </w:p>
          <w:p w14:paraId="7AC7B426">
            <w:pPr>
              <w:adjustRightInd w:val="0"/>
              <w:snapToGrid w:val="0"/>
              <w:spacing w:line="360" w:lineRule="auto"/>
              <w:ind w:right="91" w:firstLine="482" w:firstLineChars="200"/>
              <w:rPr>
                <w:rFonts w:ascii="Times New Roman" w:hAnsi="Times New Roman" w:eastAsia="宋体" w:cs="Times New Roman"/>
                <w:b/>
                <w:bCs/>
                <w:sz w:val="24"/>
                <w:szCs w:val="24"/>
              </w:rPr>
            </w:pPr>
            <w:r>
              <w:rPr>
                <w:rFonts w:ascii="Times New Roman" w:hAnsi="Times New Roman" w:eastAsia="宋体" w:cs="Times New Roman"/>
                <w:b/>
                <w:bCs/>
                <w:sz w:val="24"/>
                <w:szCs w:val="24"/>
              </w:rPr>
              <w:t>5、建设引起的水土流失</w:t>
            </w:r>
          </w:p>
          <w:p w14:paraId="5A5709CB">
            <w:pPr>
              <w:adjustRightInd w:val="0"/>
              <w:snapToGrid w:val="0"/>
              <w:spacing w:line="348" w:lineRule="auto"/>
              <w:ind w:firstLine="424" w:firstLineChars="177"/>
              <w:rPr>
                <w:rFonts w:ascii="Times New Roman" w:hAnsi="Times New Roman" w:eastAsia="宋体" w:cs="Times New Roman"/>
                <w:b/>
                <w:sz w:val="24"/>
              </w:rPr>
            </w:pPr>
            <w:r>
              <w:rPr>
                <w:rFonts w:ascii="Times New Roman" w:hAnsi="Times New Roman" w:eastAsia="宋体" w:cs="Times New Roman"/>
                <w:sz w:val="24"/>
              </w:rPr>
              <w:t>项目实施过程中将破坏部分表土结构，减弱局部地区土层的稳定性，在暴雨较集中的时段施工，容易形成小范围的水土流失，另一方面也会增加施工难度和施工费用。因而针对本项目的水土流失，建议施工单位应采取如下措施：</w:t>
            </w:r>
          </w:p>
          <w:p w14:paraId="581F917A">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1）施工期间采取严格的防治措施以减少水土流失，如尽量缩短土地裸露时间，</w:t>
            </w:r>
            <w:r>
              <w:rPr>
                <w:rFonts w:hint="eastAsia" w:ascii="Times New Roman" w:hAnsi="Times New Roman" w:eastAsia="宋体" w:cs="Times New Roman"/>
                <w:sz w:val="24"/>
              </w:rPr>
              <w:t>加快工程项目建设；制订施工计划时，施工进度安排避开在降雨量大的</w:t>
            </w:r>
            <w:r>
              <w:rPr>
                <w:rFonts w:ascii="Times New Roman" w:hAnsi="Times New Roman" w:eastAsia="宋体" w:cs="Times New Roman"/>
                <w:sz w:val="24"/>
              </w:rPr>
              <w:t xml:space="preserve"> 6-9 月份大面</w:t>
            </w:r>
            <w:r>
              <w:rPr>
                <w:rFonts w:hint="eastAsia" w:ascii="Times New Roman" w:hAnsi="Times New Roman" w:eastAsia="宋体" w:cs="Times New Roman"/>
                <w:sz w:val="24"/>
              </w:rPr>
              <w:t>积开挖和堆填；地面应压实等。</w:t>
            </w:r>
          </w:p>
          <w:p w14:paraId="4E1CE244">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2）绿化植被的物种应优先选择当地有的物种，避免引进外来物种，以免影响</w:t>
            </w:r>
            <w:r>
              <w:rPr>
                <w:rFonts w:hint="eastAsia" w:ascii="Times New Roman" w:hAnsi="Times New Roman" w:eastAsia="宋体" w:cs="Times New Roman"/>
                <w:sz w:val="24"/>
              </w:rPr>
              <w:t>当地物种的种群结构。</w:t>
            </w:r>
          </w:p>
          <w:p w14:paraId="45212897">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3）应加强对承包商的环保教育，工程施工过程中严禁施工人员在施工范围外</w:t>
            </w:r>
            <w:r>
              <w:rPr>
                <w:rFonts w:hint="eastAsia" w:ascii="Times New Roman" w:hAnsi="Times New Roman" w:eastAsia="宋体" w:cs="Times New Roman"/>
                <w:sz w:val="24"/>
              </w:rPr>
              <w:t>私自占地堆放施工机械或建筑材料。</w:t>
            </w:r>
          </w:p>
          <w:p w14:paraId="241EF330">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4）施工开始前，施工单位必须先与当地政府部门取得联系，协调有关施工场</w:t>
            </w:r>
            <w:r>
              <w:rPr>
                <w:rFonts w:hint="eastAsia" w:ascii="Times New Roman" w:hAnsi="Times New Roman" w:eastAsia="宋体" w:cs="Times New Roman"/>
                <w:sz w:val="24"/>
              </w:rPr>
              <w:t>地、施工营地以及施工临时便道等问题。</w:t>
            </w:r>
          </w:p>
          <w:p w14:paraId="5264331B">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5）设置必要的导水沟渠，将施工产生的废水沉淀后回用，不可随意引入地表</w:t>
            </w:r>
            <w:r>
              <w:rPr>
                <w:rFonts w:hint="eastAsia" w:ascii="Times New Roman" w:hAnsi="Times New Roman" w:eastAsia="宋体" w:cs="Times New Roman"/>
                <w:sz w:val="24"/>
              </w:rPr>
              <w:t>水体。</w:t>
            </w:r>
          </w:p>
          <w:p w14:paraId="69097543">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6）加强施工后期的绿化工作，施工结束后表层土不外露，厂区路面全部用水</w:t>
            </w:r>
            <w:r>
              <w:rPr>
                <w:rFonts w:hint="eastAsia" w:ascii="Times New Roman" w:hAnsi="Times New Roman" w:eastAsia="宋体" w:cs="Times New Roman"/>
                <w:sz w:val="24"/>
              </w:rPr>
              <w:t>泥铺设。</w:t>
            </w:r>
          </w:p>
          <w:p w14:paraId="2AE47F1B">
            <w:pPr>
              <w:adjustRightInd w:val="0"/>
              <w:snapToGrid w:val="0"/>
              <w:spacing w:line="348" w:lineRule="auto"/>
              <w:ind w:firstLine="426" w:firstLineChars="177"/>
              <w:rPr>
                <w:rFonts w:ascii="Times New Roman" w:hAnsi="Times New Roman" w:eastAsia="宋体" w:cs="Times New Roman"/>
                <w:b/>
                <w:sz w:val="24"/>
                <w:szCs w:val="24"/>
              </w:rPr>
            </w:pPr>
            <w:r>
              <w:rPr>
                <w:rFonts w:ascii="Times New Roman" w:hAnsi="Times New Roman" w:eastAsia="宋体" w:cs="Times New Roman"/>
                <w:b/>
                <w:sz w:val="24"/>
                <w:szCs w:val="24"/>
              </w:rPr>
              <w:t>（二）营运期污染物排放及治理</w:t>
            </w:r>
          </w:p>
          <w:p w14:paraId="1AECFAA3">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sz w:val="24"/>
              </w:rPr>
              <w:t>1、</w:t>
            </w:r>
            <w:r>
              <w:rPr>
                <w:rFonts w:ascii="Times New Roman" w:hAnsi="Times New Roman" w:eastAsia="宋体" w:cs="Times New Roman"/>
                <w:b/>
                <w:bCs/>
                <w:sz w:val="24"/>
              </w:rPr>
              <w:t>废气排放及治理措施</w:t>
            </w:r>
          </w:p>
          <w:p w14:paraId="1058122A">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w:t>
            </w:r>
            <w:r>
              <w:rPr>
                <w:rFonts w:hint="eastAsia" w:ascii="Times New Roman" w:hAnsi="Times New Roman" w:eastAsia="宋体" w:cs="Times New Roman"/>
                <w:sz w:val="24"/>
              </w:rPr>
              <w:t>工艺</w:t>
            </w:r>
            <w:r>
              <w:rPr>
                <w:rFonts w:ascii="Times New Roman" w:hAnsi="Times New Roman" w:eastAsia="宋体" w:cs="Times New Roman"/>
                <w:sz w:val="24"/>
              </w:rPr>
              <w:t>粉尘</w:t>
            </w:r>
          </w:p>
          <w:p w14:paraId="1DBD8BA8">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源强计算</w:t>
            </w:r>
          </w:p>
          <w:p w14:paraId="0BA380EE">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项目工艺粉尘主要产生于破碎、筛分、粉磨等工序，以上工序使用设备均为全封闭设备，所产生的工艺粉尘分别引至4台除尘器处理后外排，仅在进料及带式输送过程中产生无组织逸散，集气罩收集率按9</w:t>
            </w:r>
            <w:r>
              <w:rPr>
                <w:rFonts w:ascii="Times New Roman" w:hAnsi="Times New Roman" w:eastAsia="宋体" w:cs="Times New Roman"/>
                <w:sz w:val="24"/>
              </w:rPr>
              <w:t>5</w:t>
            </w:r>
            <w:r>
              <w:rPr>
                <w:rFonts w:hint="eastAsia" w:ascii="Times New Roman" w:hAnsi="Times New Roman" w:eastAsia="宋体" w:cs="Times New Roman"/>
                <w:sz w:val="24"/>
              </w:rPr>
              <w:t>%计，无组织排放量按粉尘产生量</w:t>
            </w:r>
            <w:r>
              <w:rPr>
                <w:rFonts w:ascii="Times New Roman" w:hAnsi="Times New Roman" w:eastAsia="宋体" w:cs="Times New Roman"/>
                <w:sz w:val="24"/>
              </w:rPr>
              <w:t>5</w:t>
            </w:r>
            <w:r>
              <w:rPr>
                <w:rFonts w:hint="eastAsia" w:ascii="Times New Roman" w:hAnsi="Times New Roman" w:eastAsia="宋体" w:cs="Times New Roman"/>
                <w:sz w:val="24"/>
              </w:rPr>
              <w:t>%计。破碎、筛分、粉磨等工序位于硅粉车间，硅粉车间为封闭车间，根据建设单位提供的资料，破碎、筛分、粉磨等工序产尘率按0.25kg/t计算。</w:t>
            </w:r>
          </w:p>
          <w:p w14:paraId="1A95D639">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i</w:t>
            </w:r>
            <w:r>
              <w:rPr>
                <w:rFonts w:hint="eastAsia" w:ascii="Times New Roman" w:hAnsi="Times New Roman" w:eastAsia="宋体" w:cs="Times New Roman"/>
                <w:sz w:val="24"/>
              </w:rPr>
              <w:t>、破碎粉尘</w:t>
            </w:r>
          </w:p>
          <w:p w14:paraId="0147FF2F">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由项目生产工艺可知，项目破碎粉尘主要产生于头破工序，建设单位拟在硅块料仓侧面设置抽风口，颚式破碎机上方设置吸风罩，粉尘通过抽吸风管道进入脉冲式布袋除尘器处理。</w:t>
            </w:r>
            <w:r>
              <w:rPr>
                <w:rFonts w:ascii="Times New Roman" w:hAnsi="Times New Roman" w:eastAsia="宋体" w:cs="Times New Roman"/>
                <w:sz w:val="24"/>
              </w:rPr>
              <w:t>破碎粉尘源强计算加下：</w:t>
            </w:r>
          </w:p>
          <w:p w14:paraId="42156393">
            <w:pPr>
              <w:adjustRightInd w:val="0"/>
              <w:snapToGrid w:val="0"/>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sz w:val="24"/>
              </w:rPr>
              <w:t>破碎粉尘源强=40000t/a×0.25</w:t>
            </w:r>
            <w:r>
              <w:rPr>
                <w:rFonts w:ascii="Times New Roman" w:hAnsi="Times New Roman" w:eastAsia="宋体" w:cs="Times New Roman"/>
                <w:bCs/>
                <w:sz w:val="24"/>
              </w:rPr>
              <w:t>千克/吨-产品</w:t>
            </w:r>
            <w:r>
              <w:rPr>
                <w:rFonts w:ascii="Times New Roman" w:hAnsi="Times New Roman" w:eastAsia="宋体" w:cs="Times New Roman"/>
                <w:sz w:val="24"/>
              </w:rPr>
              <w:t>÷1000</w:t>
            </w:r>
            <w:r>
              <w:rPr>
                <w:rFonts w:ascii="Times New Roman" w:hAnsi="Times New Roman" w:eastAsia="宋体" w:cs="Times New Roman"/>
                <w:bCs/>
                <w:sz w:val="24"/>
              </w:rPr>
              <w:t>千克/吨=10t/a</w:t>
            </w:r>
          </w:p>
          <w:p w14:paraId="4999CC6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ii</w:t>
            </w:r>
            <w:r>
              <w:rPr>
                <w:rFonts w:hint="eastAsia" w:ascii="Times New Roman" w:hAnsi="Times New Roman" w:eastAsia="宋体" w:cs="Times New Roman"/>
                <w:sz w:val="24"/>
              </w:rPr>
              <w:t>、筛分粉尘</w:t>
            </w:r>
          </w:p>
          <w:p w14:paraId="2C437418">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由项目生产工艺可知，项目筛分过程会产生筛分粉尘，拟在筛分机上方设置吸风罩，粉尘通过抽吸风管道进入脉冲式布袋除尘器处理。</w:t>
            </w:r>
            <w:r>
              <w:rPr>
                <w:rFonts w:ascii="Times New Roman" w:hAnsi="Times New Roman" w:eastAsia="宋体" w:cs="Times New Roman"/>
                <w:sz w:val="24"/>
              </w:rPr>
              <w:t>破碎粉尘源强计算加下：</w:t>
            </w:r>
          </w:p>
          <w:p w14:paraId="32C98D0B">
            <w:pPr>
              <w:adjustRightInd w:val="0"/>
              <w:snapToGrid w:val="0"/>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sz w:val="24"/>
              </w:rPr>
              <w:t>筛分</w:t>
            </w:r>
            <w:r>
              <w:rPr>
                <w:rFonts w:ascii="Times New Roman" w:hAnsi="Times New Roman" w:eastAsia="宋体" w:cs="Times New Roman"/>
                <w:sz w:val="24"/>
              </w:rPr>
              <w:t>粉尘源强=40000t/a×0.25</w:t>
            </w:r>
            <w:r>
              <w:rPr>
                <w:rFonts w:ascii="Times New Roman" w:hAnsi="Times New Roman" w:eastAsia="宋体" w:cs="Times New Roman"/>
                <w:bCs/>
                <w:sz w:val="24"/>
              </w:rPr>
              <w:t>千克/吨-产品</w:t>
            </w:r>
            <w:r>
              <w:rPr>
                <w:rFonts w:ascii="Times New Roman" w:hAnsi="Times New Roman" w:eastAsia="宋体" w:cs="Times New Roman"/>
                <w:sz w:val="24"/>
              </w:rPr>
              <w:t>÷1000</w:t>
            </w:r>
            <w:r>
              <w:rPr>
                <w:rFonts w:ascii="Times New Roman" w:hAnsi="Times New Roman" w:eastAsia="宋体" w:cs="Times New Roman"/>
                <w:bCs/>
                <w:sz w:val="24"/>
              </w:rPr>
              <w:t>千克/吨=10t/a</w:t>
            </w:r>
          </w:p>
          <w:p w14:paraId="7934AE0B">
            <w:pPr>
              <w:adjustRightInd w:val="0"/>
              <w:snapToGrid w:val="0"/>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lang w:eastAsia="zh-CN"/>
              </w:rPr>
              <w:t>Ⅲ</w:t>
            </w:r>
            <w:r>
              <w:rPr>
                <w:rFonts w:hint="eastAsia" w:ascii="Times New Roman" w:hAnsi="Times New Roman" w:eastAsia="宋体" w:cs="Times New Roman"/>
                <w:bCs/>
                <w:sz w:val="24"/>
              </w:rPr>
              <w:t>、粉磨粉尘</w:t>
            </w:r>
          </w:p>
          <w:p w14:paraId="7505CE09">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由项目生产工艺可知，项目粉磨过程会产生粉磨粉尘，拟在粉磨工序上方设置吸风罩，粉尘通过抽吸风管道进入脉冲式布袋除尘器处理。</w:t>
            </w:r>
            <w:r>
              <w:rPr>
                <w:rFonts w:ascii="Times New Roman" w:hAnsi="Times New Roman" w:eastAsia="宋体" w:cs="Times New Roman"/>
                <w:sz w:val="24"/>
              </w:rPr>
              <w:t>破碎粉尘源强计算加下：</w:t>
            </w:r>
          </w:p>
          <w:p w14:paraId="7ABE1ACA">
            <w:pPr>
              <w:adjustRightInd w:val="0"/>
              <w:snapToGrid w:val="0"/>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sz w:val="24"/>
              </w:rPr>
              <w:t>粉磨</w:t>
            </w:r>
            <w:r>
              <w:rPr>
                <w:rFonts w:ascii="Times New Roman" w:hAnsi="Times New Roman" w:eastAsia="宋体" w:cs="Times New Roman"/>
                <w:sz w:val="24"/>
              </w:rPr>
              <w:t>粉尘源强=40000t/a×0.25</w:t>
            </w:r>
            <w:r>
              <w:rPr>
                <w:rFonts w:ascii="Times New Roman" w:hAnsi="Times New Roman" w:eastAsia="宋体" w:cs="Times New Roman"/>
                <w:bCs/>
                <w:sz w:val="24"/>
              </w:rPr>
              <w:t>千克/吨-产品</w:t>
            </w:r>
            <w:r>
              <w:rPr>
                <w:rFonts w:ascii="Times New Roman" w:hAnsi="Times New Roman" w:eastAsia="宋体" w:cs="Times New Roman"/>
                <w:sz w:val="24"/>
              </w:rPr>
              <w:t>÷1000</w:t>
            </w:r>
            <w:r>
              <w:rPr>
                <w:rFonts w:ascii="Times New Roman" w:hAnsi="Times New Roman" w:eastAsia="宋体" w:cs="Times New Roman"/>
                <w:bCs/>
                <w:sz w:val="24"/>
              </w:rPr>
              <w:t>千克/吨=10t/a</w:t>
            </w:r>
            <w:r>
              <w:rPr>
                <w:rFonts w:hint="eastAsia" w:ascii="Times New Roman" w:hAnsi="Times New Roman" w:eastAsia="宋体" w:cs="Times New Roman"/>
                <w:bCs/>
                <w:sz w:val="24"/>
              </w:rPr>
              <w:t xml:space="preserve"> </w:t>
            </w:r>
          </w:p>
          <w:p w14:paraId="6A16AA65">
            <w:pPr>
              <w:adjustRightInd w:val="0"/>
              <w:snapToGrid w:val="0"/>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Q</w:t>
            </w:r>
            <w:r>
              <w:rPr>
                <w:rFonts w:hint="eastAsia" w:ascii="Times New Roman" w:hAnsi="Times New Roman" w:eastAsia="宋体" w:cs="Times New Roman"/>
                <w:bCs/>
                <w:sz w:val="24"/>
                <w:vertAlign w:val="subscript"/>
              </w:rPr>
              <w:t>总</w:t>
            </w:r>
            <w:r>
              <w:rPr>
                <w:rFonts w:hint="eastAsia" w:ascii="Times New Roman" w:hAnsi="Times New Roman" w:eastAsia="宋体" w:cs="Times New Roman"/>
                <w:bCs/>
                <w:sz w:val="24"/>
              </w:rPr>
              <w:t>=（</w:t>
            </w:r>
            <w:r>
              <w:rPr>
                <w:rFonts w:ascii="Times New Roman" w:hAnsi="Times New Roman" w:eastAsia="宋体" w:cs="Times New Roman"/>
                <w:bCs/>
                <w:sz w:val="24"/>
              </w:rPr>
              <w:t>10+10+10</w:t>
            </w:r>
            <w:r>
              <w:rPr>
                <w:rFonts w:hint="eastAsia" w:ascii="Times New Roman" w:hAnsi="Times New Roman" w:eastAsia="宋体" w:cs="Times New Roman"/>
                <w:bCs/>
                <w:sz w:val="24"/>
              </w:rPr>
              <w:t>）t</w:t>
            </w:r>
            <w:r>
              <w:rPr>
                <w:rFonts w:ascii="Times New Roman" w:hAnsi="Times New Roman" w:eastAsia="宋体" w:cs="Times New Roman"/>
                <w:bCs/>
                <w:sz w:val="24"/>
              </w:rPr>
              <w:t>/</w:t>
            </w:r>
            <w:r>
              <w:rPr>
                <w:rFonts w:hint="eastAsia" w:ascii="Times New Roman" w:hAnsi="Times New Roman" w:eastAsia="宋体" w:cs="Times New Roman"/>
                <w:bCs/>
                <w:sz w:val="24"/>
              </w:rPr>
              <w:t>a×9</w:t>
            </w:r>
            <w:r>
              <w:rPr>
                <w:rFonts w:ascii="Times New Roman" w:hAnsi="Times New Roman" w:eastAsia="宋体" w:cs="Times New Roman"/>
                <w:bCs/>
                <w:sz w:val="24"/>
              </w:rPr>
              <w:t>5</w:t>
            </w:r>
            <w:r>
              <w:rPr>
                <w:rFonts w:hint="eastAsia" w:ascii="Times New Roman" w:hAnsi="Times New Roman" w:eastAsia="宋体" w:cs="Times New Roman"/>
                <w:bCs/>
                <w:sz w:val="24"/>
              </w:rPr>
              <w:t>%×</w:t>
            </w:r>
            <w:r>
              <w:rPr>
                <w:rFonts w:ascii="Times New Roman" w:hAnsi="Times New Roman" w:eastAsia="宋体" w:cs="Times New Roman"/>
                <w:bCs/>
                <w:sz w:val="24"/>
              </w:rPr>
              <w:t>1000</w:t>
            </w:r>
            <w:r>
              <w:rPr>
                <w:rFonts w:hint="eastAsia" w:ascii="Times New Roman" w:hAnsi="Times New Roman" w:eastAsia="宋体" w:cs="Times New Roman"/>
                <w:bCs/>
                <w:sz w:val="24"/>
              </w:rPr>
              <w:t>kg</w:t>
            </w:r>
            <w:r>
              <w:rPr>
                <w:rFonts w:ascii="Times New Roman" w:hAnsi="Times New Roman" w:eastAsia="宋体" w:cs="Times New Roman"/>
                <w:bCs/>
                <w:sz w:val="24"/>
              </w:rPr>
              <w:t>/</w:t>
            </w:r>
            <w:r>
              <w:rPr>
                <w:rFonts w:hint="eastAsia" w:ascii="Times New Roman" w:hAnsi="Times New Roman" w:eastAsia="宋体" w:cs="Times New Roman"/>
                <w:bCs/>
                <w:sz w:val="24"/>
              </w:rPr>
              <w:t>t÷3</w:t>
            </w:r>
            <w:r>
              <w:rPr>
                <w:rFonts w:ascii="Times New Roman" w:hAnsi="Times New Roman" w:eastAsia="宋体" w:cs="Times New Roman"/>
                <w:bCs/>
                <w:sz w:val="24"/>
              </w:rPr>
              <w:t>00</w:t>
            </w:r>
            <w:r>
              <w:rPr>
                <w:rFonts w:hint="eastAsia" w:ascii="Times New Roman" w:hAnsi="Times New Roman" w:eastAsia="宋体" w:cs="Times New Roman"/>
                <w:bCs/>
                <w:sz w:val="24"/>
              </w:rPr>
              <w:t>d÷8h=</w:t>
            </w:r>
            <w:r>
              <w:rPr>
                <w:rFonts w:ascii="Times New Roman" w:hAnsi="Times New Roman" w:eastAsia="宋体" w:cs="Times New Roman"/>
                <w:bCs/>
                <w:sz w:val="24"/>
              </w:rPr>
              <w:t>11.875</w:t>
            </w:r>
            <w:r>
              <w:rPr>
                <w:rFonts w:hint="eastAsia" w:ascii="Times New Roman" w:hAnsi="Times New Roman" w:eastAsia="宋体" w:cs="Times New Roman"/>
                <w:bCs/>
                <w:sz w:val="24"/>
              </w:rPr>
              <w:t>kg</w:t>
            </w:r>
            <w:r>
              <w:rPr>
                <w:rFonts w:ascii="Times New Roman" w:hAnsi="Times New Roman" w:eastAsia="宋体" w:cs="Times New Roman"/>
                <w:bCs/>
                <w:sz w:val="24"/>
              </w:rPr>
              <w:t>/</w:t>
            </w:r>
            <w:r>
              <w:rPr>
                <w:rFonts w:hint="eastAsia" w:ascii="Times New Roman" w:hAnsi="Times New Roman" w:eastAsia="宋体" w:cs="Times New Roman"/>
                <w:bCs/>
                <w:sz w:val="24"/>
              </w:rPr>
              <w:t>h</w:t>
            </w:r>
          </w:p>
          <w:p w14:paraId="0293DE01">
            <w:pPr>
              <w:adjustRightInd w:val="0"/>
              <w:snapToGrid w:val="0"/>
              <w:spacing w:line="480" w:lineRule="exact"/>
              <w:ind w:firstLine="482" w:firstLineChars="200"/>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hint="eastAsia" w:ascii="Times New Roman" w:hAnsi="Times New Roman" w:eastAsia="宋体" w:cs="Times New Roman"/>
                <w:sz w:val="24"/>
              </w:rPr>
              <w:t>项目厂房密闭，在各生产线各设一套脉冲除尘器（共4套除尘器）共用1根1</w:t>
            </w:r>
            <w:r>
              <w:rPr>
                <w:rFonts w:ascii="Times New Roman" w:hAnsi="Times New Roman" w:eastAsia="宋体" w:cs="Times New Roman"/>
                <w:sz w:val="24"/>
              </w:rPr>
              <w:t>5</w:t>
            </w:r>
            <w:r>
              <w:rPr>
                <w:rFonts w:hint="eastAsia" w:ascii="Times New Roman" w:hAnsi="Times New Roman" w:eastAsia="宋体" w:cs="Times New Roman"/>
                <w:sz w:val="24"/>
              </w:rPr>
              <w:t>m高排气筒。</w:t>
            </w:r>
          </w:p>
          <w:p w14:paraId="7DB882C2">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w:t>
            </w:r>
            <w:r>
              <w:rPr>
                <w:rFonts w:hint="eastAsia" w:ascii="Times New Roman" w:hAnsi="Times New Roman" w:eastAsia="宋体" w:cs="Times New Roman"/>
                <w:sz w:val="24"/>
              </w:rPr>
              <w:t>进料、输送</w:t>
            </w:r>
            <w:r>
              <w:rPr>
                <w:rFonts w:ascii="Times New Roman" w:hAnsi="Times New Roman" w:eastAsia="宋体" w:cs="Times New Roman"/>
                <w:sz w:val="24"/>
              </w:rPr>
              <w:t>粉尘</w:t>
            </w:r>
          </w:p>
          <w:p w14:paraId="2A7D47BD">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项目为原料进料装卸将产生粉尘，</w:t>
            </w:r>
            <w:r>
              <w:rPr>
                <w:rFonts w:hint="eastAsia" w:ascii="Times New Roman" w:hAnsi="Times New Roman" w:eastAsia="宋体" w:cs="Times New Roman"/>
                <w:sz w:val="24"/>
              </w:rPr>
              <w:t>吊装过程为吨袋包装其中粉尘产生量较少，进料过程粉尘采用吸风罩进行收集，粉尘的收集效率为9</w:t>
            </w:r>
            <w:r>
              <w:rPr>
                <w:rFonts w:ascii="Times New Roman" w:hAnsi="Times New Roman" w:eastAsia="宋体" w:cs="Times New Roman"/>
                <w:sz w:val="24"/>
              </w:rPr>
              <w:t>5</w:t>
            </w:r>
            <w:r>
              <w:rPr>
                <w:rFonts w:hint="eastAsia" w:ascii="Times New Roman" w:hAnsi="Times New Roman" w:eastAsia="宋体" w:cs="Times New Roman"/>
                <w:sz w:val="24"/>
              </w:rPr>
              <w:t>%，则无组织粉尘产生量为</w:t>
            </w:r>
            <w:r>
              <w:rPr>
                <w:rFonts w:ascii="Times New Roman" w:hAnsi="Times New Roman" w:eastAsia="宋体" w:cs="Times New Roman"/>
                <w:sz w:val="24"/>
              </w:rPr>
              <w:t>1.5</w:t>
            </w:r>
            <w:r>
              <w:rPr>
                <w:rFonts w:hint="eastAsia" w:ascii="Times New Roman" w:hAnsi="Times New Roman" w:eastAsia="宋体" w:cs="Times New Roman"/>
                <w:sz w:val="24"/>
              </w:rPr>
              <w:t>t/a。其中约8</w:t>
            </w:r>
            <w:r>
              <w:rPr>
                <w:rFonts w:ascii="Times New Roman" w:hAnsi="Times New Roman" w:eastAsia="宋体" w:cs="Times New Roman"/>
                <w:sz w:val="24"/>
              </w:rPr>
              <w:t>0</w:t>
            </w:r>
            <w:r>
              <w:rPr>
                <w:rFonts w:hint="eastAsia" w:ascii="Times New Roman" w:hAnsi="Times New Roman" w:eastAsia="宋体" w:cs="Times New Roman"/>
                <w:sz w:val="24"/>
              </w:rPr>
              <w:t>%自由降落在地面上定时清理，2</w:t>
            </w:r>
            <w:r>
              <w:rPr>
                <w:rFonts w:ascii="Times New Roman" w:hAnsi="Times New Roman" w:eastAsia="宋体" w:cs="Times New Roman"/>
                <w:sz w:val="24"/>
              </w:rPr>
              <w:t>0</w:t>
            </w:r>
            <w:r>
              <w:rPr>
                <w:rFonts w:hint="eastAsia" w:ascii="Times New Roman" w:hAnsi="Times New Roman" w:eastAsia="宋体" w:cs="Times New Roman"/>
                <w:sz w:val="24"/>
              </w:rPr>
              <w:t>%作为无组织粉尘逸散，其产生量为0</w:t>
            </w:r>
            <w:r>
              <w:rPr>
                <w:rFonts w:ascii="Times New Roman" w:hAnsi="Times New Roman" w:eastAsia="宋体" w:cs="Times New Roman"/>
                <w:sz w:val="24"/>
              </w:rPr>
              <w:t>.3</w:t>
            </w:r>
            <w:r>
              <w:rPr>
                <w:rFonts w:hint="eastAsia" w:ascii="Times New Roman" w:hAnsi="Times New Roman" w:eastAsia="宋体" w:cs="Times New Roman"/>
                <w:sz w:val="24"/>
              </w:rPr>
              <w:t>t</w:t>
            </w:r>
            <w:r>
              <w:rPr>
                <w:rFonts w:ascii="Times New Roman" w:hAnsi="Times New Roman" w:eastAsia="宋体" w:cs="Times New Roman"/>
                <w:sz w:val="24"/>
              </w:rPr>
              <w:t>/</w:t>
            </w:r>
            <w:r>
              <w:rPr>
                <w:rFonts w:hint="eastAsia" w:ascii="Times New Roman" w:hAnsi="Times New Roman" w:eastAsia="宋体" w:cs="Times New Roman"/>
                <w:sz w:val="24"/>
              </w:rPr>
              <w:t>a。</w:t>
            </w:r>
          </w:p>
          <w:p w14:paraId="2335E06C">
            <w:pPr>
              <w:spacing w:line="480" w:lineRule="exact"/>
              <w:ind w:firstLine="482" w:firstLineChars="200"/>
              <w:jc w:val="left"/>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ascii="Times New Roman" w:hAnsi="Times New Roman" w:eastAsia="宋体" w:cs="Times New Roman"/>
                <w:bCs/>
                <w:sz w:val="24"/>
              </w:rPr>
              <w:t>将进料口</w:t>
            </w:r>
            <w:r>
              <w:rPr>
                <w:rFonts w:hint="eastAsia" w:ascii="Times New Roman" w:hAnsi="Times New Roman" w:eastAsia="宋体" w:cs="Times New Roman"/>
                <w:bCs/>
                <w:sz w:val="24"/>
              </w:rPr>
              <w:t>上方设置集风罩，收集率为9</w:t>
            </w:r>
            <w:r>
              <w:rPr>
                <w:rFonts w:ascii="Times New Roman" w:hAnsi="Times New Roman" w:eastAsia="宋体" w:cs="Times New Roman"/>
                <w:bCs/>
                <w:sz w:val="24"/>
              </w:rPr>
              <w:t>5</w:t>
            </w:r>
            <w:r>
              <w:rPr>
                <w:rFonts w:hint="eastAsia" w:ascii="Times New Roman" w:hAnsi="Times New Roman" w:eastAsia="宋体" w:cs="Times New Roman"/>
                <w:bCs/>
                <w:sz w:val="24"/>
              </w:rPr>
              <w:t>%，</w:t>
            </w:r>
            <w:r>
              <w:rPr>
                <w:rFonts w:hint="eastAsia" w:ascii="Times New Roman" w:hAnsi="Times New Roman" w:eastAsia="宋体" w:cs="Times New Roman"/>
                <w:sz w:val="24"/>
              </w:rPr>
              <w:t>粉尘通过抽吸风管道进入脉冲式布袋除尘器处理。</w:t>
            </w:r>
          </w:p>
          <w:p w14:paraId="64EF6301">
            <w:pPr>
              <w:spacing w:line="480" w:lineRule="exact"/>
              <w:ind w:firstLine="480" w:firstLineChars="200"/>
              <w:jc w:val="left"/>
              <w:rPr>
                <w:rFonts w:ascii="Times New Roman" w:hAnsi="Times New Roman" w:eastAsia="宋体" w:cs="Times New Roman"/>
                <w:bCs/>
                <w:sz w:val="24"/>
              </w:rPr>
            </w:pPr>
            <w:r>
              <w:rPr>
                <w:rFonts w:hint="eastAsia" w:ascii="Times New Roman" w:hAnsi="Times New Roman" w:eastAsia="宋体" w:cs="Times New Roman"/>
                <w:sz w:val="24"/>
              </w:rPr>
              <w:t>脉冲式布袋除尘器设计风量为5</w:t>
            </w:r>
            <w:r>
              <w:rPr>
                <w:rFonts w:ascii="Times New Roman" w:hAnsi="Times New Roman" w:eastAsia="宋体" w:cs="Times New Roman"/>
                <w:sz w:val="24"/>
              </w:rPr>
              <w:t>000</w:t>
            </w:r>
            <w:r>
              <w:rPr>
                <w:rFonts w:hint="eastAsia" w:ascii="Times New Roman" w:hAnsi="Times New Roman" w:eastAsia="宋体" w:cs="Times New Roman"/>
                <w:sz w:val="24"/>
              </w:rPr>
              <w:t>m</w:t>
            </w:r>
            <w:r>
              <w:rPr>
                <w:rFonts w:ascii="Times New Roman" w:hAnsi="Times New Roman" w:eastAsia="宋体" w:cs="Times New Roman"/>
                <w:sz w:val="24"/>
                <w:vertAlign w:val="superscript"/>
              </w:rPr>
              <w:t>3</w:t>
            </w:r>
            <w:r>
              <w:rPr>
                <w:rFonts w:ascii="Times New Roman" w:hAnsi="Times New Roman" w:eastAsia="宋体" w:cs="Times New Roman"/>
                <w:sz w:val="24"/>
              </w:rPr>
              <w:t>/</w:t>
            </w:r>
            <w:r>
              <w:rPr>
                <w:rFonts w:hint="eastAsia" w:ascii="Times New Roman" w:hAnsi="Times New Roman" w:eastAsia="宋体" w:cs="Times New Roman"/>
                <w:sz w:val="24"/>
              </w:rPr>
              <w:t>h，处理效率按9</w:t>
            </w:r>
            <w:r>
              <w:rPr>
                <w:rFonts w:ascii="Times New Roman" w:hAnsi="Times New Roman" w:eastAsia="宋体" w:cs="Times New Roman"/>
                <w:sz w:val="24"/>
              </w:rPr>
              <w:t>9.8</w:t>
            </w:r>
            <w:r>
              <w:rPr>
                <w:rFonts w:hint="eastAsia" w:ascii="Times New Roman" w:hAnsi="Times New Roman" w:eastAsia="宋体" w:cs="Times New Roman"/>
                <w:sz w:val="24"/>
              </w:rPr>
              <w:t>%计，每天工作8小时，年工作3</w:t>
            </w:r>
            <w:r>
              <w:rPr>
                <w:rFonts w:ascii="Times New Roman" w:hAnsi="Times New Roman" w:eastAsia="宋体" w:cs="Times New Roman"/>
                <w:sz w:val="24"/>
              </w:rPr>
              <w:t>00</w:t>
            </w:r>
            <w:r>
              <w:rPr>
                <w:rFonts w:hint="eastAsia" w:ascii="Times New Roman" w:hAnsi="Times New Roman" w:eastAsia="宋体" w:cs="Times New Roman"/>
                <w:sz w:val="24"/>
              </w:rPr>
              <w:t>天，生产过程中粉尘产生量为</w:t>
            </w:r>
            <w:r>
              <w:rPr>
                <w:rFonts w:ascii="Times New Roman" w:hAnsi="Times New Roman" w:eastAsia="宋体" w:cs="Times New Roman"/>
                <w:sz w:val="24"/>
              </w:rPr>
              <w:t>0.057</w:t>
            </w:r>
            <w:r>
              <w:rPr>
                <w:rFonts w:hint="eastAsia" w:ascii="Times New Roman" w:hAnsi="Times New Roman" w:eastAsia="宋体" w:cs="Times New Roman"/>
                <w:sz w:val="24"/>
              </w:rPr>
              <w:t>t</w:t>
            </w:r>
            <w:r>
              <w:rPr>
                <w:rFonts w:ascii="Times New Roman" w:hAnsi="Times New Roman" w:eastAsia="宋体" w:cs="Times New Roman"/>
                <w:sz w:val="24"/>
              </w:rPr>
              <w:t>/</w:t>
            </w:r>
            <w:r>
              <w:rPr>
                <w:rFonts w:hint="eastAsia" w:ascii="Times New Roman" w:hAnsi="Times New Roman" w:eastAsia="宋体" w:cs="Times New Roman"/>
                <w:sz w:val="24"/>
              </w:rPr>
              <w:t>a，则有组织产生的浓度为</w:t>
            </w:r>
            <w:r>
              <w:rPr>
                <w:rFonts w:ascii="Times New Roman" w:hAnsi="Times New Roman" w:eastAsia="宋体" w:cs="Times New Roman"/>
                <w:sz w:val="24"/>
              </w:rPr>
              <w:t>4.75</w:t>
            </w:r>
            <w:r>
              <w:rPr>
                <w:rFonts w:hint="eastAsia" w:ascii="Times New Roman" w:hAnsi="Times New Roman" w:eastAsia="宋体" w:cs="Times New Roman"/>
                <w:sz w:val="24"/>
              </w:rPr>
              <w:t>mg</w:t>
            </w:r>
            <w:r>
              <w:rPr>
                <w:rFonts w:ascii="Times New Roman" w:hAnsi="Times New Roman" w:eastAsia="宋体" w:cs="Times New Roman"/>
                <w:sz w:val="24"/>
              </w:rPr>
              <w:t>/</w:t>
            </w:r>
            <w:r>
              <w:rPr>
                <w:rFonts w:hint="eastAsia" w:ascii="Times New Roman" w:hAnsi="Times New Roman" w:eastAsia="宋体" w:cs="Times New Roman"/>
                <w:sz w:val="24"/>
              </w:rPr>
              <w:t>m</w:t>
            </w:r>
            <w:r>
              <w:rPr>
                <w:rFonts w:ascii="Times New Roman" w:hAnsi="Times New Roman" w:eastAsia="宋体" w:cs="Times New Roman"/>
                <w:sz w:val="24"/>
                <w:vertAlign w:val="superscript"/>
              </w:rPr>
              <w:t>3</w:t>
            </w:r>
            <w:r>
              <w:rPr>
                <w:rFonts w:hint="eastAsia" w:ascii="Times New Roman" w:hAnsi="Times New Roman" w:eastAsia="宋体" w:cs="Times New Roman"/>
                <w:sz w:val="24"/>
              </w:rPr>
              <w:t>，有组织排放速率0</w:t>
            </w:r>
            <w:r>
              <w:rPr>
                <w:rFonts w:ascii="Times New Roman" w:hAnsi="Times New Roman" w:eastAsia="宋体" w:cs="Times New Roman"/>
                <w:sz w:val="24"/>
              </w:rPr>
              <w:t>.024</w:t>
            </w:r>
            <w:r>
              <w:rPr>
                <w:rFonts w:hint="eastAsia" w:ascii="Times New Roman" w:hAnsi="Times New Roman" w:eastAsia="宋体" w:cs="Times New Roman"/>
                <w:sz w:val="24"/>
              </w:rPr>
              <w:t>kg</w:t>
            </w:r>
            <w:r>
              <w:rPr>
                <w:rFonts w:ascii="Times New Roman" w:hAnsi="Times New Roman" w:eastAsia="宋体" w:cs="Times New Roman"/>
                <w:sz w:val="24"/>
              </w:rPr>
              <w:t>/</w:t>
            </w:r>
            <w:r>
              <w:rPr>
                <w:rFonts w:hint="eastAsia" w:ascii="Times New Roman" w:hAnsi="Times New Roman" w:eastAsia="宋体" w:cs="Times New Roman"/>
                <w:sz w:val="24"/>
              </w:rPr>
              <w:t>h。满足《大气污染物综合排放标准》（GB16297-1996）表2中的二级标准。无组织粉尘产生量约为0</w:t>
            </w:r>
            <w:r>
              <w:rPr>
                <w:rFonts w:ascii="Times New Roman" w:hAnsi="Times New Roman" w:eastAsia="宋体" w:cs="Times New Roman"/>
                <w:sz w:val="24"/>
              </w:rPr>
              <w:t>.3</w:t>
            </w:r>
            <w:r>
              <w:rPr>
                <w:rFonts w:hint="eastAsia" w:ascii="Times New Roman" w:hAnsi="Times New Roman" w:eastAsia="宋体" w:cs="Times New Roman"/>
                <w:sz w:val="24"/>
              </w:rPr>
              <w:t>t</w:t>
            </w:r>
            <w:r>
              <w:rPr>
                <w:rFonts w:ascii="Times New Roman" w:hAnsi="Times New Roman" w:eastAsia="宋体" w:cs="Times New Roman"/>
                <w:sz w:val="24"/>
              </w:rPr>
              <w:t>/</w:t>
            </w:r>
            <w:r>
              <w:rPr>
                <w:rFonts w:hint="eastAsia" w:ascii="Times New Roman" w:hAnsi="Times New Roman" w:eastAsia="宋体" w:cs="Times New Roman"/>
                <w:sz w:val="24"/>
              </w:rPr>
              <w:t>a，0</w:t>
            </w:r>
            <w:r>
              <w:rPr>
                <w:rFonts w:ascii="Times New Roman" w:hAnsi="Times New Roman" w:eastAsia="宋体" w:cs="Times New Roman"/>
                <w:sz w:val="24"/>
              </w:rPr>
              <w:t>.125</w:t>
            </w:r>
            <w:r>
              <w:rPr>
                <w:rFonts w:hint="eastAsia" w:ascii="Times New Roman" w:hAnsi="Times New Roman" w:eastAsia="宋体" w:cs="Times New Roman"/>
                <w:sz w:val="24"/>
              </w:rPr>
              <w:t>kg</w:t>
            </w:r>
            <w:r>
              <w:rPr>
                <w:rFonts w:ascii="Times New Roman" w:hAnsi="Times New Roman" w:eastAsia="宋体" w:cs="Times New Roman"/>
                <w:sz w:val="24"/>
              </w:rPr>
              <w:t>/</w:t>
            </w:r>
            <w:r>
              <w:rPr>
                <w:rFonts w:hint="eastAsia" w:ascii="Times New Roman" w:hAnsi="Times New Roman" w:eastAsia="宋体" w:cs="Times New Roman"/>
                <w:sz w:val="24"/>
              </w:rPr>
              <w:t>h。</w:t>
            </w:r>
          </w:p>
          <w:p w14:paraId="4EB5FA0D">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（3）堆场粉尘</w:t>
            </w:r>
          </w:p>
          <w:p w14:paraId="364692A6">
            <w:pPr>
              <w:spacing w:line="480" w:lineRule="exact"/>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rPr>
              <w:t>本项目原料皆为袋装，储存于硅块中转库。本项目硅块为袋装且碎石粒径较大，进厂后再封闭式仓库中贮存，可有效消除无组织粉尘的产生。</w:t>
            </w:r>
          </w:p>
          <w:p w14:paraId="4C74C08C">
            <w:pPr>
              <w:spacing w:line="480" w:lineRule="exact"/>
              <w:ind w:firstLine="482" w:firstLineChars="200"/>
              <w:jc w:val="left"/>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hint="eastAsia" w:ascii="宋体" w:hAnsi="宋体" w:eastAsia="宋体" w:cs="宋体"/>
                <w:sz w:val="24"/>
              </w:rPr>
              <w:t>①</w:t>
            </w:r>
            <w:r>
              <w:rPr>
                <w:rFonts w:ascii="Times New Roman" w:hAnsi="Times New Roman" w:eastAsia="宋体" w:cs="Times New Roman"/>
                <w:sz w:val="24"/>
              </w:rPr>
              <w:t>项目</w:t>
            </w:r>
            <w:r>
              <w:rPr>
                <w:rFonts w:hint="eastAsia" w:ascii="Times New Roman" w:hAnsi="Times New Roman" w:eastAsia="宋体" w:cs="Times New Roman"/>
                <w:sz w:val="24"/>
              </w:rPr>
              <w:t>原料袋装贮存</w:t>
            </w:r>
            <w:r>
              <w:rPr>
                <w:rFonts w:ascii="Times New Roman" w:hAnsi="Times New Roman" w:eastAsia="宋体" w:cs="Times New Roman"/>
                <w:bCs/>
                <w:sz w:val="24"/>
              </w:rPr>
              <w:t>；</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随订单而生产，</w:t>
            </w:r>
            <w:r>
              <w:rPr>
                <w:rFonts w:hint="eastAsia" w:ascii="Times New Roman" w:hAnsi="Times New Roman" w:eastAsia="宋体" w:cs="Times New Roman"/>
                <w:sz w:val="24"/>
              </w:rPr>
              <w:t>原料</w:t>
            </w:r>
            <w:r>
              <w:rPr>
                <w:rFonts w:ascii="Times New Roman" w:hAnsi="Times New Roman" w:eastAsia="宋体" w:cs="Times New Roman"/>
                <w:sz w:val="24"/>
              </w:rPr>
              <w:t>随产随运，减少场地内堆存，满足《乐山市打赢蓝天保卫战实施方案》相关要求。</w:t>
            </w:r>
          </w:p>
          <w:p w14:paraId="360B9752">
            <w:pPr>
              <w:adjustRightInd w:val="0"/>
              <w:snapToGrid w:val="0"/>
              <w:spacing w:line="480" w:lineRule="exact"/>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（4）汽车运输扬尘</w:t>
            </w:r>
          </w:p>
          <w:p w14:paraId="75B9042B">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61312" behindDoc="0" locked="0" layoutInCell="1" allowOverlap="1">
                  <wp:simplePos x="0" y="0"/>
                  <wp:positionH relativeFrom="column">
                    <wp:posOffset>1174115</wp:posOffset>
                  </wp:positionH>
                  <wp:positionV relativeFrom="paragraph">
                    <wp:posOffset>676275</wp:posOffset>
                  </wp:positionV>
                  <wp:extent cx="2980690" cy="487045"/>
                  <wp:effectExtent l="0" t="0" r="0" b="0"/>
                  <wp:wrapTopAndBottom/>
                  <wp:docPr id="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80690" cy="487045"/>
                          </a:xfrm>
                          <a:prstGeom prst="rect">
                            <a:avLst/>
                          </a:prstGeom>
                          <a:noFill/>
                          <a:ln>
                            <a:noFill/>
                          </a:ln>
                        </pic:spPr>
                      </pic:pic>
                    </a:graphicData>
                  </a:graphic>
                </wp:anchor>
              </w:drawing>
            </w:r>
            <w:r>
              <w:rPr>
                <w:rFonts w:ascii="Times New Roman" w:hAnsi="Times New Roman" w:eastAsia="宋体" w:cs="Times New Roman"/>
              </w:rPr>
              <w:t>根据环保部《扬尘源颗粒物排放清单编制技术指南》中4.2道路扬尘源排放的计算，道路扬尘排放量计算公式如下：</w:t>
            </w:r>
          </w:p>
          <w:p w14:paraId="55E1EE97">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式中：</w:t>
            </w:r>
          </w:p>
          <w:p w14:paraId="578AF231">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1) W</w:t>
            </w:r>
            <w:r>
              <w:rPr>
                <w:rFonts w:ascii="Times New Roman" w:hAnsi="Times New Roman" w:eastAsia="宋体" w:cs="Times New Roman"/>
                <w:vertAlign w:val="subscript"/>
              </w:rPr>
              <w:t>Ri</w:t>
            </w:r>
            <w:r>
              <w:rPr>
                <w:rFonts w:ascii="Times New Roman" w:hAnsi="Times New Roman" w:eastAsia="宋体" w:cs="Times New Roman"/>
              </w:rPr>
              <w:t>为道路扬尘源中颗粒物PM</w:t>
            </w:r>
            <w:r>
              <w:rPr>
                <w:rFonts w:ascii="Times New Roman" w:hAnsi="Times New Roman" w:eastAsia="宋体" w:cs="Times New Roman"/>
                <w:vertAlign w:val="subscript"/>
              </w:rPr>
              <w:t>i</w:t>
            </w:r>
            <w:r>
              <w:rPr>
                <w:rFonts w:ascii="Times New Roman" w:hAnsi="Times New Roman" w:eastAsia="宋体" w:cs="Times New Roman"/>
              </w:rPr>
              <w:t>的总排放量，t/a。</w:t>
            </w:r>
          </w:p>
          <w:p w14:paraId="087A2BC1">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2) E</w:t>
            </w:r>
            <w:r>
              <w:rPr>
                <w:rFonts w:ascii="Times New Roman" w:hAnsi="Times New Roman" w:eastAsia="宋体" w:cs="Times New Roman"/>
                <w:vertAlign w:val="subscript"/>
              </w:rPr>
              <w:t>Ri</w:t>
            </w:r>
            <w:r>
              <w:rPr>
                <w:rFonts w:ascii="Times New Roman" w:hAnsi="Times New Roman" w:eastAsia="宋体" w:cs="Times New Roman"/>
              </w:rPr>
              <w:t>为道路扬尘源中PM</w:t>
            </w:r>
            <w:r>
              <w:rPr>
                <w:rFonts w:ascii="Times New Roman" w:hAnsi="Times New Roman" w:eastAsia="宋体" w:cs="Times New Roman"/>
                <w:vertAlign w:val="subscript"/>
              </w:rPr>
              <w:t>i</w:t>
            </w:r>
            <w:r>
              <w:rPr>
                <w:rFonts w:ascii="Times New Roman" w:hAnsi="Times New Roman" w:eastAsia="宋体" w:cs="Times New Roman"/>
              </w:rPr>
              <w:t>平均排放系数，g/(km·辆</w:t>
            </w:r>
            <w:r>
              <w:rPr>
                <w:rFonts w:hint="eastAsia" w:ascii="Times New Roman" w:hAnsi="Times New Roman" w:eastAsia="宋体" w:cs="Times New Roman"/>
                <w:lang w:eastAsia="zh-CN"/>
              </w:rPr>
              <w:t>）</w:t>
            </w:r>
            <w:r>
              <w:rPr>
                <w:rFonts w:ascii="Times New Roman" w:hAnsi="Times New Roman" w:eastAsia="宋体" w:cs="Times New Roman"/>
              </w:rPr>
              <w:t>。</w:t>
            </w:r>
          </w:p>
          <w:p w14:paraId="51ED3872">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3) L</w:t>
            </w:r>
            <w:r>
              <w:rPr>
                <w:rFonts w:ascii="Times New Roman" w:hAnsi="Times New Roman" w:eastAsia="宋体" w:cs="Times New Roman"/>
                <w:vertAlign w:val="subscript"/>
              </w:rPr>
              <w:t>R</w:t>
            </w:r>
            <w:r>
              <w:rPr>
                <w:rFonts w:ascii="Times New Roman" w:hAnsi="Times New Roman" w:eastAsia="宋体" w:cs="Times New Roman"/>
              </w:rPr>
              <w:t>为道路长度，km（厂区道路长约150m）。</w:t>
            </w:r>
          </w:p>
          <w:p w14:paraId="149B4323">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4) N</w:t>
            </w:r>
            <w:r>
              <w:rPr>
                <w:rFonts w:ascii="Times New Roman" w:hAnsi="Times New Roman" w:eastAsia="宋体" w:cs="Times New Roman"/>
                <w:vertAlign w:val="subscript"/>
              </w:rPr>
              <w:t>R</w:t>
            </w:r>
            <w:r>
              <w:rPr>
                <w:rFonts w:ascii="Times New Roman" w:hAnsi="Times New Roman" w:eastAsia="宋体" w:cs="Times New Roman"/>
              </w:rPr>
              <w:t>为一定时期内车辆在该段道路上的平均车流量，辆/a（约</w:t>
            </w:r>
            <w:r>
              <w:rPr>
                <w:rFonts w:hint="eastAsia" w:ascii="Times New Roman" w:hAnsi="Times New Roman" w:eastAsia="宋体" w:cs="Times New Roman"/>
              </w:rPr>
              <w:t>1</w:t>
            </w:r>
            <w:r>
              <w:rPr>
                <w:rFonts w:ascii="Times New Roman" w:hAnsi="Times New Roman" w:eastAsia="宋体" w:cs="Times New Roman"/>
              </w:rPr>
              <w:t>500辆）。</w:t>
            </w:r>
          </w:p>
          <w:p w14:paraId="236B4166">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5) n</w:t>
            </w:r>
            <w:r>
              <w:rPr>
                <w:rFonts w:ascii="Times New Roman" w:hAnsi="Times New Roman" w:eastAsia="宋体" w:cs="Times New Roman"/>
                <w:vertAlign w:val="subscript"/>
              </w:rPr>
              <w:t>r</w:t>
            </w:r>
            <w:r>
              <w:rPr>
                <w:rFonts w:ascii="Times New Roman" w:hAnsi="Times New Roman" w:eastAsia="宋体" w:cs="Times New Roman"/>
              </w:rPr>
              <w:t>为不起尘天数，通过实测</w:t>
            </w:r>
            <w:r>
              <w:rPr>
                <w:rFonts w:hint="eastAsia" w:ascii="Times New Roman" w:hAnsi="Times New Roman" w:eastAsia="宋体" w:cs="Times New Roman"/>
                <w:lang w:eastAsia="zh-CN"/>
              </w:rPr>
              <w:t>（</w:t>
            </w:r>
            <w:r>
              <w:rPr>
                <w:rFonts w:ascii="Times New Roman" w:hAnsi="Times New Roman" w:eastAsia="宋体" w:cs="Times New Roman"/>
              </w:rPr>
              <w:t>统计降水造成的路面潮湿的天数</w:t>
            </w:r>
            <w:r>
              <w:rPr>
                <w:rFonts w:hint="eastAsia" w:ascii="Times New Roman" w:hAnsi="Times New Roman" w:eastAsia="宋体" w:cs="Times New Roman"/>
                <w:lang w:eastAsia="zh-CN"/>
              </w:rPr>
              <w:t>）</w:t>
            </w:r>
            <w:r>
              <w:rPr>
                <w:rFonts w:ascii="Times New Roman" w:hAnsi="Times New Roman" w:eastAsia="宋体" w:cs="Times New Roman"/>
              </w:rPr>
              <w:t>得到；在实测过程中存在困难的，可使用一年中降水量大于0.25mm/d的天数表示（约80天）。</w:t>
            </w:r>
          </w:p>
          <w:p w14:paraId="64B8BBEC">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62336" behindDoc="0" locked="0" layoutInCell="1" allowOverlap="1">
                  <wp:simplePos x="0" y="0"/>
                  <wp:positionH relativeFrom="column">
                    <wp:posOffset>1210310</wp:posOffset>
                  </wp:positionH>
                  <wp:positionV relativeFrom="paragraph">
                    <wp:posOffset>326390</wp:posOffset>
                  </wp:positionV>
                  <wp:extent cx="3084195" cy="347345"/>
                  <wp:effectExtent l="0" t="0" r="0" b="0"/>
                  <wp:wrapTopAndBottom/>
                  <wp:docPr id="1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84195" cy="347345"/>
                          </a:xfrm>
                          <a:prstGeom prst="rect">
                            <a:avLst/>
                          </a:prstGeom>
                          <a:noFill/>
                          <a:ln>
                            <a:noFill/>
                          </a:ln>
                        </pic:spPr>
                      </pic:pic>
                    </a:graphicData>
                  </a:graphic>
                </wp:anchor>
              </w:drawing>
            </w:r>
            <w:r>
              <w:rPr>
                <w:rFonts w:ascii="Times New Roman" w:hAnsi="Times New Roman" w:eastAsia="宋体" w:cs="Times New Roman"/>
              </w:rPr>
              <w:t>对于铺装道路，道路扬尘源排放系数计算公式：</w:t>
            </w:r>
          </w:p>
          <w:p w14:paraId="1E0E2CB8">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式中：</w:t>
            </w:r>
          </w:p>
          <w:p w14:paraId="20D65C79">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1) E</w:t>
            </w:r>
            <w:r>
              <w:rPr>
                <w:rFonts w:ascii="Times New Roman" w:hAnsi="Times New Roman" w:eastAsia="宋体" w:cs="Times New Roman"/>
                <w:vertAlign w:val="subscript"/>
              </w:rPr>
              <w:t>pi</w:t>
            </w:r>
            <w:r>
              <w:rPr>
                <w:rFonts w:ascii="Times New Roman" w:hAnsi="Times New Roman" w:eastAsia="宋体" w:cs="Times New Roman"/>
              </w:rPr>
              <w:t>为铺装道路的扬尘中PM</w:t>
            </w:r>
            <w:r>
              <w:rPr>
                <w:rFonts w:ascii="Times New Roman" w:hAnsi="Times New Roman" w:eastAsia="宋体" w:cs="Times New Roman"/>
                <w:vertAlign w:val="subscript"/>
              </w:rPr>
              <w:t>i</w:t>
            </w:r>
            <w:r>
              <w:rPr>
                <w:rFonts w:ascii="Times New Roman" w:hAnsi="Times New Roman" w:eastAsia="宋体" w:cs="Times New Roman"/>
              </w:rPr>
              <w:t xml:space="preserve">排放系数，g/km </w:t>
            </w:r>
            <w:r>
              <w:rPr>
                <w:rFonts w:hint="eastAsia" w:ascii="Times New Roman" w:hAnsi="Times New Roman" w:eastAsia="宋体" w:cs="Times New Roman"/>
                <w:lang w:eastAsia="zh-CN"/>
              </w:rPr>
              <w:t>（</w:t>
            </w:r>
            <w:r>
              <w:rPr>
                <w:rFonts w:ascii="Times New Roman" w:hAnsi="Times New Roman" w:eastAsia="宋体" w:cs="Times New Roman"/>
              </w:rPr>
              <w:t>机动车行驶1千米产生的道路扬尘质量</w:t>
            </w:r>
            <w:r>
              <w:rPr>
                <w:rFonts w:hint="eastAsia" w:ascii="Times New Roman" w:hAnsi="Times New Roman" w:eastAsia="宋体" w:cs="Times New Roman"/>
                <w:lang w:eastAsia="zh-CN"/>
              </w:rPr>
              <w:t>）</w:t>
            </w:r>
            <w:r>
              <w:rPr>
                <w:rFonts w:ascii="Times New Roman" w:hAnsi="Times New Roman" w:eastAsia="宋体" w:cs="Times New Roman"/>
              </w:rPr>
              <w:t>。</w:t>
            </w:r>
          </w:p>
          <w:p w14:paraId="5AA64853">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2) k为产生的扬尘中PM</w:t>
            </w:r>
            <w:r>
              <w:rPr>
                <w:rFonts w:ascii="Times New Roman" w:hAnsi="Times New Roman" w:eastAsia="宋体" w:cs="Times New Roman"/>
                <w:vertAlign w:val="subscript"/>
              </w:rPr>
              <w:t>i</w:t>
            </w:r>
            <w:r>
              <w:rPr>
                <w:rFonts w:ascii="Times New Roman" w:hAnsi="Times New Roman" w:eastAsia="宋体" w:cs="Times New Roman"/>
              </w:rPr>
              <w:t>的粒度乘数，推荐值3.23。</w:t>
            </w:r>
          </w:p>
          <w:p w14:paraId="38318519">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3) sL为道路积尘负荷，g/m</w:t>
            </w:r>
            <w:r>
              <w:rPr>
                <w:rFonts w:ascii="Times New Roman" w:hAnsi="Times New Roman" w:eastAsia="宋体" w:cs="Times New Roman"/>
                <w:vertAlign w:val="superscript"/>
              </w:rPr>
              <w:t>2</w:t>
            </w:r>
            <w:r>
              <w:rPr>
                <w:rFonts w:ascii="Times New Roman" w:hAnsi="Times New Roman" w:eastAsia="宋体" w:cs="Times New Roman"/>
              </w:rPr>
              <w:t>。具体监测方法见《防治城市扬尘污染技术规范》(HJ/T 393-2007</w:t>
            </w:r>
            <w:r>
              <w:rPr>
                <w:rFonts w:hint="eastAsia" w:ascii="Times New Roman" w:hAnsi="Times New Roman" w:eastAsia="宋体" w:cs="Times New Roman"/>
                <w:lang w:eastAsia="zh-CN"/>
              </w:rPr>
              <w:t>）</w:t>
            </w:r>
            <w:r>
              <w:rPr>
                <w:rFonts w:ascii="Times New Roman" w:hAnsi="Times New Roman" w:eastAsia="宋体" w:cs="Times New Roman"/>
              </w:rPr>
              <w:t>中的附录A（取值8.0）。</w:t>
            </w:r>
          </w:p>
          <w:p w14:paraId="5ECBEDF7">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4) W为平均车重，t。平均车重表示通过某等级道路所有车辆的平均重量（取值50t）。</w:t>
            </w:r>
          </w:p>
          <w:p w14:paraId="50750D6C">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5) η为污染控制技术对扬尘的去除效率，%。（洒水降尘取值66%）。</w:t>
            </w:r>
          </w:p>
          <w:p w14:paraId="3590C944">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由上计算可知：项目汽车运输产生无组织扬尘量约为0.069t/a。</w:t>
            </w:r>
          </w:p>
          <w:p w14:paraId="0E86182A">
            <w:pPr>
              <w:pStyle w:val="40"/>
              <w:adjustRightInd w:val="0"/>
              <w:snapToGrid w:val="0"/>
              <w:spacing w:line="480" w:lineRule="exact"/>
              <w:ind w:firstLine="482"/>
              <w:rPr>
                <w:rFonts w:ascii="Times New Roman" w:hAnsi="Times New Roman" w:eastAsia="宋体" w:cs="Times New Roman"/>
              </w:rPr>
            </w:pPr>
            <w:r>
              <w:rPr>
                <w:rFonts w:ascii="Times New Roman" w:hAnsi="Times New Roman" w:eastAsia="宋体" w:cs="Times New Roman"/>
                <w:b/>
                <w:bCs/>
              </w:rPr>
              <w:t>治理措施：</w:t>
            </w:r>
            <w:r>
              <w:rPr>
                <w:rFonts w:ascii="Times New Roman" w:hAnsi="Times New Roman" w:eastAsia="宋体" w:cs="Times New Roman"/>
              </w:rPr>
              <w:t>通过对进出厂车辆进行清洗轮胎</w:t>
            </w:r>
            <w:r>
              <w:rPr>
                <w:rFonts w:hint="eastAsia" w:ascii="Times New Roman" w:hAnsi="Times New Roman" w:eastAsia="宋体" w:cs="Times New Roman"/>
              </w:rPr>
              <w:t>、主要道路硬化、重污染天气洒水降尘</w:t>
            </w:r>
            <w:r>
              <w:rPr>
                <w:rFonts w:ascii="Times New Roman" w:hAnsi="Times New Roman" w:eastAsia="宋体" w:cs="Times New Roman"/>
              </w:rPr>
              <w:t>等措施。</w:t>
            </w:r>
          </w:p>
          <w:p w14:paraId="4959AA4C">
            <w:pPr>
              <w:pStyle w:val="40"/>
              <w:adjustRightInd w:val="0"/>
              <w:snapToGrid w:val="0"/>
              <w:spacing w:line="480" w:lineRule="exact"/>
              <w:ind w:firstLine="480"/>
              <w:rPr>
                <w:rFonts w:ascii="Times New Roman" w:hAnsi="Times New Roman" w:eastAsia="宋体" w:cs="Times New Roman"/>
                <w:kern w:val="2"/>
              </w:rPr>
            </w:pPr>
            <w:r>
              <w:rPr>
                <w:rFonts w:ascii="Times New Roman" w:hAnsi="Times New Roman" w:eastAsia="宋体" w:cs="Times New Roman"/>
                <w:kern w:val="2"/>
              </w:rPr>
              <w:t>（6）营运期废气污染物排放情况</w:t>
            </w:r>
          </w:p>
          <w:p w14:paraId="0FE6F171">
            <w:pPr>
              <w:pStyle w:val="40"/>
              <w:adjustRightInd w:val="0"/>
              <w:snapToGrid w:val="0"/>
              <w:spacing w:line="480" w:lineRule="exact"/>
              <w:ind w:firstLine="480"/>
              <w:rPr>
                <w:rFonts w:ascii="Times New Roman" w:hAnsi="Times New Roman" w:eastAsia="宋体" w:cs="Times New Roman"/>
                <w:kern w:val="2"/>
              </w:rPr>
            </w:pPr>
            <w:r>
              <w:rPr>
                <w:rFonts w:ascii="Times New Roman" w:hAnsi="Times New Roman" w:eastAsia="宋体" w:cs="Times New Roman"/>
                <w:kern w:val="2"/>
              </w:rPr>
              <w:t>综合以上分析，本项目建成后废气主要污染物排放汇总情况列于表5-5。</w:t>
            </w:r>
          </w:p>
          <w:p w14:paraId="29C928A3">
            <w:pPr>
              <w:pStyle w:val="40"/>
              <w:adjustRightInd w:val="0"/>
              <w:snapToGrid w:val="0"/>
              <w:spacing w:line="480" w:lineRule="exact"/>
              <w:ind w:firstLine="480"/>
              <w:jc w:val="center"/>
              <w:rPr>
                <w:rFonts w:ascii="Times New Roman" w:hAnsi="Times New Roman" w:eastAsia="宋体" w:cs="Times New Roman"/>
                <w:bCs/>
                <w:kern w:val="2"/>
              </w:rPr>
            </w:pPr>
            <w:r>
              <w:rPr>
                <w:rFonts w:ascii="Times New Roman" w:hAnsi="Times New Roman" w:eastAsia="宋体" w:cs="Times New Roman"/>
                <w:bCs/>
                <w:kern w:val="2"/>
              </w:rPr>
              <w:t>表5-5 本项目废气产生、治理、排放情况</w:t>
            </w:r>
          </w:p>
          <w:tbl>
            <w:tblPr>
              <w:tblStyle w:val="26"/>
              <w:tblW w:w="828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52"/>
              <w:gridCol w:w="1276"/>
              <w:gridCol w:w="1701"/>
              <w:gridCol w:w="1843"/>
              <w:gridCol w:w="1843"/>
              <w:gridCol w:w="1067"/>
            </w:tblGrid>
            <w:tr w14:paraId="45F997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2528AB9D">
                  <w:pPr>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276" w:type="dxa"/>
                  <w:vAlign w:val="center"/>
                </w:tcPr>
                <w:p w14:paraId="244C7AEE">
                  <w:pPr>
                    <w:snapToGrid w:val="0"/>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1701" w:type="dxa"/>
                  <w:vAlign w:val="center"/>
                </w:tcPr>
                <w:p w14:paraId="2514CE96">
                  <w:pPr>
                    <w:snapToGrid w:val="0"/>
                    <w:jc w:val="center"/>
                    <w:rPr>
                      <w:rFonts w:ascii="Times New Roman" w:hAnsi="Times New Roman" w:eastAsia="宋体" w:cs="Times New Roman"/>
                      <w:szCs w:val="21"/>
                    </w:rPr>
                  </w:pPr>
                  <w:r>
                    <w:rPr>
                      <w:rFonts w:ascii="Times New Roman" w:hAnsi="Times New Roman" w:eastAsia="宋体" w:cs="Times New Roman"/>
                      <w:szCs w:val="21"/>
                    </w:rPr>
                    <w:t>处理前情况</w:t>
                  </w:r>
                </w:p>
              </w:tc>
              <w:tc>
                <w:tcPr>
                  <w:tcW w:w="1843" w:type="dxa"/>
                  <w:vAlign w:val="center"/>
                </w:tcPr>
                <w:p w14:paraId="2A4606F7">
                  <w:pPr>
                    <w:snapToGrid w:val="0"/>
                    <w:jc w:val="center"/>
                    <w:rPr>
                      <w:rFonts w:ascii="Times New Roman" w:hAnsi="Times New Roman" w:eastAsia="宋体" w:cs="Times New Roman"/>
                      <w:szCs w:val="21"/>
                    </w:rPr>
                  </w:pPr>
                  <w:r>
                    <w:rPr>
                      <w:rFonts w:ascii="Times New Roman" w:hAnsi="Times New Roman" w:eastAsia="宋体" w:cs="Times New Roman"/>
                      <w:szCs w:val="21"/>
                    </w:rPr>
                    <w:t>治理措施</w:t>
                  </w:r>
                </w:p>
              </w:tc>
              <w:tc>
                <w:tcPr>
                  <w:tcW w:w="1843" w:type="dxa"/>
                  <w:vAlign w:val="center"/>
                </w:tcPr>
                <w:p w14:paraId="5B860D97">
                  <w:pPr>
                    <w:snapToGrid w:val="0"/>
                    <w:jc w:val="center"/>
                    <w:rPr>
                      <w:rFonts w:ascii="Times New Roman" w:hAnsi="Times New Roman" w:eastAsia="宋体" w:cs="Times New Roman"/>
                      <w:szCs w:val="21"/>
                    </w:rPr>
                  </w:pPr>
                  <w:r>
                    <w:rPr>
                      <w:rFonts w:ascii="Times New Roman" w:hAnsi="Times New Roman" w:eastAsia="宋体" w:cs="Times New Roman"/>
                      <w:szCs w:val="21"/>
                    </w:rPr>
                    <w:t>处理后情况</w:t>
                  </w:r>
                </w:p>
              </w:tc>
              <w:tc>
                <w:tcPr>
                  <w:tcW w:w="1067" w:type="dxa"/>
                  <w:vAlign w:val="center"/>
                </w:tcPr>
                <w:p w14:paraId="40C44E38">
                  <w:pPr>
                    <w:snapToGrid w:val="0"/>
                    <w:jc w:val="center"/>
                    <w:rPr>
                      <w:rFonts w:ascii="Times New Roman" w:hAnsi="Times New Roman" w:eastAsia="宋体" w:cs="Times New Roman"/>
                      <w:szCs w:val="21"/>
                    </w:rPr>
                  </w:pPr>
                  <w:r>
                    <w:rPr>
                      <w:rFonts w:ascii="Times New Roman" w:hAnsi="Times New Roman" w:eastAsia="宋体" w:cs="Times New Roman"/>
                      <w:szCs w:val="21"/>
                    </w:rPr>
                    <w:t>排放规律</w:t>
                  </w:r>
                </w:p>
              </w:tc>
            </w:tr>
            <w:tr w14:paraId="6C653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1337FAEE">
                  <w:pPr>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276" w:type="dxa"/>
                  <w:vAlign w:val="center"/>
                </w:tcPr>
                <w:p w14:paraId="65A235DB">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工艺</w:t>
                  </w:r>
                  <w:r>
                    <w:rPr>
                      <w:rFonts w:ascii="Times New Roman" w:hAnsi="Times New Roman" w:eastAsia="宋体" w:cs="Times New Roman"/>
                      <w:szCs w:val="21"/>
                    </w:rPr>
                    <w:t>粉尘</w:t>
                  </w:r>
                </w:p>
              </w:tc>
              <w:tc>
                <w:tcPr>
                  <w:tcW w:w="1701" w:type="dxa"/>
                  <w:vAlign w:val="center"/>
                </w:tcPr>
                <w:p w14:paraId="1AF8F1A5">
                  <w:pPr>
                    <w:snapToGrid w:val="0"/>
                    <w:jc w:val="center"/>
                    <w:rPr>
                      <w:rFonts w:ascii="Times New Roman" w:hAnsi="Times New Roman" w:eastAsia="宋体" w:cs="Times New Roman"/>
                      <w:szCs w:val="21"/>
                    </w:rPr>
                  </w:pPr>
                  <w:r>
                    <w:rPr>
                      <w:rFonts w:ascii="Times New Roman" w:hAnsi="Times New Roman" w:eastAsia="宋体" w:cs="Times New Roman"/>
                      <w:szCs w:val="21"/>
                    </w:rPr>
                    <w:t>30t/a</w:t>
                  </w:r>
                </w:p>
              </w:tc>
              <w:tc>
                <w:tcPr>
                  <w:tcW w:w="1843" w:type="dxa"/>
                  <w:vAlign w:val="center"/>
                </w:tcPr>
                <w:p w14:paraId="5B5B0DAC">
                  <w:pPr>
                    <w:snapToGrid w:val="0"/>
                    <w:jc w:val="center"/>
                    <w:rPr>
                      <w:rFonts w:ascii="Times New Roman" w:hAnsi="Times New Roman" w:eastAsia="宋体" w:cs="Times New Roman"/>
                      <w:szCs w:val="21"/>
                    </w:rPr>
                  </w:pPr>
                  <w:r>
                    <w:rPr>
                      <w:rFonts w:ascii="Times New Roman" w:hAnsi="Times New Roman" w:eastAsia="宋体" w:cs="Times New Roman"/>
                      <w:szCs w:val="21"/>
                    </w:rPr>
                    <w:t>车间密闭+</w:t>
                  </w:r>
                  <w:r>
                    <w:rPr>
                      <w:rFonts w:hint="eastAsia" w:ascii="Times New Roman" w:hAnsi="Times New Roman" w:eastAsia="宋体" w:cs="Times New Roman"/>
                      <w:szCs w:val="21"/>
                    </w:rPr>
                    <w:t>集气罩+脉冲布袋除尘+</w:t>
                  </w:r>
                  <w:r>
                    <w:rPr>
                      <w:rFonts w:ascii="Times New Roman" w:hAnsi="Times New Roman" w:eastAsia="宋体" w:cs="Times New Roman"/>
                      <w:szCs w:val="21"/>
                    </w:rPr>
                    <w:t>15</w:t>
                  </w:r>
                  <w:r>
                    <w:rPr>
                      <w:rFonts w:hint="eastAsia" w:ascii="Times New Roman" w:hAnsi="Times New Roman" w:eastAsia="宋体" w:cs="Times New Roman"/>
                      <w:szCs w:val="21"/>
                    </w:rPr>
                    <w:t>m排气筒</w:t>
                  </w:r>
                </w:p>
              </w:tc>
              <w:tc>
                <w:tcPr>
                  <w:tcW w:w="1843" w:type="dxa"/>
                  <w:vMerge w:val="restart"/>
                  <w:vAlign w:val="center"/>
                </w:tcPr>
                <w:p w14:paraId="4F286B4E">
                  <w:pPr>
                    <w:snapToGrid w:val="0"/>
                    <w:jc w:val="center"/>
                    <w:rPr>
                      <w:rFonts w:ascii="Times New Roman" w:hAnsi="Times New Roman" w:eastAsia="宋体" w:cs="Times New Roman"/>
                      <w:szCs w:val="21"/>
                    </w:rPr>
                  </w:pPr>
                  <w:r>
                    <w:rPr>
                      <w:rFonts w:ascii="Times New Roman" w:hAnsi="Times New Roman" w:eastAsia="宋体" w:cs="Times New Roman"/>
                      <w:szCs w:val="21"/>
                    </w:rPr>
                    <w:t>0.057</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r>
                    <w:rPr>
                      <w:rFonts w:ascii="Times New Roman" w:hAnsi="Times New Roman" w:eastAsia="宋体" w:cs="Times New Roman"/>
                      <w:szCs w:val="21"/>
                    </w:rPr>
                    <w:t>，</w:t>
                  </w:r>
                  <w:r>
                    <w:rPr>
                      <w:rFonts w:hint="eastAsia" w:ascii="Times New Roman" w:hAnsi="Times New Roman" w:eastAsia="宋体" w:cs="Times New Roman"/>
                      <w:szCs w:val="21"/>
                    </w:rPr>
                    <w:t>有</w:t>
                  </w:r>
                  <w:r>
                    <w:rPr>
                      <w:rFonts w:ascii="Times New Roman" w:hAnsi="Times New Roman" w:eastAsia="宋体" w:cs="Times New Roman"/>
                      <w:szCs w:val="21"/>
                    </w:rPr>
                    <w:t>组织排放</w:t>
                  </w:r>
                  <w:r>
                    <w:rPr>
                      <w:rFonts w:hint="eastAsia" w:ascii="Times New Roman" w:hAnsi="Times New Roman" w:eastAsia="宋体" w:cs="Times New Roman"/>
                      <w:szCs w:val="21"/>
                    </w:rPr>
                    <w:t>；</w:t>
                  </w:r>
                  <w:r>
                    <w:rPr>
                      <w:rFonts w:ascii="Times New Roman" w:hAnsi="Times New Roman" w:eastAsia="宋体" w:cs="Times New Roman"/>
                      <w:szCs w:val="21"/>
                    </w:rPr>
                    <w:t>0.3</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a无组织排放</w:t>
                  </w:r>
                </w:p>
              </w:tc>
              <w:tc>
                <w:tcPr>
                  <w:tcW w:w="1067" w:type="dxa"/>
                  <w:vAlign w:val="center"/>
                </w:tcPr>
                <w:p w14:paraId="5CA977C9">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2C401A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02B402E4">
                  <w:pPr>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1276" w:type="dxa"/>
                  <w:vAlign w:val="center"/>
                </w:tcPr>
                <w:p w14:paraId="4EDF8905">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进料、输送</w:t>
                  </w:r>
                  <w:r>
                    <w:rPr>
                      <w:rFonts w:ascii="Times New Roman" w:hAnsi="Times New Roman" w:eastAsia="宋体" w:cs="Times New Roman"/>
                      <w:szCs w:val="21"/>
                    </w:rPr>
                    <w:t>粉尘</w:t>
                  </w:r>
                </w:p>
              </w:tc>
              <w:tc>
                <w:tcPr>
                  <w:tcW w:w="1701" w:type="dxa"/>
                  <w:vAlign w:val="center"/>
                </w:tcPr>
                <w:p w14:paraId="70985464">
                  <w:pPr>
                    <w:snapToGrid w:val="0"/>
                    <w:jc w:val="center"/>
                    <w:rPr>
                      <w:rFonts w:ascii="Times New Roman" w:hAnsi="Times New Roman" w:eastAsia="宋体" w:cs="Times New Roman"/>
                      <w:szCs w:val="21"/>
                    </w:rPr>
                  </w:pPr>
                  <w:r>
                    <w:rPr>
                      <w:rFonts w:ascii="Times New Roman" w:hAnsi="Times New Roman" w:eastAsia="宋体" w:cs="Times New Roman"/>
                      <w:szCs w:val="21"/>
                    </w:rPr>
                    <w:t>1.5</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1843" w:type="dxa"/>
                  <w:vAlign w:val="center"/>
                </w:tcPr>
                <w:p w14:paraId="1EEA6D6D">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集气罩+脉冲布袋除尘+</w:t>
                  </w:r>
                  <w:r>
                    <w:rPr>
                      <w:rFonts w:ascii="Times New Roman" w:hAnsi="Times New Roman" w:eastAsia="宋体" w:cs="Times New Roman"/>
                      <w:szCs w:val="21"/>
                    </w:rPr>
                    <w:t>15</w:t>
                  </w:r>
                  <w:r>
                    <w:rPr>
                      <w:rFonts w:hint="eastAsia" w:ascii="Times New Roman" w:hAnsi="Times New Roman" w:eastAsia="宋体" w:cs="Times New Roman"/>
                      <w:szCs w:val="21"/>
                    </w:rPr>
                    <w:t>m排气筒</w:t>
                  </w:r>
                </w:p>
              </w:tc>
              <w:tc>
                <w:tcPr>
                  <w:tcW w:w="1843" w:type="dxa"/>
                  <w:vMerge w:val="continue"/>
                  <w:vAlign w:val="center"/>
                </w:tcPr>
                <w:p w14:paraId="2274B40F">
                  <w:pPr>
                    <w:snapToGrid w:val="0"/>
                    <w:jc w:val="center"/>
                    <w:rPr>
                      <w:rFonts w:ascii="Times New Roman" w:hAnsi="Times New Roman" w:eastAsia="宋体" w:cs="Times New Roman"/>
                      <w:szCs w:val="21"/>
                    </w:rPr>
                  </w:pPr>
                </w:p>
              </w:tc>
              <w:tc>
                <w:tcPr>
                  <w:tcW w:w="1067" w:type="dxa"/>
                  <w:vAlign w:val="center"/>
                </w:tcPr>
                <w:p w14:paraId="722C6589">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1DCE82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32476EB6">
                  <w:pPr>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1276" w:type="dxa"/>
                  <w:vAlign w:val="center"/>
                </w:tcPr>
                <w:p w14:paraId="796F0DA3">
                  <w:pPr>
                    <w:snapToGrid w:val="0"/>
                    <w:jc w:val="center"/>
                    <w:rPr>
                      <w:rFonts w:ascii="Times New Roman" w:hAnsi="Times New Roman" w:eastAsia="宋体" w:cs="Times New Roman"/>
                      <w:szCs w:val="21"/>
                    </w:rPr>
                  </w:pPr>
                  <w:r>
                    <w:rPr>
                      <w:rFonts w:ascii="Times New Roman" w:hAnsi="Times New Roman" w:eastAsia="宋体" w:cs="Times New Roman"/>
                      <w:szCs w:val="21"/>
                    </w:rPr>
                    <w:t>堆场粉尘</w:t>
                  </w:r>
                </w:p>
              </w:tc>
              <w:tc>
                <w:tcPr>
                  <w:tcW w:w="1701" w:type="dxa"/>
                  <w:vAlign w:val="center"/>
                </w:tcPr>
                <w:p w14:paraId="346B1808">
                  <w:pPr>
                    <w:snapToGrid w:val="0"/>
                    <w:jc w:val="center"/>
                    <w:rPr>
                      <w:rFonts w:ascii="Times New Roman" w:hAnsi="Times New Roman" w:eastAsia="宋体" w:cs="Times New Roman"/>
                      <w:szCs w:val="21"/>
                    </w:rPr>
                  </w:pPr>
                  <w:r>
                    <w:rPr>
                      <w:rFonts w:ascii="Times New Roman" w:hAnsi="Times New Roman" w:eastAsia="宋体" w:cs="Times New Roman"/>
                      <w:szCs w:val="21"/>
                    </w:rPr>
                    <w:t>不起尘</w:t>
                  </w:r>
                </w:p>
              </w:tc>
              <w:tc>
                <w:tcPr>
                  <w:tcW w:w="1843" w:type="dxa"/>
                  <w:vAlign w:val="center"/>
                </w:tcPr>
                <w:p w14:paraId="0B85C174">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袋装+车间密闭</w:t>
                  </w:r>
                  <w:r>
                    <w:rPr>
                      <w:rFonts w:ascii="Times New Roman" w:hAnsi="Times New Roman" w:eastAsia="宋体" w:cs="Times New Roman"/>
                      <w:szCs w:val="21"/>
                    </w:rPr>
                    <w:t>+少量堆存</w:t>
                  </w:r>
                </w:p>
              </w:tc>
              <w:tc>
                <w:tcPr>
                  <w:tcW w:w="1843" w:type="dxa"/>
                  <w:vAlign w:val="center"/>
                </w:tcPr>
                <w:p w14:paraId="255B2AC0">
                  <w:pPr>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067" w:type="dxa"/>
                  <w:vAlign w:val="center"/>
                </w:tcPr>
                <w:p w14:paraId="3583D6A7">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2DD6FD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166DC366">
                  <w:pPr>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1276" w:type="dxa"/>
                  <w:vAlign w:val="center"/>
                </w:tcPr>
                <w:p w14:paraId="0BEDDDF3">
                  <w:pPr>
                    <w:snapToGrid w:val="0"/>
                    <w:jc w:val="center"/>
                    <w:rPr>
                      <w:rFonts w:ascii="Times New Roman" w:hAnsi="Times New Roman" w:eastAsia="宋体" w:cs="Times New Roman"/>
                      <w:szCs w:val="21"/>
                    </w:rPr>
                  </w:pPr>
                  <w:r>
                    <w:rPr>
                      <w:rFonts w:ascii="Times New Roman" w:hAnsi="Times New Roman" w:eastAsia="宋体" w:cs="Times New Roman"/>
                      <w:szCs w:val="21"/>
                    </w:rPr>
                    <w:t>汽车运输扬尘</w:t>
                  </w:r>
                </w:p>
              </w:tc>
              <w:tc>
                <w:tcPr>
                  <w:tcW w:w="1701" w:type="dxa"/>
                  <w:vAlign w:val="center"/>
                </w:tcPr>
                <w:p w14:paraId="3F68681A">
                  <w:pPr>
                    <w:snapToGrid w:val="0"/>
                    <w:jc w:val="center"/>
                    <w:rPr>
                      <w:rFonts w:ascii="Times New Roman" w:hAnsi="Times New Roman" w:eastAsia="宋体" w:cs="Times New Roman"/>
                    </w:rPr>
                  </w:pPr>
                  <w:r>
                    <w:rPr>
                      <w:rFonts w:ascii="Times New Roman" w:hAnsi="Times New Roman" w:eastAsia="宋体" w:cs="Times New Roman"/>
                    </w:rPr>
                    <w:t>0.069t/a</w:t>
                  </w:r>
                </w:p>
              </w:tc>
              <w:tc>
                <w:tcPr>
                  <w:tcW w:w="1843" w:type="dxa"/>
                  <w:vAlign w:val="center"/>
                </w:tcPr>
                <w:p w14:paraId="236E8976">
                  <w:pPr>
                    <w:snapToGrid w:val="0"/>
                    <w:jc w:val="center"/>
                    <w:rPr>
                      <w:rFonts w:ascii="Times New Roman" w:hAnsi="Times New Roman" w:eastAsia="宋体" w:cs="Times New Roman"/>
                      <w:szCs w:val="21"/>
                    </w:rPr>
                  </w:pPr>
                  <w:r>
                    <w:rPr>
                      <w:rFonts w:ascii="Times New Roman" w:hAnsi="Times New Roman" w:eastAsia="宋体" w:cs="Times New Roman"/>
                      <w:szCs w:val="21"/>
                    </w:rPr>
                    <w:t>轮胎冲洗、</w:t>
                  </w:r>
                  <w:r>
                    <w:rPr>
                      <w:rFonts w:hint="eastAsia" w:ascii="Times New Roman" w:hAnsi="Times New Roman" w:eastAsia="宋体" w:cs="Times New Roman"/>
                      <w:szCs w:val="21"/>
                    </w:rPr>
                    <w:t>主要道路硬化、洒水降尘</w:t>
                  </w:r>
                </w:p>
              </w:tc>
              <w:tc>
                <w:tcPr>
                  <w:tcW w:w="1843" w:type="dxa"/>
                  <w:vAlign w:val="center"/>
                </w:tcPr>
                <w:p w14:paraId="629C2970">
                  <w:pPr>
                    <w:snapToGrid w:val="0"/>
                    <w:jc w:val="center"/>
                    <w:rPr>
                      <w:rFonts w:ascii="Times New Roman" w:hAnsi="Times New Roman" w:eastAsia="宋体" w:cs="Times New Roman"/>
                    </w:rPr>
                  </w:pPr>
                  <w:r>
                    <w:rPr>
                      <w:rFonts w:hint="eastAsia" w:ascii="Times New Roman" w:hAnsi="Times New Roman" w:eastAsia="宋体" w:cs="Times New Roman"/>
                    </w:rPr>
                    <w:t>产生量较少，无组织排放</w:t>
                  </w:r>
                </w:p>
              </w:tc>
              <w:tc>
                <w:tcPr>
                  <w:tcW w:w="1067" w:type="dxa"/>
                  <w:vAlign w:val="center"/>
                </w:tcPr>
                <w:p w14:paraId="1BEEA906">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55D052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1828" w:type="dxa"/>
                  <w:gridSpan w:val="2"/>
                  <w:vAlign w:val="center"/>
                </w:tcPr>
                <w:p w14:paraId="2BD785FF">
                  <w:pPr>
                    <w:snapToGrid w:val="0"/>
                    <w:jc w:val="center"/>
                    <w:rPr>
                      <w:rFonts w:ascii="Times New Roman" w:hAnsi="Times New Roman" w:eastAsia="宋体" w:cs="Times New Roman"/>
                      <w:szCs w:val="21"/>
                    </w:rPr>
                  </w:pPr>
                  <w:r>
                    <w:rPr>
                      <w:rFonts w:ascii="Times New Roman" w:hAnsi="Times New Roman" w:eastAsia="宋体" w:cs="Times New Roman"/>
                      <w:szCs w:val="21"/>
                    </w:rPr>
                    <w:t>执行标准</w:t>
                  </w:r>
                </w:p>
              </w:tc>
              <w:tc>
                <w:tcPr>
                  <w:tcW w:w="6454" w:type="dxa"/>
                  <w:gridSpan w:val="4"/>
                  <w:vAlign w:val="center"/>
                </w:tcPr>
                <w:p w14:paraId="063C63E1">
                  <w:pPr>
                    <w:rPr>
                      <w:rFonts w:ascii="Times New Roman" w:hAnsi="Times New Roman" w:eastAsia="宋体" w:cs="Times New Roman"/>
                      <w:szCs w:val="21"/>
                    </w:rPr>
                  </w:pPr>
                  <w:r>
                    <w:rPr>
                      <w:rFonts w:ascii="Times New Roman" w:hAnsi="Times New Roman" w:eastAsia="宋体" w:cs="Times New Roman"/>
                      <w:szCs w:val="21"/>
                    </w:rPr>
                    <w:t>执行《大气污染物综合排放标准》（GB16297-1996）表 2 中相应标准。</w:t>
                  </w:r>
                </w:p>
              </w:tc>
            </w:tr>
          </w:tbl>
          <w:p w14:paraId="3407642A">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fldChar w:fldCharType="begin"/>
            </w:r>
            <w:r>
              <w:rPr>
                <w:rFonts w:ascii="Times New Roman" w:hAnsi="Times New Roman" w:eastAsia="宋体" w:cs="Times New Roman"/>
                <w:bCs/>
                <w:sz w:val="24"/>
              </w:rPr>
              <w:instrText xml:space="preserve"> = 3 \* GB3 </w:instrText>
            </w:r>
            <w:r>
              <w:rPr>
                <w:rFonts w:ascii="Times New Roman" w:hAnsi="Times New Roman" w:eastAsia="宋体" w:cs="Times New Roman"/>
                <w:bCs/>
                <w:sz w:val="24"/>
              </w:rPr>
              <w:fldChar w:fldCharType="separate"/>
            </w:r>
            <w:r>
              <w:rPr>
                <w:rFonts w:hint="eastAsia" w:ascii="宋体" w:hAnsi="宋体" w:eastAsia="宋体" w:cs="宋体"/>
                <w:bCs/>
                <w:sz w:val="24"/>
              </w:rPr>
              <w:t>③</w:t>
            </w:r>
            <w:r>
              <w:rPr>
                <w:rFonts w:ascii="Times New Roman" w:hAnsi="Times New Roman" w:eastAsia="宋体" w:cs="Times New Roman"/>
                <w:bCs/>
                <w:sz w:val="24"/>
              </w:rPr>
              <w:fldChar w:fldCharType="end"/>
            </w:r>
            <w:r>
              <w:rPr>
                <w:rFonts w:ascii="Times New Roman" w:hAnsi="Times New Roman" w:eastAsia="宋体" w:cs="Times New Roman"/>
                <w:bCs/>
                <w:sz w:val="24"/>
              </w:rPr>
              <w:t>废气治理结果</w:t>
            </w:r>
          </w:p>
          <w:p w14:paraId="1A9A7979">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表5-6  项目废气产生及排放情况表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85" w:type="dxa"/>
                <w:bottom w:w="0" w:type="dxa"/>
                <w:right w:w="85" w:type="dxa"/>
              </w:tblCellMar>
            </w:tblPr>
            <w:tblGrid>
              <w:gridCol w:w="1725"/>
              <w:gridCol w:w="1350"/>
              <w:gridCol w:w="1365"/>
              <w:gridCol w:w="1733"/>
              <w:gridCol w:w="2109"/>
            </w:tblGrid>
            <w:tr w14:paraId="04B1EC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3332E51C">
                  <w:pPr>
                    <w:pStyle w:val="14"/>
                    <w:jc w:val="center"/>
                    <w:rPr>
                      <w:rFonts w:ascii="Times New Roman" w:hAnsi="Times New Roman" w:eastAsia="宋体" w:cs="Times New Roman"/>
                      <w:szCs w:val="21"/>
                    </w:rPr>
                  </w:pPr>
                  <w:r>
                    <w:rPr>
                      <w:rFonts w:ascii="Times New Roman" w:hAnsi="Times New Roman" w:eastAsia="宋体" w:cs="Times New Roman"/>
                      <w:szCs w:val="21"/>
                    </w:rPr>
                    <w:t>污染源位置</w:t>
                  </w:r>
                </w:p>
              </w:tc>
              <w:tc>
                <w:tcPr>
                  <w:tcW w:w="815" w:type="pct"/>
                  <w:vAlign w:val="center"/>
                </w:tcPr>
                <w:p w14:paraId="428C27F5">
                  <w:pPr>
                    <w:pStyle w:val="14"/>
                    <w:jc w:val="center"/>
                    <w:rPr>
                      <w:rFonts w:ascii="Times New Roman" w:hAnsi="Times New Roman" w:eastAsia="宋体" w:cs="Times New Roman"/>
                      <w:szCs w:val="21"/>
                    </w:rPr>
                  </w:pPr>
                  <w:r>
                    <w:rPr>
                      <w:rFonts w:ascii="Times New Roman" w:hAnsi="Times New Roman" w:eastAsia="宋体" w:cs="Times New Roman"/>
                      <w:szCs w:val="21"/>
                    </w:rPr>
                    <w:t>污染物名称</w:t>
                  </w:r>
                </w:p>
              </w:tc>
              <w:tc>
                <w:tcPr>
                  <w:tcW w:w="824" w:type="pct"/>
                  <w:vAlign w:val="center"/>
                </w:tcPr>
                <w:p w14:paraId="15E5B21B">
                  <w:pPr>
                    <w:pStyle w:val="14"/>
                    <w:jc w:val="center"/>
                    <w:rPr>
                      <w:rFonts w:ascii="Times New Roman" w:hAnsi="Times New Roman" w:eastAsia="宋体" w:cs="Times New Roman"/>
                      <w:szCs w:val="21"/>
                    </w:rPr>
                  </w:pPr>
                  <w:r>
                    <w:rPr>
                      <w:rFonts w:ascii="Times New Roman" w:hAnsi="Times New Roman" w:eastAsia="宋体" w:cs="Times New Roman"/>
                      <w:szCs w:val="21"/>
                    </w:rPr>
                    <w:t>产生量（t/a）</w:t>
                  </w:r>
                </w:p>
              </w:tc>
              <w:tc>
                <w:tcPr>
                  <w:tcW w:w="1046" w:type="pct"/>
                  <w:vAlign w:val="center"/>
                </w:tcPr>
                <w:p w14:paraId="27EE6FF4">
                  <w:pPr>
                    <w:pStyle w:val="14"/>
                    <w:jc w:val="center"/>
                    <w:rPr>
                      <w:rFonts w:ascii="Times New Roman" w:hAnsi="Times New Roman" w:eastAsia="宋体" w:cs="Times New Roman"/>
                      <w:szCs w:val="21"/>
                    </w:rPr>
                  </w:pPr>
                  <w:r>
                    <w:rPr>
                      <w:rFonts w:ascii="Times New Roman" w:hAnsi="Times New Roman" w:eastAsia="宋体" w:cs="Times New Roman"/>
                      <w:szCs w:val="21"/>
                    </w:rPr>
                    <w:t>污染物排放量（t/a）</w:t>
                  </w:r>
                </w:p>
              </w:tc>
              <w:tc>
                <w:tcPr>
                  <w:tcW w:w="1273" w:type="pct"/>
                  <w:vAlign w:val="center"/>
                </w:tcPr>
                <w:p w14:paraId="0149BBAF">
                  <w:pPr>
                    <w:pStyle w:val="14"/>
                    <w:jc w:val="center"/>
                    <w:rPr>
                      <w:rFonts w:ascii="Times New Roman" w:hAnsi="Times New Roman" w:eastAsia="宋体" w:cs="Times New Roman"/>
                      <w:szCs w:val="21"/>
                    </w:rPr>
                  </w:pPr>
                  <w:r>
                    <w:rPr>
                      <w:rFonts w:ascii="Times New Roman" w:hAnsi="Times New Roman" w:eastAsia="宋体" w:cs="Times New Roman"/>
                      <w:szCs w:val="21"/>
                    </w:rPr>
                    <w:t>污染物排放速率（kg/h）</w:t>
                  </w:r>
                </w:p>
              </w:tc>
            </w:tr>
            <w:tr w14:paraId="6F8C66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38C93413">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布袋除尘器</w:t>
                  </w:r>
                </w:p>
              </w:tc>
              <w:tc>
                <w:tcPr>
                  <w:tcW w:w="815" w:type="pct"/>
                  <w:vAlign w:val="center"/>
                </w:tcPr>
                <w:p w14:paraId="19DF8DA3">
                  <w:pPr>
                    <w:pStyle w:val="14"/>
                    <w:jc w:val="center"/>
                    <w:rPr>
                      <w:rFonts w:ascii="Times New Roman" w:hAnsi="Times New Roman" w:eastAsia="宋体" w:cs="Times New Roman"/>
                    </w:rPr>
                  </w:pPr>
                  <w:r>
                    <w:rPr>
                      <w:rFonts w:hint="eastAsia" w:ascii="Times New Roman" w:hAnsi="Times New Roman" w:eastAsia="宋体" w:cs="Times New Roman"/>
                    </w:rPr>
                    <w:t>有组织</w:t>
                  </w:r>
                  <w:r>
                    <w:rPr>
                      <w:rFonts w:ascii="Times New Roman" w:hAnsi="Times New Roman" w:eastAsia="宋体" w:cs="Times New Roman"/>
                    </w:rPr>
                    <w:t>粉尘</w:t>
                  </w:r>
                </w:p>
              </w:tc>
              <w:tc>
                <w:tcPr>
                  <w:tcW w:w="824" w:type="pct"/>
                  <w:vAlign w:val="center"/>
                </w:tcPr>
                <w:p w14:paraId="30495A71">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c>
                <w:tcPr>
                  <w:tcW w:w="1046" w:type="pct"/>
                  <w:vAlign w:val="center"/>
                </w:tcPr>
                <w:p w14:paraId="091F6BAF">
                  <w:pPr>
                    <w:pStyle w:val="14"/>
                    <w:jc w:val="center"/>
                    <w:rPr>
                      <w:rFonts w:ascii="Times New Roman" w:hAnsi="Times New Roman" w:eastAsia="宋体" w:cs="Times New Roman"/>
                      <w:szCs w:val="21"/>
                    </w:rPr>
                  </w:pPr>
                  <w:r>
                    <w:rPr>
                      <w:rFonts w:ascii="Times New Roman" w:hAnsi="Times New Roman" w:eastAsia="宋体" w:cs="Times New Roman"/>
                      <w:szCs w:val="21"/>
                    </w:rPr>
                    <w:t>0.057</w:t>
                  </w:r>
                </w:p>
              </w:tc>
              <w:tc>
                <w:tcPr>
                  <w:tcW w:w="1273" w:type="pct"/>
                  <w:vAlign w:val="center"/>
                </w:tcPr>
                <w:p w14:paraId="1572C8C2">
                  <w:pPr>
                    <w:pStyle w:val="14"/>
                    <w:jc w:val="center"/>
                    <w:rPr>
                      <w:rFonts w:ascii="Times New Roman" w:hAnsi="Times New Roman" w:eastAsia="宋体" w:cs="Times New Roman"/>
                      <w:szCs w:val="21"/>
                    </w:rPr>
                  </w:pPr>
                  <w:r>
                    <w:rPr>
                      <w:rFonts w:ascii="Times New Roman" w:hAnsi="Times New Roman" w:eastAsia="宋体" w:cs="Times New Roman"/>
                      <w:szCs w:val="21"/>
                    </w:rPr>
                    <w:t>0.024</w:t>
                  </w:r>
                </w:p>
              </w:tc>
            </w:tr>
            <w:tr w14:paraId="480E5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783528E3">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车间</w:t>
                  </w:r>
                </w:p>
              </w:tc>
              <w:tc>
                <w:tcPr>
                  <w:tcW w:w="815" w:type="pct"/>
                  <w:vAlign w:val="center"/>
                </w:tcPr>
                <w:p w14:paraId="2A6E9702">
                  <w:pPr>
                    <w:pStyle w:val="14"/>
                    <w:jc w:val="center"/>
                    <w:rPr>
                      <w:rFonts w:ascii="Times New Roman" w:hAnsi="Times New Roman" w:eastAsia="宋体" w:cs="Times New Roman"/>
                    </w:rPr>
                  </w:pPr>
                  <w:r>
                    <w:rPr>
                      <w:rFonts w:hint="eastAsia" w:ascii="Times New Roman" w:hAnsi="Times New Roman" w:eastAsia="宋体" w:cs="Times New Roman"/>
                    </w:rPr>
                    <w:t>无组织粉尘</w:t>
                  </w:r>
                </w:p>
              </w:tc>
              <w:tc>
                <w:tcPr>
                  <w:tcW w:w="824" w:type="pct"/>
                  <w:vAlign w:val="center"/>
                </w:tcPr>
                <w:p w14:paraId="6FA3FC05">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w:t>
                  </w:r>
                </w:p>
              </w:tc>
              <w:tc>
                <w:tcPr>
                  <w:tcW w:w="1046" w:type="pct"/>
                  <w:vAlign w:val="center"/>
                </w:tcPr>
                <w:p w14:paraId="010832EC">
                  <w:pPr>
                    <w:pStyle w:val="14"/>
                    <w:jc w:val="center"/>
                    <w:rPr>
                      <w:rFonts w:ascii="Times New Roman" w:hAnsi="Times New Roman" w:eastAsia="宋体" w:cs="Times New Roman"/>
                      <w:szCs w:val="21"/>
                    </w:rPr>
                  </w:pPr>
                  <w:r>
                    <w:rPr>
                      <w:rFonts w:ascii="Times New Roman" w:hAnsi="Times New Roman" w:eastAsia="宋体" w:cs="Times New Roman"/>
                      <w:szCs w:val="21"/>
                    </w:rPr>
                    <w:t>0.3</w:t>
                  </w:r>
                </w:p>
              </w:tc>
              <w:tc>
                <w:tcPr>
                  <w:tcW w:w="1273" w:type="pct"/>
                  <w:vAlign w:val="center"/>
                </w:tcPr>
                <w:p w14:paraId="329638D0">
                  <w:pPr>
                    <w:pStyle w:val="14"/>
                    <w:jc w:val="center"/>
                    <w:rPr>
                      <w:rFonts w:ascii="Times New Roman" w:hAnsi="Times New Roman" w:eastAsia="宋体" w:cs="Times New Roman"/>
                      <w:szCs w:val="21"/>
                    </w:rPr>
                  </w:pPr>
                  <w:r>
                    <w:rPr>
                      <w:rFonts w:ascii="Times New Roman" w:hAnsi="Times New Roman" w:eastAsia="宋体" w:cs="Times New Roman"/>
                      <w:szCs w:val="21"/>
                    </w:rPr>
                    <w:t>0.125</w:t>
                  </w:r>
                </w:p>
              </w:tc>
            </w:tr>
          </w:tbl>
          <w:p w14:paraId="69FCB745">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sz w:val="24"/>
              </w:rPr>
              <w:t>2、</w:t>
            </w:r>
            <w:r>
              <w:rPr>
                <w:rFonts w:ascii="Times New Roman" w:hAnsi="Times New Roman" w:eastAsia="宋体" w:cs="Times New Roman"/>
                <w:b/>
                <w:bCs/>
                <w:sz w:val="24"/>
              </w:rPr>
              <w:t>废水排放及治理措施</w:t>
            </w:r>
          </w:p>
          <w:p w14:paraId="1F0FC95B">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项目运营期厂区内实行“清污分流、雨污分流”制，雨水经屋面雨水采用雨水斗收集后汇入市政雨水管网。</w:t>
            </w:r>
          </w:p>
          <w:p w14:paraId="3BAC6221">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（1）生活污水</w:t>
            </w:r>
          </w:p>
          <w:p w14:paraId="5F3D5D0F">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项目企业共有员工20人，用水量按40L/</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人.d</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计，则用水量为0.8</w:t>
            </w:r>
            <w:r>
              <w:rPr>
                <w:rFonts w:ascii="Times New Roman" w:hAnsi="Times New Roman" w:eastAsia="宋体" w:cs="Times New Roman"/>
                <w:sz w:val="24"/>
              </w:rPr>
              <w:t>m</w:t>
            </w:r>
            <w:r>
              <w:rPr>
                <w:rFonts w:ascii="Times New Roman" w:hAnsi="Times New Roman" w:eastAsia="宋体" w:cs="Times New Roman"/>
                <w:sz w:val="24"/>
                <w:vertAlign w:val="superscript"/>
              </w:rPr>
              <w:t>3</w:t>
            </w:r>
            <w:r>
              <w:rPr>
                <w:rFonts w:ascii="Times New Roman" w:hAnsi="Times New Roman" w:eastAsia="宋体" w:cs="Times New Roman"/>
                <w:sz w:val="24"/>
              </w:rPr>
              <w:t>/d，产污系数按0.80计，则生活污水排水量为0.64m</w:t>
            </w:r>
            <w:r>
              <w:rPr>
                <w:rFonts w:ascii="Times New Roman" w:hAnsi="Times New Roman" w:eastAsia="宋体" w:cs="Times New Roman"/>
                <w:sz w:val="24"/>
                <w:vertAlign w:val="superscript"/>
              </w:rPr>
              <w:t>3</w:t>
            </w:r>
            <w:r>
              <w:rPr>
                <w:rFonts w:ascii="Times New Roman" w:hAnsi="Times New Roman" w:eastAsia="宋体" w:cs="Times New Roman"/>
                <w:sz w:val="24"/>
              </w:rPr>
              <w:t>/d。项目生活废水</w:t>
            </w:r>
            <w:r>
              <w:rPr>
                <w:rFonts w:hint="eastAsia" w:ascii="Times New Roman" w:hAnsi="Times New Roman" w:eastAsia="宋体" w:cs="Times New Roman"/>
                <w:sz w:val="24"/>
              </w:rPr>
              <w:t>利用二级生化处理设施</w:t>
            </w:r>
            <w:r>
              <w:rPr>
                <w:rFonts w:ascii="Times New Roman" w:hAnsi="Times New Roman" w:eastAsia="宋体" w:cs="Times New Roman"/>
                <w:sz w:val="24"/>
              </w:rPr>
              <w:t>收集</w:t>
            </w:r>
            <w:r>
              <w:rPr>
                <w:rFonts w:hint="eastAsia" w:ascii="Times New Roman" w:hAnsi="Times New Roman" w:eastAsia="宋体" w:cs="Times New Roman"/>
                <w:sz w:val="24"/>
              </w:rPr>
              <w:t>处理</w:t>
            </w:r>
            <w:r>
              <w:rPr>
                <w:rFonts w:ascii="Times New Roman" w:hAnsi="Times New Roman" w:eastAsia="宋体" w:cs="Times New Roman"/>
                <w:sz w:val="24"/>
              </w:rPr>
              <w:t>后</w:t>
            </w:r>
            <w:r>
              <w:rPr>
                <w:rFonts w:hint="eastAsia" w:ascii="Times New Roman" w:hAnsi="Times New Roman" w:eastAsia="宋体" w:cs="Times New Roman"/>
                <w:sz w:val="24"/>
              </w:rPr>
              <w:t>外运农肥</w:t>
            </w:r>
            <w:r>
              <w:rPr>
                <w:rFonts w:ascii="Times New Roman" w:hAnsi="Times New Roman" w:eastAsia="宋体" w:cs="Times New Roman"/>
                <w:bCs/>
                <w:sz w:val="24"/>
              </w:rPr>
              <w:t>，不外排。项目周边有大片农田，完全可消纳这部分废水。</w:t>
            </w:r>
          </w:p>
          <w:p w14:paraId="5027F6D1">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（2）生产废水</w:t>
            </w:r>
          </w:p>
          <w:p w14:paraId="28349F1F">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fldChar w:fldCharType="begin"/>
            </w:r>
            <w:r>
              <w:rPr>
                <w:rFonts w:ascii="Times New Roman" w:hAnsi="Times New Roman" w:eastAsia="宋体" w:cs="Times New Roman"/>
                <w:bCs/>
                <w:sz w:val="24"/>
              </w:rPr>
              <w:instrText xml:space="preserve"> = 1 \* GB3 </w:instrText>
            </w:r>
            <w:r>
              <w:rPr>
                <w:rFonts w:ascii="Times New Roman" w:hAnsi="Times New Roman" w:eastAsia="宋体" w:cs="Times New Roman"/>
                <w:bCs/>
                <w:sz w:val="24"/>
              </w:rPr>
              <w:fldChar w:fldCharType="separate"/>
            </w:r>
            <w:r>
              <w:rPr>
                <w:rFonts w:hint="eastAsia" w:ascii="宋体" w:hAnsi="宋体" w:eastAsia="宋体" w:cs="宋体"/>
                <w:bCs/>
                <w:sz w:val="24"/>
              </w:rPr>
              <w:t>①</w:t>
            </w:r>
            <w:r>
              <w:rPr>
                <w:rFonts w:ascii="Times New Roman" w:hAnsi="Times New Roman" w:eastAsia="宋体" w:cs="Times New Roman"/>
                <w:bCs/>
                <w:sz w:val="24"/>
              </w:rPr>
              <w:fldChar w:fldCharType="end"/>
            </w:r>
            <w:r>
              <w:rPr>
                <w:rFonts w:ascii="Times New Roman" w:hAnsi="Times New Roman" w:eastAsia="宋体" w:cs="Times New Roman"/>
                <w:bCs/>
                <w:sz w:val="24"/>
              </w:rPr>
              <w:t>轮胎冲洗水：项目为防止车辆扬尘，</w:t>
            </w:r>
            <w:r>
              <w:rPr>
                <w:rFonts w:hint="eastAsia" w:ascii="Times New Roman" w:hAnsi="Times New Roman" w:eastAsia="宋体" w:cs="Times New Roman"/>
                <w:bCs/>
                <w:sz w:val="24"/>
              </w:rPr>
              <w:t>环评建议</w:t>
            </w:r>
            <w:r>
              <w:rPr>
                <w:rFonts w:ascii="Times New Roman" w:hAnsi="Times New Roman" w:eastAsia="宋体" w:cs="Times New Roman"/>
                <w:bCs/>
                <w:sz w:val="24"/>
              </w:rPr>
              <w:t>于厂区进场公路处设置有轮胎</w:t>
            </w:r>
            <w:r>
              <w:rPr>
                <w:rFonts w:hint="eastAsia" w:ascii="Times New Roman" w:hAnsi="Times New Roman" w:eastAsia="宋体" w:cs="Times New Roman"/>
                <w:bCs/>
                <w:sz w:val="24"/>
              </w:rPr>
              <w:t>冲洗池</w:t>
            </w:r>
            <w:r>
              <w:rPr>
                <w:rFonts w:ascii="Times New Roman" w:hAnsi="Times New Roman" w:eastAsia="宋体" w:cs="Times New Roman"/>
                <w:bCs/>
                <w:sz w:val="24"/>
              </w:rPr>
              <w:t>1个，轮胎冲洗水除轮胎带着外，其余全部自然蒸发，不外排。</w:t>
            </w:r>
          </w:p>
          <w:p w14:paraId="05C93105">
            <w:pPr>
              <w:tabs>
                <w:tab w:val="left" w:pos="5670"/>
              </w:tabs>
              <w:spacing w:line="480" w:lineRule="exact"/>
              <w:ind w:firstLine="482" w:firstLineChars="200"/>
              <w:rPr>
                <w:rFonts w:ascii="Times New Roman" w:hAnsi="Times New Roman" w:eastAsia="宋体" w:cs="Times New Roman"/>
                <w:bCs/>
                <w:sz w:val="24"/>
              </w:rPr>
            </w:pPr>
            <w:r>
              <w:rPr>
                <w:rFonts w:ascii="Times New Roman" w:hAnsi="Times New Roman" w:eastAsia="宋体" w:cs="Times New Roman"/>
                <w:b/>
                <w:bCs/>
                <w:sz w:val="24"/>
              </w:rPr>
              <w:t>治理措施</w:t>
            </w:r>
            <w:r>
              <w:rPr>
                <w:rFonts w:ascii="Times New Roman" w:hAnsi="Times New Roman" w:eastAsia="宋体" w:cs="Times New Roman"/>
                <w:bCs/>
                <w:sz w:val="24"/>
              </w:rPr>
              <w:t>：项目</w:t>
            </w:r>
            <w:r>
              <w:rPr>
                <w:rFonts w:hint="eastAsia" w:ascii="Times New Roman" w:hAnsi="Times New Roman" w:eastAsia="宋体" w:cs="Times New Roman"/>
                <w:bCs/>
                <w:sz w:val="24"/>
              </w:rPr>
              <w:t>于厂区进出口处设置轮胎冲洗池1个，用于进出厂轮胎清洗防止车辆扬尘</w:t>
            </w:r>
            <w:r>
              <w:rPr>
                <w:rFonts w:ascii="Times New Roman" w:hAnsi="Times New Roman" w:eastAsia="宋体" w:cs="Times New Roman"/>
                <w:bCs/>
                <w:sz w:val="24"/>
              </w:rPr>
              <w:t>，</w:t>
            </w:r>
            <w:r>
              <w:rPr>
                <w:rFonts w:hint="eastAsia" w:ascii="Times New Roman" w:hAnsi="Times New Roman" w:eastAsia="宋体" w:cs="Times New Roman"/>
                <w:bCs/>
                <w:sz w:val="24"/>
              </w:rPr>
              <w:t>轮胎洗涤水只补加，自然蒸发，</w:t>
            </w:r>
            <w:r>
              <w:rPr>
                <w:rFonts w:ascii="Times New Roman" w:hAnsi="Times New Roman" w:eastAsia="宋体" w:cs="Times New Roman"/>
                <w:bCs/>
                <w:sz w:val="24"/>
              </w:rPr>
              <w:t>不外排。</w:t>
            </w:r>
          </w:p>
          <w:p w14:paraId="126A4E9B">
            <w:pPr>
              <w:tabs>
                <w:tab w:val="left" w:pos="5670"/>
              </w:tabs>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（3）</w:t>
            </w:r>
            <w:r>
              <w:rPr>
                <w:rFonts w:ascii="Times New Roman" w:hAnsi="Times New Roman" w:eastAsia="宋体" w:cs="Times New Roman"/>
                <w:bCs/>
                <w:sz w:val="24"/>
              </w:rPr>
              <w:t>雨水</w:t>
            </w:r>
          </w:p>
          <w:p w14:paraId="13565638">
            <w:pPr>
              <w:tabs>
                <w:tab w:val="left" w:pos="5670"/>
              </w:tabs>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屋面雨水采用雨水斗收集，外墙处雨水斗采用直立落水管排入室外雨水导排沟，最终排入市政雨水管网。</w:t>
            </w:r>
          </w:p>
          <w:p w14:paraId="723667E0">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3、噪声排放及治理措施</w:t>
            </w:r>
          </w:p>
          <w:p w14:paraId="2C3BEBCB">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本项目噪声主要来源于生产设备的运行，主要为设备运行时产生的机械噪声，声源强度值为80~95dB（A），高噪声设备及其噪声源强见下表5-7。</w:t>
            </w:r>
          </w:p>
          <w:p w14:paraId="11D1A87C">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表5-7 项目</w:t>
            </w:r>
            <w:r>
              <w:rPr>
                <w:rFonts w:hint="eastAsia" w:ascii="Times New Roman" w:hAnsi="Times New Roman" w:eastAsia="宋体" w:cs="Times New Roman"/>
                <w:snapToGrid w:val="0"/>
                <w:kern w:val="0"/>
                <w:sz w:val="24"/>
                <w:szCs w:val="24"/>
              </w:rPr>
              <w:t>主要产噪设备噪声产生情况</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58"/>
              <w:gridCol w:w="2645"/>
              <w:gridCol w:w="1494"/>
              <w:gridCol w:w="1363"/>
              <w:gridCol w:w="1622"/>
            </w:tblGrid>
            <w:tr w14:paraId="492B02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12" w:space="0"/>
                    <w:left w:val="single" w:color="auto" w:sz="12" w:space="0"/>
                    <w:bottom w:val="single" w:color="auto" w:sz="12" w:space="0"/>
                    <w:right w:val="single" w:color="auto" w:sz="6" w:space="0"/>
                  </w:tcBorders>
                  <w:vAlign w:val="center"/>
                </w:tcPr>
                <w:p w14:paraId="33395971">
                  <w:pPr>
                    <w:widowControl/>
                    <w:jc w:val="center"/>
                    <w:rPr>
                      <w:rFonts w:ascii="Times New Roman" w:hAnsi="Times New Roman" w:eastAsia="宋体" w:cs="Times New Roman"/>
                    </w:rPr>
                  </w:pPr>
                  <w:r>
                    <w:rPr>
                      <w:rFonts w:ascii="Times New Roman" w:hAnsi="Times New Roman" w:eastAsia="宋体" w:cs="Times New Roman"/>
                    </w:rPr>
                    <w:t>序号</w:t>
                  </w:r>
                </w:p>
              </w:tc>
              <w:tc>
                <w:tcPr>
                  <w:tcW w:w="1597" w:type="pct"/>
                  <w:tcBorders>
                    <w:top w:val="single" w:color="auto" w:sz="12" w:space="0"/>
                    <w:left w:val="single" w:color="auto" w:sz="6" w:space="0"/>
                    <w:bottom w:val="single" w:color="auto" w:sz="12" w:space="0"/>
                    <w:right w:val="single" w:color="auto" w:sz="6" w:space="0"/>
                  </w:tcBorders>
                  <w:vAlign w:val="center"/>
                </w:tcPr>
                <w:p w14:paraId="3A2906F6">
                  <w:pPr>
                    <w:widowControl/>
                    <w:jc w:val="center"/>
                    <w:rPr>
                      <w:rFonts w:ascii="Times New Roman" w:hAnsi="Times New Roman" w:eastAsia="宋体" w:cs="Times New Roman"/>
                    </w:rPr>
                  </w:pPr>
                  <w:r>
                    <w:rPr>
                      <w:rFonts w:ascii="Times New Roman" w:hAnsi="Times New Roman" w:eastAsia="宋体" w:cs="Times New Roman"/>
                    </w:rPr>
                    <w:t>设备</w:t>
                  </w:r>
                </w:p>
              </w:tc>
              <w:tc>
                <w:tcPr>
                  <w:tcW w:w="902" w:type="pct"/>
                  <w:tcBorders>
                    <w:top w:val="single" w:color="auto" w:sz="12" w:space="0"/>
                    <w:left w:val="single" w:color="auto" w:sz="6" w:space="0"/>
                    <w:bottom w:val="single" w:color="auto" w:sz="12" w:space="0"/>
                    <w:right w:val="single" w:color="auto" w:sz="6" w:space="0"/>
                  </w:tcBorders>
                  <w:vAlign w:val="center"/>
                </w:tcPr>
                <w:p w14:paraId="52FCED13">
                  <w:pPr>
                    <w:widowControl/>
                    <w:jc w:val="center"/>
                    <w:rPr>
                      <w:rFonts w:ascii="Times New Roman" w:hAnsi="Times New Roman" w:eastAsia="宋体" w:cs="Times New Roman"/>
                    </w:rPr>
                  </w:pPr>
                  <w:r>
                    <w:rPr>
                      <w:rFonts w:ascii="Times New Roman" w:hAnsi="Times New Roman" w:eastAsia="宋体" w:cs="Times New Roman"/>
                    </w:rPr>
                    <w:t>数量</w:t>
                  </w:r>
                </w:p>
              </w:tc>
              <w:tc>
                <w:tcPr>
                  <w:tcW w:w="823" w:type="pct"/>
                  <w:tcBorders>
                    <w:top w:val="single" w:color="auto" w:sz="12" w:space="0"/>
                    <w:left w:val="single" w:color="auto" w:sz="6" w:space="0"/>
                    <w:bottom w:val="single" w:color="auto" w:sz="12" w:space="0"/>
                    <w:right w:val="single" w:color="auto" w:sz="6" w:space="0"/>
                  </w:tcBorders>
                  <w:vAlign w:val="center"/>
                </w:tcPr>
                <w:p w14:paraId="4C1FC659">
                  <w:pPr>
                    <w:widowControl/>
                    <w:jc w:val="center"/>
                    <w:rPr>
                      <w:rFonts w:ascii="Times New Roman" w:hAnsi="Times New Roman" w:eastAsia="宋体" w:cs="Times New Roman"/>
                    </w:rPr>
                  </w:pPr>
                  <w:r>
                    <w:rPr>
                      <w:rFonts w:ascii="Times New Roman" w:hAnsi="Times New Roman" w:eastAsia="宋体" w:cs="Times New Roman"/>
                    </w:rPr>
                    <w:t>最大声级[dB(A)]</w:t>
                  </w:r>
                </w:p>
              </w:tc>
              <w:tc>
                <w:tcPr>
                  <w:tcW w:w="979" w:type="pct"/>
                  <w:tcBorders>
                    <w:top w:val="single" w:color="auto" w:sz="12" w:space="0"/>
                    <w:left w:val="single" w:color="auto" w:sz="6" w:space="0"/>
                    <w:bottom w:val="single" w:color="auto" w:sz="12" w:space="0"/>
                    <w:right w:val="single" w:color="auto" w:sz="12" w:space="0"/>
                  </w:tcBorders>
                  <w:vAlign w:val="center"/>
                </w:tcPr>
                <w:p w14:paraId="7A091301">
                  <w:pPr>
                    <w:widowControl/>
                    <w:jc w:val="center"/>
                    <w:rPr>
                      <w:rFonts w:ascii="Times New Roman" w:hAnsi="Times New Roman" w:eastAsia="宋体" w:cs="Times New Roman"/>
                    </w:rPr>
                  </w:pPr>
                  <w:r>
                    <w:rPr>
                      <w:rFonts w:hint="eastAsia" w:ascii="Times New Roman" w:hAnsi="Times New Roman" w:eastAsia="宋体" w:cs="Times New Roman"/>
                    </w:rPr>
                    <w:t>位置</w:t>
                  </w:r>
                </w:p>
              </w:tc>
            </w:tr>
            <w:tr w14:paraId="674B98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12" w:space="0"/>
                    <w:left w:val="single" w:color="auto" w:sz="12" w:space="0"/>
                    <w:bottom w:val="single" w:color="auto" w:sz="6" w:space="0"/>
                    <w:right w:val="single" w:color="auto" w:sz="6" w:space="0"/>
                  </w:tcBorders>
                  <w:vAlign w:val="center"/>
                </w:tcPr>
                <w:p w14:paraId="121C17CA">
                  <w:pPr>
                    <w:widowControl/>
                    <w:jc w:val="center"/>
                    <w:rPr>
                      <w:rFonts w:ascii="Times New Roman" w:hAnsi="Times New Roman" w:eastAsia="宋体" w:cs="Times New Roman"/>
                    </w:rPr>
                  </w:pPr>
                  <w:r>
                    <w:rPr>
                      <w:rFonts w:ascii="Times New Roman" w:hAnsi="Times New Roman" w:eastAsia="宋体" w:cs="Times New Roman"/>
                    </w:rPr>
                    <w:t>1</w:t>
                  </w:r>
                </w:p>
              </w:tc>
              <w:tc>
                <w:tcPr>
                  <w:tcW w:w="1597" w:type="pct"/>
                  <w:tcBorders>
                    <w:top w:val="single" w:color="auto" w:sz="12" w:space="0"/>
                    <w:left w:val="single" w:color="auto" w:sz="6" w:space="0"/>
                    <w:bottom w:val="single" w:color="auto" w:sz="6" w:space="0"/>
                    <w:right w:val="single" w:color="auto" w:sz="6" w:space="0"/>
                  </w:tcBorders>
                  <w:shd w:val="clear" w:color="auto" w:fill="auto"/>
                  <w:vAlign w:val="center"/>
                </w:tcPr>
                <w:p w14:paraId="5AC9641E">
                  <w:pPr>
                    <w:jc w:val="center"/>
                    <w:rPr>
                      <w:rFonts w:ascii="Times New Roman" w:hAnsi="Times New Roman" w:eastAsia="宋体" w:cs="Times New Roman"/>
                      <w:szCs w:val="21"/>
                    </w:rPr>
                  </w:pPr>
                  <w:r>
                    <w:rPr>
                      <w:rFonts w:hint="eastAsia" w:ascii="Times New Roman" w:hAnsi="Times New Roman" w:eastAsia="宋体" w:cs="Times New Roman"/>
                      <w:szCs w:val="21"/>
                    </w:rPr>
                    <w:t>颚式破碎机</w:t>
                  </w:r>
                </w:p>
              </w:tc>
              <w:tc>
                <w:tcPr>
                  <w:tcW w:w="902" w:type="pct"/>
                  <w:tcBorders>
                    <w:top w:val="single" w:color="auto" w:sz="12" w:space="0"/>
                    <w:left w:val="single" w:color="auto" w:sz="6" w:space="0"/>
                    <w:bottom w:val="single" w:color="auto" w:sz="6" w:space="0"/>
                    <w:right w:val="single" w:color="auto" w:sz="6" w:space="0"/>
                  </w:tcBorders>
                  <w:vAlign w:val="center"/>
                </w:tcPr>
                <w:p w14:paraId="7B12B487">
                  <w:pPr>
                    <w:widowControl/>
                    <w:jc w:val="center"/>
                    <w:rPr>
                      <w:rFonts w:ascii="Times New Roman" w:hAnsi="Times New Roman" w:eastAsia="宋体" w:cs="Times New Roman"/>
                    </w:rPr>
                  </w:pPr>
                  <w:r>
                    <w:rPr>
                      <w:rFonts w:ascii="Times New Roman" w:hAnsi="Times New Roman" w:eastAsia="宋体" w:cs="Times New Roman"/>
                    </w:rPr>
                    <w:t>3</w:t>
                  </w:r>
                </w:p>
              </w:tc>
              <w:tc>
                <w:tcPr>
                  <w:tcW w:w="823" w:type="pct"/>
                  <w:tcBorders>
                    <w:top w:val="single" w:color="auto" w:sz="12" w:space="0"/>
                    <w:left w:val="single" w:color="auto" w:sz="6" w:space="0"/>
                    <w:bottom w:val="single" w:color="auto" w:sz="6" w:space="0"/>
                    <w:right w:val="single" w:color="auto" w:sz="6" w:space="0"/>
                  </w:tcBorders>
                  <w:vAlign w:val="center"/>
                </w:tcPr>
                <w:p w14:paraId="17A492E3">
                  <w:pPr>
                    <w:widowControl/>
                    <w:jc w:val="center"/>
                    <w:rPr>
                      <w:rFonts w:ascii="Times New Roman" w:hAnsi="Times New Roman" w:eastAsia="宋体" w:cs="Times New Roman"/>
                    </w:rPr>
                  </w:pPr>
                  <w:r>
                    <w:rPr>
                      <w:rFonts w:ascii="Times New Roman" w:hAnsi="Times New Roman" w:eastAsia="宋体" w:cs="Times New Roman"/>
                    </w:rPr>
                    <w:t>95</w:t>
                  </w:r>
                </w:p>
              </w:tc>
              <w:tc>
                <w:tcPr>
                  <w:tcW w:w="979" w:type="pct"/>
                  <w:vMerge w:val="restart"/>
                  <w:tcBorders>
                    <w:top w:val="single" w:color="auto" w:sz="12" w:space="0"/>
                    <w:left w:val="single" w:color="auto" w:sz="6" w:space="0"/>
                    <w:right w:val="single" w:color="auto" w:sz="12" w:space="0"/>
                  </w:tcBorders>
                  <w:vAlign w:val="center"/>
                </w:tcPr>
                <w:p w14:paraId="1FA3BB0D">
                  <w:pPr>
                    <w:jc w:val="center"/>
                    <w:rPr>
                      <w:rFonts w:ascii="Times New Roman" w:hAnsi="Times New Roman" w:eastAsia="宋体" w:cs="Times New Roman"/>
                    </w:rPr>
                  </w:pPr>
                  <w:r>
                    <w:rPr>
                      <w:rFonts w:hint="eastAsia" w:ascii="Times New Roman" w:hAnsi="Times New Roman" w:eastAsia="宋体" w:cs="Times New Roman"/>
                    </w:rPr>
                    <w:t>硅粉加工车间</w:t>
                  </w:r>
                </w:p>
              </w:tc>
            </w:tr>
            <w:tr w14:paraId="131650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5A17B227">
                  <w:pPr>
                    <w:widowControl/>
                    <w:jc w:val="center"/>
                    <w:rPr>
                      <w:rFonts w:ascii="Times New Roman" w:hAnsi="Times New Roman" w:eastAsia="宋体" w:cs="Times New Roman"/>
                    </w:rPr>
                  </w:pPr>
                  <w:r>
                    <w:rPr>
                      <w:rFonts w:ascii="Times New Roman" w:hAnsi="Times New Roman" w:eastAsia="宋体" w:cs="Times New Roman"/>
                    </w:rPr>
                    <w:t>2</w:t>
                  </w:r>
                </w:p>
              </w:tc>
              <w:tc>
                <w:tcPr>
                  <w:tcW w:w="1597" w:type="pct"/>
                  <w:tcBorders>
                    <w:top w:val="single" w:color="auto" w:sz="6" w:space="0"/>
                    <w:left w:val="single" w:color="auto" w:sz="6" w:space="0"/>
                    <w:bottom w:val="single" w:color="auto" w:sz="6" w:space="0"/>
                    <w:right w:val="single" w:color="auto" w:sz="6" w:space="0"/>
                  </w:tcBorders>
                  <w:vAlign w:val="center"/>
                </w:tcPr>
                <w:p w14:paraId="5A1A7AA7">
                  <w:pPr>
                    <w:jc w:val="center"/>
                    <w:rPr>
                      <w:rFonts w:ascii="Times New Roman" w:hAnsi="Times New Roman" w:eastAsia="宋体" w:cs="Times New Roman"/>
                      <w:szCs w:val="21"/>
                    </w:rPr>
                  </w:pPr>
                  <w:r>
                    <w:rPr>
                      <w:rFonts w:hint="eastAsia" w:ascii="Times New Roman" w:hAnsi="Times New Roman" w:eastAsia="宋体" w:cs="Times New Roman"/>
                      <w:szCs w:val="21"/>
                    </w:rPr>
                    <w:t>振动给料机</w:t>
                  </w:r>
                </w:p>
              </w:tc>
              <w:tc>
                <w:tcPr>
                  <w:tcW w:w="902" w:type="pct"/>
                  <w:tcBorders>
                    <w:top w:val="single" w:color="auto" w:sz="6" w:space="0"/>
                    <w:left w:val="single" w:color="auto" w:sz="6" w:space="0"/>
                    <w:bottom w:val="single" w:color="auto" w:sz="6" w:space="0"/>
                    <w:right w:val="single" w:color="auto" w:sz="6" w:space="0"/>
                  </w:tcBorders>
                  <w:vAlign w:val="center"/>
                </w:tcPr>
                <w:p w14:paraId="44E03581">
                  <w:pPr>
                    <w:widowControl/>
                    <w:jc w:val="center"/>
                    <w:rPr>
                      <w:rFonts w:ascii="Times New Roman" w:hAnsi="Times New Roman" w:eastAsia="宋体" w:cs="Times New Roman"/>
                    </w:rPr>
                  </w:pPr>
                  <w:r>
                    <w:rPr>
                      <w:rFonts w:ascii="Times New Roman" w:hAnsi="Times New Roman" w:eastAsia="宋体" w:cs="Times New Roman"/>
                    </w:rPr>
                    <w:t>6</w:t>
                  </w:r>
                </w:p>
              </w:tc>
              <w:tc>
                <w:tcPr>
                  <w:tcW w:w="823" w:type="pct"/>
                  <w:tcBorders>
                    <w:top w:val="single" w:color="auto" w:sz="6" w:space="0"/>
                    <w:left w:val="single" w:color="auto" w:sz="6" w:space="0"/>
                    <w:bottom w:val="single" w:color="auto" w:sz="6" w:space="0"/>
                    <w:right w:val="single" w:color="auto" w:sz="6" w:space="0"/>
                  </w:tcBorders>
                  <w:vAlign w:val="center"/>
                </w:tcPr>
                <w:p w14:paraId="687171B9">
                  <w:pPr>
                    <w:widowControl/>
                    <w:jc w:val="center"/>
                    <w:rPr>
                      <w:rFonts w:ascii="Times New Roman" w:hAnsi="Times New Roman" w:eastAsia="宋体" w:cs="Times New Roman"/>
                    </w:rPr>
                  </w:pPr>
                  <w:r>
                    <w:rPr>
                      <w:rFonts w:ascii="Times New Roman" w:hAnsi="Times New Roman" w:eastAsia="宋体" w:cs="Times New Roman"/>
                    </w:rPr>
                    <w:t>80</w:t>
                  </w:r>
                </w:p>
              </w:tc>
              <w:tc>
                <w:tcPr>
                  <w:tcW w:w="979" w:type="pct"/>
                  <w:vMerge w:val="continue"/>
                  <w:tcBorders>
                    <w:left w:val="single" w:color="auto" w:sz="6" w:space="0"/>
                    <w:right w:val="single" w:color="auto" w:sz="12" w:space="0"/>
                  </w:tcBorders>
                  <w:vAlign w:val="center"/>
                </w:tcPr>
                <w:p w14:paraId="6324BA92">
                  <w:pPr>
                    <w:jc w:val="center"/>
                    <w:rPr>
                      <w:rFonts w:ascii="Times New Roman" w:hAnsi="Times New Roman" w:eastAsia="宋体" w:cs="Times New Roman"/>
                    </w:rPr>
                  </w:pPr>
                </w:p>
              </w:tc>
            </w:tr>
            <w:tr w14:paraId="75488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5A117F97">
                  <w:pPr>
                    <w:widowControl/>
                    <w:jc w:val="center"/>
                    <w:rPr>
                      <w:rFonts w:ascii="Times New Roman" w:hAnsi="Times New Roman" w:eastAsia="宋体" w:cs="Times New Roman"/>
                    </w:rPr>
                  </w:pPr>
                  <w:r>
                    <w:rPr>
                      <w:rFonts w:ascii="Times New Roman" w:hAnsi="Times New Roman" w:eastAsia="宋体" w:cs="Times New Roman"/>
                    </w:rPr>
                    <w:t>3</w:t>
                  </w:r>
                </w:p>
              </w:tc>
              <w:tc>
                <w:tcPr>
                  <w:tcW w:w="1597" w:type="pct"/>
                  <w:tcBorders>
                    <w:top w:val="single" w:color="auto" w:sz="6" w:space="0"/>
                    <w:left w:val="single" w:color="auto" w:sz="6" w:space="0"/>
                    <w:bottom w:val="single" w:color="auto" w:sz="6" w:space="0"/>
                    <w:right w:val="single" w:color="auto" w:sz="6" w:space="0"/>
                  </w:tcBorders>
                  <w:vAlign w:val="center"/>
                </w:tcPr>
                <w:p w14:paraId="6C58A39D">
                  <w:pPr>
                    <w:jc w:val="center"/>
                    <w:rPr>
                      <w:rFonts w:ascii="Times New Roman" w:hAnsi="Times New Roman" w:eastAsia="宋体" w:cs="Times New Roman"/>
                      <w:szCs w:val="21"/>
                    </w:rPr>
                  </w:pPr>
                  <w:r>
                    <w:rPr>
                      <w:rFonts w:hint="eastAsia" w:ascii="Times New Roman" w:hAnsi="Times New Roman" w:eastAsia="宋体" w:cs="Times New Roman"/>
                      <w:szCs w:val="21"/>
                    </w:rPr>
                    <w:t>斗提机</w:t>
                  </w:r>
                </w:p>
              </w:tc>
              <w:tc>
                <w:tcPr>
                  <w:tcW w:w="902" w:type="pct"/>
                  <w:tcBorders>
                    <w:top w:val="single" w:color="auto" w:sz="6" w:space="0"/>
                    <w:left w:val="single" w:color="auto" w:sz="6" w:space="0"/>
                    <w:bottom w:val="single" w:color="auto" w:sz="6" w:space="0"/>
                    <w:right w:val="single" w:color="auto" w:sz="6" w:space="0"/>
                  </w:tcBorders>
                  <w:vAlign w:val="center"/>
                </w:tcPr>
                <w:p w14:paraId="1F899D1F">
                  <w:pPr>
                    <w:widowControl/>
                    <w:jc w:val="center"/>
                    <w:rPr>
                      <w:rFonts w:ascii="Times New Roman" w:hAnsi="Times New Roman" w:eastAsia="宋体" w:cs="Times New Roman"/>
                    </w:rPr>
                  </w:pPr>
                  <w:r>
                    <w:rPr>
                      <w:rFonts w:ascii="Times New Roman" w:hAnsi="Times New Roman" w:eastAsia="宋体" w:cs="Times New Roman"/>
                    </w:rPr>
                    <w:t>6</w:t>
                  </w:r>
                </w:p>
              </w:tc>
              <w:tc>
                <w:tcPr>
                  <w:tcW w:w="823" w:type="pct"/>
                  <w:tcBorders>
                    <w:top w:val="single" w:color="auto" w:sz="6" w:space="0"/>
                    <w:left w:val="single" w:color="auto" w:sz="6" w:space="0"/>
                    <w:bottom w:val="single" w:color="auto" w:sz="6" w:space="0"/>
                    <w:right w:val="single" w:color="auto" w:sz="6" w:space="0"/>
                  </w:tcBorders>
                  <w:vAlign w:val="center"/>
                </w:tcPr>
                <w:p w14:paraId="7D5D7511">
                  <w:pPr>
                    <w:widowControl/>
                    <w:jc w:val="center"/>
                    <w:rPr>
                      <w:rFonts w:ascii="Times New Roman" w:hAnsi="Times New Roman" w:eastAsia="宋体" w:cs="Times New Roman"/>
                    </w:rPr>
                  </w:pPr>
                  <w:r>
                    <w:rPr>
                      <w:rFonts w:ascii="Times New Roman" w:hAnsi="Times New Roman" w:eastAsia="宋体" w:cs="Times New Roman"/>
                    </w:rPr>
                    <w:t>80</w:t>
                  </w:r>
                </w:p>
              </w:tc>
              <w:tc>
                <w:tcPr>
                  <w:tcW w:w="979" w:type="pct"/>
                  <w:vMerge w:val="continue"/>
                  <w:tcBorders>
                    <w:left w:val="single" w:color="auto" w:sz="6" w:space="0"/>
                    <w:right w:val="single" w:color="auto" w:sz="12" w:space="0"/>
                  </w:tcBorders>
                  <w:vAlign w:val="center"/>
                </w:tcPr>
                <w:p w14:paraId="0560FFF8">
                  <w:pPr>
                    <w:jc w:val="center"/>
                    <w:rPr>
                      <w:rFonts w:ascii="Times New Roman" w:hAnsi="Times New Roman" w:eastAsia="宋体" w:cs="Times New Roman"/>
                    </w:rPr>
                  </w:pPr>
                </w:p>
              </w:tc>
            </w:tr>
            <w:tr w14:paraId="0C1F4B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7B0BA09A">
                  <w:pPr>
                    <w:widowControl/>
                    <w:jc w:val="center"/>
                    <w:rPr>
                      <w:rFonts w:ascii="Times New Roman" w:hAnsi="Times New Roman" w:eastAsia="宋体" w:cs="Times New Roman"/>
                    </w:rPr>
                  </w:pPr>
                  <w:r>
                    <w:rPr>
                      <w:rFonts w:ascii="Times New Roman" w:hAnsi="Times New Roman" w:eastAsia="宋体" w:cs="Times New Roman"/>
                    </w:rPr>
                    <w:t>4</w:t>
                  </w:r>
                </w:p>
              </w:tc>
              <w:tc>
                <w:tcPr>
                  <w:tcW w:w="1597" w:type="pct"/>
                  <w:tcBorders>
                    <w:top w:val="single" w:color="auto" w:sz="6" w:space="0"/>
                    <w:left w:val="single" w:color="auto" w:sz="6" w:space="0"/>
                    <w:bottom w:val="single" w:color="auto" w:sz="6" w:space="0"/>
                    <w:right w:val="single" w:color="auto" w:sz="6" w:space="0"/>
                  </w:tcBorders>
                  <w:vAlign w:val="center"/>
                </w:tcPr>
                <w:p w14:paraId="081D325A">
                  <w:pPr>
                    <w:widowControl/>
                    <w:jc w:val="center"/>
                    <w:rPr>
                      <w:rFonts w:ascii="Times New Roman" w:hAnsi="Times New Roman" w:eastAsia="宋体" w:cs="Times New Roman"/>
                    </w:rPr>
                  </w:pPr>
                  <w:r>
                    <w:rPr>
                      <w:rFonts w:ascii="Times New Roman" w:hAnsi="Times New Roman" w:eastAsia="宋体" w:cs="Times New Roman"/>
                    </w:rPr>
                    <w:t>劈裂磨机</w:t>
                  </w:r>
                </w:p>
              </w:tc>
              <w:tc>
                <w:tcPr>
                  <w:tcW w:w="902" w:type="pct"/>
                  <w:tcBorders>
                    <w:top w:val="single" w:color="auto" w:sz="6" w:space="0"/>
                    <w:left w:val="single" w:color="auto" w:sz="6" w:space="0"/>
                    <w:bottom w:val="single" w:color="auto" w:sz="6" w:space="0"/>
                    <w:right w:val="single" w:color="auto" w:sz="6" w:space="0"/>
                  </w:tcBorders>
                  <w:vAlign w:val="center"/>
                </w:tcPr>
                <w:p w14:paraId="63216AA7">
                  <w:pPr>
                    <w:widowControl/>
                    <w:jc w:val="center"/>
                    <w:rPr>
                      <w:rFonts w:ascii="Times New Roman" w:hAnsi="Times New Roman" w:eastAsia="宋体" w:cs="Times New Roman"/>
                    </w:rPr>
                  </w:pPr>
                  <w:r>
                    <w:rPr>
                      <w:rFonts w:ascii="Times New Roman" w:hAnsi="Times New Roman" w:eastAsia="宋体" w:cs="Times New Roman"/>
                    </w:rPr>
                    <w:t>3</w:t>
                  </w:r>
                </w:p>
              </w:tc>
              <w:tc>
                <w:tcPr>
                  <w:tcW w:w="823" w:type="pct"/>
                  <w:tcBorders>
                    <w:top w:val="single" w:color="auto" w:sz="6" w:space="0"/>
                    <w:left w:val="single" w:color="auto" w:sz="6" w:space="0"/>
                    <w:bottom w:val="single" w:color="auto" w:sz="6" w:space="0"/>
                    <w:right w:val="single" w:color="auto" w:sz="6" w:space="0"/>
                  </w:tcBorders>
                  <w:vAlign w:val="center"/>
                </w:tcPr>
                <w:p w14:paraId="14057F35">
                  <w:pPr>
                    <w:widowControl/>
                    <w:jc w:val="center"/>
                    <w:rPr>
                      <w:rFonts w:ascii="Times New Roman" w:hAnsi="Times New Roman" w:eastAsia="宋体" w:cs="Times New Roman"/>
                    </w:rPr>
                  </w:pPr>
                  <w:r>
                    <w:rPr>
                      <w:rFonts w:ascii="Times New Roman" w:hAnsi="Times New Roman" w:eastAsia="宋体" w:cs="Times New Roman"/>
                    </w:rPr>
                    <w:t>95</w:t>
                  </w:r>
                </w:p>
              </w:tc>
              <w:tc>
                <w:tcPr>
                  <w:tcW w:w="979" w:type="pct"/>
                  <w:vMerge w:val="continue"/>
                  <w:tcBorders>
                    <w:left w:val="single" w:color="auto" w:sz="6" w:space="0"/>
                    <w:right w:val="single" w:color="auto" w:sz="12" w:space="0"/>
                  </w:tcBorders>
                  <w:vAlign w:val="center"/>
                </w:tcPr>
                <w:p w14:paraId="31EDD55E">
                  <w:pPr>
                    <w:jc w:val="center"/>
                    <w:rPr>
                      <w:rFonts w:ascii="Times New Roman" w:hAnsi="Times New Roman" w:eastAsia="宋体" w:cs="Times New Roman"/>
                    </w:rPr>
                  </w:pPr>
                </w:p>
              </w:tc>
            </w:tr>
            <w:tr w14:paraId="00B934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278FB5CD">
                  <w:pPr>
                    <w:widowControl/>
                    <w:jc w:val="center"/>
                    <w:rPr>
                      <w:rFonts w:ascii="Times New Roman" w:hAnsi="Times New Roman" w:eastAsia="宋体" w:cs="Times New Roman"/>
                    </w:rPr>
                  </w:pPr>
                  <w:r>
                    <w:rPr>
                      <w:rFonts w:ascii="Times New Roman" w:hAnsi="Times New Roman" w:eastAsia="宋体" w:cs="Times New Roman"/>
                    </w:rPr>
                    <w:t>5</w:t>
                  </w:r>
                </w:p>
              </w:tc>
              <w:tc>
                <w:tcPr>
                  <w:tcW w:w="1597" w:type="pct"/>
                  <w:tcBorders>
                    <w:top w:val="single" w:color="auto" w:sz="6" w:space="0"/>
                    <w:left w:val="single" w:color="auto" w:sz="6" w:space="0"/>
                    <w:bottom w:val="single" w:color="auto" w:sz="6" w:space="0"/>
                    <w:right w:val="single" w:color="auto" w:sz="6" w:space="0"/>
                  </w:tcBorders>
                  <w:vAlign w:val="center"/>
                </w:tcPr>
                <w:p w14:paraId="4F3E3F28">
                  <w:pPr>
                    <w:widowControl/>
                    <w:jc w:val="center"/>
                    <w:rPr>
                      <w:rFonts w:ascii="Times New Roman" w:hAnsi="Times New Roman" w:eastAsia="宋体" w:cs="Times New Roman"/>
                    </w:rPr>
                  </w:pPr>
                  <w:r>
                    <w:rPr>
                      <w:rFonts w:ascii="Times New Roman" w:hAnsi="Times New Roman" w:eastAsia="宋体" w:cs="Times New Roman"/>
                    </w:rPr>
                    <w:t>摇摆筛</w:t>
                  </w:r>
                </w:p>
              </w:tc>
              <w:tc>
                <w:tcPr>
                  <w:tcW w:w="902" w:type="pct"/>
                  <w:tcBorders>
                    <w:top w:val="single" w:color="auto" w:sz="6" w:space="0"/>
                    <w:left w:val="single" w:color="auto" w:sz="6" w:space="0"/>
                    <w:bottom w:val="single" w:color="auto" w:sz="6" w:space="0"/>
                    <w:right w:val="single" w:color="auto" w:sz="6" w:space="0"/>
                  </w:tcBorders>
                  <w:vAlign w:val="center"/>
                </w:tcPr>
                <w:p w14:paraId="2209B886">
                  <w:pPr>
                    <w:widowControl/>
                    <w:jc w:val="center"/>
                    <w:rPr>
                      <w:rFonts w:ascii="Times New Roman" w:hAnsi="Times New Roman" w:eastAsia="宋体" w:cs="Times New Roman"/>
                    </w:rPr>
                  </w:pPr>
                  <w:r>
                    <w:rPr>
                      <w:rFonts w:ascii="Times New Roman" w:hAnsi="Times New Roman" w:eastAsia="宋体" w:cs="Times New Roman"/>
                    </w:rPr>
                    <w:t>6</w:t>
                  </w:r>
                </w:p>
              </w:tc>
              <w:tc>
                <w:tcPr>
                  <w:tcW w:w="823" w:type="pct"/>
                  <w:tcBorders>
                    <w:top w:val="single" w:color="auto" w:sz="6" w:space="0"/>
                    <w:left w:val="single" w:color="auto" w:sz="6" w:space="0"/>
                    <w:bottom w:val="single" w:color="auto" w:sz="6" w:space="0"/>
                    <w:right w:val="single" w:color="auto" w:sz="6" w:space="0"/>
                  </w:tcBorders>
                  <w:vAlign w:val="center"/>
                </w:tcPr>
                <w:p w14:paraId="69F8C219">
                  <w:pPr>
                    <w:widowControl/>
                    <w:jc w:val="center"/>
                    <w:rPr>
                      <w:rFonts w:ascii="Times New Roman" w:hAnsi="Times New Roman" w:eastAsia="宋体" w:cs="Times New Roman"/>
                    </w:rPr>
                  </w:pPr>
                  <w:r>
                    <w:rPr>
                      <w:rFonts w:ascii="Times New Roman" w:hAnsi="Times New Roman" w:eastAsia="宋体" w:cs="Times New Roman"/>
                    </w:rPr>
                    <w:t>90</w:t>
                  </w:r>
                </w:p>
              </w:tc>
              <w:tc>
                <w:tcPr>
                  <w:tcW w:w="979" w:type="pct"/>
                  <w:vMerge w:val="continue"/>
                  <w:tcBorders>
                    <w:left w:val="single" w:color="auto" w:sz="6" w:space="0"/>
                    <w:right w:val="single" w:color="auto" w:sz="12" w:space="0"/>
                  </w:tcBorders>
                  <w:vAlign w:val="center"/>
                </w:tcPr>
                <w:p w14:paraId="073B159F">
                  <w:pPr>
                    <w:widowControl/>
                    <w:jc w:val="center"/>
                    <w:rPr>
                      <w:rFonts w:ascii="Times New Roman" w:hAnsi="Times New Roman" w:eastAsia="宋体" w:cs="Times New Roman"/>
                    </w:rPr>
                  </w:pPr>
                </w:p>
              </w:tc>
            </w:tr>
            <w:tr w14:paraId="756FCF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5C29883C">
                  <w:pPr>
                    <w:widowControl/>
                    <w:jc w:val="center"/>
                    <w:rPr>
                      <w:rFonts w:ascii="Times New Roman" w:hAnsi="Times New Roman" w:eastAsia="宋体" w:cs="Times New Roman"/>
                    </w:rPr>
                  </w:pPr>
                  <w:r>
                    <w:rPr>
                      <w:rFonts w:ascii="Times New Roman" w:hAnsi="Times New Roman" w:eastAsia="宋体" w:cs="Times New Roman"/>
                    </w:rPr>
                    <w:t>6</w:t>
                  </w:r>
                </w:p>
              </w:tc>
              <w:tc>
                <w:tcPr>
                  <w:tcW w:w="1597" w:type="pct"/>
                  <w:tcBorders>
                    <w:top w:val="single" w:color="auto" w:sz="6" w:space="0"/>
                    <w:left w:val="single" w:color="auto" w:sz="6" w:space="0"/>
                    <w:bottom w:val="single" w:color="auto" w:sz="6" w:space="0"/>
                    <w:right w:val="single" w:color="auto" w:sz="6" w:space="0"/>
                  </w:tcBorders>
                  <w:vAlign w:val="center"/>
                </w:tcPr>
                <w:p w14:paraId="405C4183">
                  <w:pPr>
                    <w:widowControl/>
                    <w:jc w:val="center"/>
                    <w:rPr>
                      <w:rFonts w:ascii="Times New Roman" w:hAnsi="Times New Roman" w:eastAsia="宋体" w:cs="Times New Roman"/>
                    </w:rPr>
                  </w:pPr>
                  <w:r>
                    <w:rPr>
                      <w:rFonts w:hint="eastAsia" w:ascii="Times New Roman" w:hAnsi="Times New Roman" w:eastAsia="宋体" w:cs="Times New Roman"/>
                      <w:szCs w:val="21"/>
                    </w:rPr>
                    <w:t>安全筛</w:t>
                  </w:r>
                </w:p>
              </w:tc>
              <w:tc>
                <w:tcPr>
                  <w:tcW w:w="902" w:type="pct"/>
                  <w:tcBorders>
                    <w:top w:val="single" w:color="auto" w:sz="6" w:space="0"/>
                    <w:left w:val="single" w:color="auto" w:sz="6" w:space="0"/>
                    <w:bottom w:val="single" w:color="auto" w:sz="6" w:space="0"/>
                    <w:right w:val="single" w:color="auto" w:sz="6" w:space="0"/>
                  </w:tcBorders>
                  <w:vAlign w:val="center"/>
                </w:tcPr>
                <w:p w14:paraId="2E4A0A1E">
                  <w:pPr>
                    <w:widowControl/>
                    <w:jc w:val="center"/>
                    <w:rPr>
                      <w:rFonts w:ascii="Times New Roman" w:hAnsi="Times New Roman" w:eastAsia="宋体" w:cs="Times New Roman"/>
                    </w:rPr>
                  </w:pPr>
                  <w:r>
                    <w:rPr>
                      <w:rFonts w:ascii="Times New Roman" w:hAnsi="Times New Roman" w:eastAsia="宋体" w:cs="Times New Roman"/>
                    </w:rPr>
                    <w:t>3</w:t>
                  </w:r>
                </w:p>
              </w:tc>
              <w:tc>
                <w:tcPr>
                  <w:tcW w:w="823" w:type="pct"/>
                  <w:tcBorders>
                    <w:top w:val="single" w:color="auto" w:sz="6" w:space="0"/>
                    <w:left w:val="single" w:color="auto" w:sz="6" w:space="0"/>
                    <w:bottom w:val="single" w:color="auto" w:sz="6" w:space="0"/>
                    <w:right w:val="single" w:color="auto" w:sz="6" w:space="0"/>
                  </w:tcBorders>
                  <w:vAlign w:val="center"/>
                </w:tcPr>
                <w:p w14:paraId="6972FE55">
                  <w:pPr>
                    <w:widowControl/>
                    <w:jc w:val="center"/>
                    <w:rPr>
                      <w:rFonts w:ascii="Times New Roman" w:hAnsi="Times New Roman" w:eastAsia="宋体" w:cs="Times New Roman"/>
                    </w:rPr>
                  </w:pPr>
                  <w:r>
                    <w:rPr>
                      <w:rFonts w:ascii="Times New Roman" w:hAnsi="Times New Roman" w:eastAsia="宋体" w:cs="Times New Roman"/>
                    </w:rPr>
                    <w:t>85</w:t>
                  </w:r>
                </w:p>
              </w:tc>
              <w:tc>
                <w:tcPr>
                  <w:tcW w:w="979" w:type="pct"/>
                  <w:vMerge w:val="continue"/>
                  <w:tcBorders>
                    <w:left w:val="single" w:color="auto" w:sz="6" w:space="0"/>
                    <w:right w:val="single" w:color="auto" w:sz="12" w:space="0"/>
                  </w:tcBorders>
                  <w:vAlign w:val="center"/>
                </w:tcPr>
                <w:p w14:paraId="7B93F01F">
                  <w:pPr>
                    <w:widowControl/>
                    <w:jc w:val="center"/>
                    <w:rPr>
                      <w:rFonts w:ascii="Times New Roman" w:hAnsi="Times New Roman" w:eastAsia="宋体" w:cs="Times New Roman"/>
                    </w:rPr>
                  </w:pPr>
                </w:p>
              </w:tc>
            </w:tr>
            <w:tr w14:paraId="32111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12" w:space="0"/>
                    <w:right w:val="single" w:color="auto" w:sz="6" w:space="0"/>
                  </w:tcBorders>
                  <w:vAlign w:val="center"/>
                </w:tcPr>
                <w:p w14:paraId="5D65D319">
                  <w:pPr>
                    <w:widowControl/>
                    <w:jc w:val="center"/>
                    <w:rPr>
                      <w:rFonts w:ascii="Times New Roman" w:hAnsi="Times New Roman" w:eastAsia="宋体" w:cs="Times New Roman"/>
                    </w:rPr>
                  </w:pPr>
                  <w:r>
                    <w:rPr>
                      <w:rFonts w:ascii="Times New Roman" w:hAnsi="Times New Roman" w:eastAsia="宋体" w:cs="Times New Roman"/>
                    </w:rPr>
                    <w:t>7</w:t>
                  </w:r>
                </w:p>
              </w:tc>
              <w:tc>
                <w:tcPr>
                  <w:tcW w:w="1597" w:type="pct"/>
                  <w:tcBorders>
                    <w:top w:val="single" w:color="auto" w:sz="6" w:space="0"/>
                    <w:left w:val="single" w:color="auto" w:sz="6" w:space="0"/>
                    <w:bottom w:val="single" w:color="auto" w:sz="12" w:space="0"/>
                    <w:right w:val="single" w:color="auto" w:sz="6" w:space="0"/>
                  </w:tcBorders>
                  <w:vAlign w:val="center"/>
                </w:tcPr>
                <w:p w14:paraId="26604FA8">
                  <w:pPr>
                    <w:widowControl/>
                    <w:jc w:val="center"/>
                    <w:rPr>
                      <w:rFonts w:ascii="Times New Roman" w:hAnsi="Times New Roman" w:eastAsia="宋体" w:cs="Times New Roman"/>
                    </w:rPr>
                  </w:pPr>
                  <w:r>
                    <w:rPr>
                      <w:rFonts w:ascii="Times New Roman" w:hAnsi="Times New Roman" w:eastAsia="宋体" w:cs="Times New Roman"/>
                    </w:rPr>
                    <w:t>脉冲</w:t>
                  </w:r>
                  <w:r>
                    <w:rPr>
                      <w:rFonts w:hint="eastAsia" w:ascii="Times New Roman" w:hAnsi="Times New Roman" w:eastAsia="宋体" w:cs="Times New Roman"/>
                    </w:rPr>
                    <w:t>布袋除尘</w:t>
                  </w:r>
                  <w:r>
                    <w:rPr>
                      <w:rFonts w:ascii="Times New Roman" w:hAnsi="Times New Roman" w:eastAsia="宋体" w:cs="Times New Roman"/>
                    </w:rPr>
                    <w:t>器</w:t>
                  </w:r>
                </w:p>
              </w:tc>
              <w:tc>
                <w:tcPr>
                  <w:tcW w:w="902" w:type="pct"/>
                  <w:tcBorders>
                    <w:top w:val="single" w:color="auto" w:sz="6" w:space="0"/>
                    <w:left w:val="single" w:color="auto" w:sz="6" w:space="0"/>
                    <w:bottom w:val="single" w:color="auto" w:sz="12" w:space="0"/>
                    <w:right w:val="single" w:color="auto" w:sz="6" w:space="0"/>
                  </w:tcBorders>
                  <w:vAlign w:val="center"/>
                </w:tcPr>
                <w:p w14:paraId="57DCB73F">
                  <w:pPr>
                    <w:widowControl/>
                    <w:jc w:val="center"/>
                    <w:rPr>
                      <w:rFonts w:ascii="Times New Roman" w:hAnsi="Times New Roman" w:eastAsia="宋体" w:cs="Times New Roman"/>
                    </w:rPr>
                  </w:pPr>
                  <w:r>
                    <w:rPr>
                      <w:rFonts w:ascii="Times New Roman" w:hAnsi="Times New Roman" w:eastAsia="宋体" w:cs="Times New Roman"/>
                    </w:rPr>
                    <w:t>4</w:t>
                  </w:r>
                </w:p>
              </w:tc>
              <w:tc>
                <w:tcPr>
                  <w:tcW w:w="823" w:type="pct"/>
                  <w:tcBorders>
                    <w:top w:val="single" w:color="auto" w:sz="6" w:space="0"/>
                    <w:left w:val="single" w:color="auto" w:sz="6" w:space="0"/>
                    <w:bottom w:val="single" w:color="auto" w:sz="12" w:space="0"/>
                    <w:right w:val="single" w:color="auto" w:sz="6" w:space="0"/>
                  </w:tcBorders>
                  <w:vAlign w:val="center"/>
                </w:tcPr>
                <w:p w14:paraId="496ED636">
                  <w:pPr>
                    <w:widowControl/>
                    <w:jc w:val="center"/>
                    <w:rPr>
                      <w:rFonts w:ascii="Times New Roman" w:hAnsi="Times New Roman" w:eastAsia="宋体" w:cs="Times New Roman"/>
                    </w:rPr>
                  </w:pPr>
                  <w:r>
                    <w:rPr>
                      <w:rFonts w:ascii="Times New Roman" w:hAnsi="Times New Roman" w:eastAsia="宋体" w:cs="Times New Roman"/>
                    </w:rPr>
                    <w:t>85</w:t>
                  </w:r>
                </w:p>
              </w:tc>
              <w:tc>
                <w:tcPr>
                  <w:tcW w:w="979" w:type="pct"/>
                  <w:vMerge w:val="continue"/>
                  <w:tcBorders>
                    <w:left w:val="single" w:color="auto" w:sz="6" w:space="0"/>
                    <w:bottom w:val="single" w:color="auto" w:sz="12" w:space="0"/>
                    <w:right w:val="single" w:color="auto" w:sz="12" w:space="0"/>
                  </w:tcBorders>
                  <w:vAlign w:val="center"/>
                </w:tcPr>
                <w:p w14:paraId="3C1CA5CB">
                  <w:pPr>
                    <w:widowControl/>
                    <w:jc w:val="center"/>
                    <w:rPr>
                      <w:rFonts w:ascii="Times New Roman" w:hAnsi="Times New Roman" w:eastAsia="宋体" w:cs="Times New Roman"/>
                    </w:rPr>
                  </w:pPr>
                </w:p>
              </w:tc>
            </w:tr>
          </w:tbl>
          <w:p w14:paraId="55B354D7">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为了减轻设备运行产生的噪声对周围环境的影响，建设方拟采取如下降噪措施：</w:t>
            </w:r>
          </w:p>
          <w:p w14:paraId="5BCAA6B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设备减震降噪措施，购买的设备均为低噪声的设备，各生产设备设置台基减震、橡胶减震、接头及减震垫等减震设施。并对厂房进行整体封闭，降低设备的运行噪声。在生产运转时定期对设备进行检查，保证设备正常运转。</w:t>
            </w:r>
          </w:p>
          <w:p w14:paraId="086B199F">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（2）合理布局，所有产噪设备均布置在厂房车间内，</w:t>
            </w:r>
            <w:r>
              <w:rPr>
                <w:rFonts w:hint="eastAsia" w:ascii="Times New Roman" w:hAnsi="Times New Roman" w:eastAsia="宋体" w:cs="Times New Roman"/>
                <w:sz w:val="24"/>
              </w:rPr>
              <w:t>将高噪声的鄂式破碎机、振动筛、磨粉机等设备进行基础减震，破碎机采用地埋式安装，磨粉机安装消声器等措施</w:t>
            </w:r>
            <w:r>
              <w:rPr>
                <w:rFonts w:ascii="Times New Roman" w:hAnsi="Times New Roman" w:eastAsia="宋体" w:cs="Times New Roman"/>
                <w:sz w:val="24"/>
              </w:rPr>
              <w:t>，利用厂房进行隔声减少对周边环境的影响。</w:t>
            </w:r>
          </w:p>
          <w:p w14:paraId="0FC29965">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（3）加强管理，建立设备定期维护，保养的管理制度，以防止设备故障形成的非正常生产噪声，同时确保环保措施发挥最佳有效的功能。加强职工环保意识教育，提倡文明生产，防止人为噪声。</w:t>
            </w:r>
            <w:r>
              <w:rPr>
                <w:rFonts w:hint="eastAsia" w:ascii="Times New Roman" w:hAnsi="Times New Roman" w:eastAsia="宋体" w:cs="Times New Roman"/>
                <w:b/>
                <w:bCs/>
                <w:sz w:val="24"/>
              </w:rPr>
              <w:t>同时，环评要求项目夜间不生产。</w:t>
            </w:r>
          </w:p>
          <w:p w14:paraId="378366BF">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综上所述，在严格采取上述隔声降噪措施后，经其距离衰减、厂界围墙隔声后，其厂界噪声可达到《工业企业厂界环境噪声排放标准》（GB 12348-2008）中</w:t>
            </w:r>
            <w:r>
              <w:rPr>
                <w:rFonts w:hint="eastAsia" w:ascii="Times New Roman" w:hAnsi="Times New Roman" w:eastAsia="宋体" w:cs="Times New Roman"/>
                <w:sz w:val="24"/>
              </w:rPr>
              <w:t>3</w:t>
            </w:r>
            <w:r>
              <w:rPr>
                <w:rFonts w:ascii="Times New Roman" w:hAnsi="Times New Roman" w:eastAsia="宋体" w:cs="Times New Roman"/>
                <w:sz w:val="24"/>
              </w:rPr>
              <w:t>类标准昼间65dB（A）、夜间55dB（A）的要求，从而实现达标排放。</w:t>
            </w:r>
          </w:p>
          <w:p w14:paraId="470989EC">
            <w:pPr>
              <w:tabs>
                <w:tab w:val="left" w:pos="5670"/>
              </w:tabs>
              <w:spacing w:line="480" w:lineRule="exact"/>
              <w:ind w:firstLine="569" w:firstLineChars="236"/>
              <w:rPr>
                <w:rFonts w:ascii="Times New Roman" w:hAnsi="Times New Roman" w:eastAsia="宋体" w:cs="Times New Roman"/>
                <w:b/>
                <w:sz w:val="24"/>
              </w:rPr>
            </w:pPr>
            <w:r>
              <w:rPr>
                <w:rFonts w:ascii="Times New Roman" w:hAnsi="Times New Roman" w:eastAsia="宋体" w:cs="Times New Roman"/>
                <w:b/>
                <w:sz w:val="24"/>
              </w:rPr>
              <w:t>4、固体废弃物的产生及处置</w:t>
            </w:r>
          </w:p>
          <w:p w14:paraId="53FD0916">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项目运营产生的固废主要为生活垃圾、</w:t>
            </w:r>
            <w:r>
              <w:rPr>
                <w:rFonts w:hint="eastAsia" w:ascii="Times New Roman" w:hAnsi="Times New Roman" w:eastAsia="宋体" w:cs="Times New Roman"/>
                <w:sz w:val="24"/>
                <w:szCs w:val="24"/>
              </w:rPr>
              <w:t>磁选废铁渣、除尘粉尘、二级生化处理设施污泥、废机油</w:t>
            </w:r>
            <w:r>
              <w:rPr>
                <w:rFonts w:ascii="Times New Roman" w:hAnsi="Times New Roman" w:eastAsia="宋体" w:cs="Times New Roman"/>
                <w:sz w:val="24"/>
                <w:szCs w:val="24"/>
              </w:rPr>
              <w:t>，产生情况如下：</w:t>
            </w:r>
          </w:p>
          <w:p w14:paraId="2D526F7A">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（1）一般工业固废</w:t>
            </w:r>
          </w:p>
          <w:p w14:paraId="4E8B7708">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hint="eastAsia" w:ascii="Times New Roman" w:hAnsi="Times New Roman" w:eastAsia="宋体" w:cs="Times New Roman"/>
                <w:sz w:val="24"/>
                <w:szCs w:val="24"/>
              </w:rPr>
              <w:t>磁选废铁渣</w:t>
            </w:r>
          </w:p>
          <w:p w14:paraId="57625455">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项目生产过程中除铁工序将产生少量废铁渣，根据建设单位提供的资料，磁选废铁渣产量约为5t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a，废铁渣暂存于废料堆场，由废品回收公司回收处理。</w:t>
            </w:r>
          </w:p>
          <w:p w14:paraId="724A2654">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②除尘粉尘</w:t>
            </w:r>
          </w:p>
          <w:p w14:paraId="21AD6279">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项目破碎、筛分、粉磨等粉尘均由脉冲式布袋除尘器吸收除尘，产生的粉尘经收集后作为产品外售，根据计算其产生量为</w:t>
            </w:r>
            <w:r>
              <w:rPr>
                <w:rFonts w:ascii="Times New Roman" w:hAnsi="Times New Roman" w:eastAsia="宋体" w:cs="Times New Roman"/>
                <w:sz w:val="24"/>
                <w:szCs w:val="24"/>
              </w:rPr>
              <w:t>28.443</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p>
          <w:p w14:paraId="13A77C79">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③二级生化处理设施污泥</w:t>
            </w:r>
          </w:p>
          <w:p w14:paraId="1B5EF07F">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项目生活污水通过二级生化处理设施收集处理，其污泥定期自行清掏。</w:t>
            </w:r>
          </w:p>
          <w:p w14:paraId="243CF701">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（2）生活垃圾</w:t>
            </w:r>
          </w:p>
          <w:p w14:paraId="51DCA40C">
            <w:pPr>
              <w:pStyle w:val="9"/>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项目生活垃圾由项目员工共20人，人均垃圾产生量以0.5kg/d计算，则垃圾产生量为10kg/d，3t/a。生活垃圾采用垃圾桶收集后，</w:t>
            </w:r>
            <w:r>
              <w:rPr>
                <w:rFonts w:hint="eastAsia" w:ascii="Times New Roman" w:hAnsi="Times New Roman" w:eastAsia="宋体" w:cs="Times New Roman"/>
                <w:sz w:val="24"/>
                <w:szCs w:val="24"/>
              </w:rPr>
              <w:t>自行清运至垃圾收集点，</w:t>
            </w:r>
            <w:r>
              <w:rPr>
                <w:rFonts w:ascii="Times New Roman" w:hAnsi="Times New Roman" w:eastAsia="宋体" w:cs="Times New Roman"/>
                <w:sz w:val="24"/>
                <w:szCs w:val="24"/>
              </w:rPr>
              <w:t>定期由环卫部门统一清运处理。</w:t>
            </w:r>
          </w:p>
          <w:p w14:paraId="188E5387">
            <w:pPr>
              <w:pStyle w:val="9"/>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（3）危险固废</w:t>
            </w:r>
          </w:p>
          <w:p w14:paraId="27271C7D">
            <w:pPr>
              <w:pStyle w:val="9"/>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项目设备维修维护过程中会产生少量的废机油，产生量约为0</w:t>
            </w:r>
            <w:r>
              <w:rPr>
                <w:rFonts w:ascii="Times New Roman" w:hAnsi="Times New Roman" w:eastAsia="宋体" w:cs="Times New Roman"/>
                <w:sz w:val="24"/>
                <w:szCs w:val="24"/>
              </w:rPr>
              <w:t>.2</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a，废机油为危险废物，暂存于危废暂存间，定期交由有资质的单位处理。</w:t>
            </w:r>
          </w:p>
          <w:p w14:paraId="227CB4F7">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本项目固废属性判断见表5-8。</w:t>
            </w:r>
          </w:p>
          <w:p w14:paraId="25371B22">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表5-8  本项目固废属性判定一览表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700"/>
              <w:gridCol w:w="788"/>
              <w:gridCol w:w="504"/>
              <w:gridCol w:w="773"/>
              <w:gridCol w:w="1004"/>
              <w:gridCol w:w="686"/>
              <w:gridCol w:w="523"/>
              <w:gridCol w:w="1943"/>
              <w:gridCol w:w="934"/>
            </w:tblGrid>
            <w:tr w14:paraId="3126C1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vMerge w:val="restart"/>
                  <w:shd w:val="clear" w:color="auto" w:fill="auto"/>
                  <w:vAlign w:val="center"/>
                </w:tcPr>
                <w:p w14:paraId="4E18B20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720" w:type="dxa"/>
                  <w:vMerge w:val="restart"/>
                  <w:shd w:val="clear" w:color="auto" w:fill="auto"/>
                  <w:vAlign w:val="center"/>
                </w:tcPr>
                <w:p w14:paraId="2473A09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固废名称</w:t>
                  </w:r>
                </w:p>
              </w:tc>
              <w:tc>
                <w:tcPr>
                  <w:tcW w:w="814" w:type="dxa"/>
                  <w:vMerge w:val="restart"/>
                  <w:shd w:val="clear" w:color="auto" w:fill="auto"/>
                  <w:vAlign w:val="center"/>
                </w:tcPr>
                <w:p w14:paraId="02E4DB7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产生工序</w:t>
                  </w:r>
                </w:p>
              </w:tc>
              <w:tc>
                <w:tcPr>
                  <w:tcW w:w="510" w:type="dxa"/>
                  <w:vMerge w:val="restart"/>
                  <w:shd w:val="clear" w:color="auto" w:fill="auto"/>
                  <w:vAlign w:val="center"/>
                </w:tcPr>
                <w:p w14:paraId="20C3009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形态</w:t>
                  </w:r>
                </w:p>
              </w:tc>
              <w:tc>
                <w:tcPr>
                  <w:tcW w:w="783" w:type="dxa"/>
                  <w:vMerge w:val="restart"/>
                  <w:shd w:val="clear" w:color="auto" w:fill="auto"/>
                  <w:vAlign w:val="center"/>
                </w:tcPr>
                <w:p w14:paraId="73FACE2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主要成分</w:t>
                  </w:r>
                </w:p>
              </w:tc>
              <w:tc>
                <w:tcPr>
                  <w:tcW w:w="899" w:type="dxa"/>
                  <w:vMerge w:val="restart"/>
                  <w:shd w:val="clear" w:color="auto" w:fill="auto"/>
                  <w:vAlign w:val="center"/>
                </w:tcPr>
                <w:p w14:paraId="77C4174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预测产生量</w:t>
                  </w:r>
                </w:p>
              </w:tc>
              <w:tc>
                <w:tcPr>
                  <w:tcW w:w="3178" w:type="dxa"/>
                  <w:gridSpan w:val="3"/>
                  <w:shd w:val="clear" w:color="auto" w:fill="auto"/>
                  <w:vAlign w:val="center"/>
                </w:tcPr>
                <w:p w14:paraId="38BD8F3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种类判断</w:t>
                  </w:r>
                </w:p>
              </w:tc>
              <w:tc>
                <w:tcPr>
                  <w:tcW w:w="971" w:type="dxa"/>
                  <w:vMerge w:val="restart"/>
                  <w:vAlign w:val="center"/>
                </w:tcPr>
                <w:p w14:paraId="5B2B8F5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最终去向</w:t>
                  </w:r>
                </w:p>
              </w:tc>
            </w:tr>
            <w:tr w14:paraId="333460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vMerge w:val="continue"/>
                  <w:shd w:val="clear" w:color="auto" w:fill="auto"/>
                  <w:vAlign w:val="center"/>
                </w:tcPr>
                <w:p w14:paraId="36CA69F2">
                  <w:pPr>
                    <w:adjustRightInd w:val="0"/>
                    <w:snapToGrid w:val="0"/>
                    <w:jc w:val="center"/>
                    <w:rPr>
                      <w:rFonts w:ascii="Times New Roman" w:hAnsi="Times New Roman" w:eastAsia="宋体" w:cs="Times New Roman"/>
                      <w:szCs w:val="21"/>
                    </w:rPr>
                  </w:pPr>
                </w:p>
              </w:tc>
              <w:tc>
                <w:tcPr>
                  <w:tcW w:w="720" w:type="dxa"/>
                  <w:vMerge w:val="continue"/>
                  <w:shd w:val="clear" w:color="auto" w:fill="auto"/>
                  <w:vAlign w:val="center"/>
                </w:tcPr>
                <w:p w14:paraId="0E4F338C">
                  <w:pPr>
                    <w:adjustRightInd w:val="0"/>
                    <w:snapToGrid w:val="0"/>
                    <w:jc w:val="center"/>
                    <w:rPr>
                      <w:rFonts w:ascii="Times New Roman" w:hAnsi="Times New Roman" w:eastAsia="宋体" w:cs="Times New Roman"/>
                      <w:szCs w:val="21"/>
                    </w:rPr>
                  </w:pPr>
                </w:p>
              </w:tc>
              <w:tc>
                <w:tcPr>
                  <w:tcW w:w="814" w:type="dxa"/>
                  <w:vMerge w:val="continue"/>
                  <w:shd w:val="clear" w:color="auto" w:fill="auto"/>
                  <w:vAlign w:val="center"/>
                </w:tcPr>
                <w:p w14:paraId="0F79320B">
                  <w:pPr>
                    <w:adjustRightInd w:val="0"/>
                    <w:snapToGrid w:val="0"/>
                    <w:jc w:val="center"/>
                    <w:rPr>
                      <w:rFonts w:ascii="Times New Roman" w:hAnsi="Times New Roman" w:eastAsia="宋体" w:cs="Times New Roman"/>
                      <w:szCs w:val="21"/>
                    </w:rPr>
                  </w:pPr>
                </w:p>
              </w:tc>
              <w:tc>
                <w:tcPr>
                  <w:tcW w:w="510" w:type="dxa"/>
                  <w:vMerge w:val="continue"/>
                  <w:shd w:val="clear" w:color="auto" w:fill="auto"/>
                  <w:vAlign w:val="center"/>
                </w:tcPr>
                <w:p w14:paraId="37817B9B">
                  <w:pPr>
                    <w:adjustRightInd w:val="0"/>
                    <w:snapToGrid w:val="0"/>
                    <w:jc w:val="center"/>
                    <w:rPr>
                      <w:rFonts w:ascii="Times New Roman" w:hAnsi="Times New Roman" w:eastAsia="宋体" w:cs="Times New Roman"/>
                      <w:szCs w:val="21"/>
                    </w:rPr>
                  </w:pPr>
                </w:p>
              </w:tc>
              <w:tc>
                <w:tcPr>
                  <w:tcW w:w="783" w:type="dxa"/>
                  <w:vMerge w:val="continue"/>
                  <w:shd w:val="clear" w:color="auto" w:fill="auto"/>
                  <w:vAlign w:val="center"/>
                </w:tcPr>
                <w:p w14:paraId="7D6FB834">
                  <w:pPr>
                    <w:adjustRightInd w:val="0"/>
                    <w:snapToGrid w:val="0"/>
                    <w:jc w:val="center"/>
                    <w:rPr>
                      <w:rFonts w:ascii="Times New Roman" w:hAnsi="Times New Roman" w:eastAsia="宋体" w:cs="Times New Roman"/>
                      <w:szCs w:val="21"/>
                    </w:rPr>
                  </w:pPr>
                </w:p>
              </w:tc>
              <w:tc>
                <w:tcPr>
                  <w:tcW w:w="899" w:type="dxa"/>
                  <w:vMerge w:val="continue"/>
                  <w:shd w:val="clear" w:color="auto" w:fill="auto"/>
                  <w:vAlign w:val="center"/>
                </w:tcPr>
                <w:p w14:paraId="41FAAD5C">
                  <w:pPr>
                    <w:adjustRightInd w:val="0"/>
                    <w:snapToGrid w:val="0"/>
                    <w:jc w:val="center"/>
                    <w:rPr>
                      <w:rFonts w:ascii="Times New Roman" w:hAnsi="Times New Roman" w:eastAsia="宋体" w:cs="Times New Roman"/>
                      <w:szCs w:val="21"/>
                    </w:rPr>
                  </w:pPr>
                </w:p>
              </w:tc>
              <w:tc>
                <w:tcPr>
                  <w:tcW w:w="705" w:type="dxa"/>
                  <w:shd w:val="clear" w:color="auto" w:fill="auto"/>
                  <w:vAlign w:val="center"/>
                </w:tcPr>
                <w:p w14:paraId="48D96FA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固体废物</w:t>
                  </w:r>
                </w:p>
              </w:tc>
              <w:tc>
                <w:tcPr>
                  <w:tcW w:w="530" w:type="dxa"/>
                  <w:shd w:val="clear" w:color="auto" w:fill="auto"/>
                  <w:vAlign w:val="center"/>
                </w:tcPr>
                <w:p w14:paraId="589DFDB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副产品</w:t>
                  </w:r>
                </w:p>
              </w:tc>
              <w:tc>
                <w:tcPr>
                  <w:tcW w:w="1943" w:type="dxa"/>
                  <w:shd w:val="clear" w:color="auto" w:fill="auto"/>
                  <w:vAlign w:val="center"/>
                </w:tcPr>
                <w:p w14:paraId="401C16D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判定依据</w:t>
                  </w:r>
                </w:p>
              </w:tc>
              <w:tc>
                <w:tcPr>
                  <w:tcW w:w="971" w:type="dxa"/>
                  <w:vMerge w:val="continue"/>
                  <w:vAlign w:val="center"/>
                </w:tcPr>
                <w:p w14:paraId="10A55ED9">
                  <w:pPr>
                    <w:adjustRightInd w:val="0"/>
                    <w:snapToGrid w:val="0"/>
                    <w:jc w:val="center"/>
                    <w:rPr>
                      <w:rFonts w:ascii="Times New Roman" w:hAnsi="Times New Roman" w:eastAsia="宋体" w:cs="Times New Roman"/>
                      <w:szCs w:val="21"/>
                    </w:rPr>
                  </w:pPr>
                </w:p>
              </w:tc>
            </w:tr>
            <w:tr w14:paraId="50AE2C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shd w:val="clear" w:color="auto" w:fill="auto"/>
                  <w:vAlign w:val="center"/>
                </w:tcPr>
                <w:p w14:paraId="7B634AB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720" w:type="dxa"/>
                  <w:shd w:val="clear" w:color="auto" w:fill="auto"/>
                  <w:vAlign w:val="center"/>
                </w:tcPr>
                <w:p w14:paraId="2B3780D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磁选废铁渣</w:t>
                  </w:r>
                </w:p>
              </w:tc>
              <w:tc>
                <w:tcPr>
                  <w:tcW w:w="814" w:type="dxa"/>
                  <w:shd w:val="clear" w:color="auto" w:fill="auto"/>
                  <w:vAlign w:val="center"/>
                </w:tcPr>
                <w:p w14:paraId="0B5690E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bCs/>
                      <w:szCs w:val="21"/>
                    </w:rPr>
                    <w:t>除铁</w:t>
                  </w:r>
                </w:p>
              </w:tc>
              <w:tc>
                <w:tcPr>
                  <w:tcW w:w="510" w:type="dxa"/>
                  <w:shd w:val="clear" w:color="auto" w:fill="auto"/>
                  <w:vAlign w:val="center"/>
                </w:tcPr>
                <w:p w14:paraId="1301846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固态</w:t>
                  </w:r>
                </w:p>
              </w:tc>
              <w:tc>
                <w:tcPr>
                  <w:tcW w:w="783" w:type="dxa"/>
                  <w:shd w:val="clear" w:color="auto" w:fill="auto"/>
                  <w:vAlign w:val="center"/>
                </w:tcPr>
                <w:p w14:paraId="3C41036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废铁渣</w:t>
                  </w:r>
                </w:p>
              </w:tc>
              <w:tc>
                <w:tcPr>
                  <w:tcW w:w="899" w:type="dxa"/>
                  <w:shd w:val="clear" w:color="auto" w:fill="auto"/>
                  <w:vAlign w:val="center"/>
                </w:tcPr>
                <w:p w14:paraId="252CC27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5t/a</w:t>
                  </w:r>
                </w:p>
              </w:tc>
              <w:tc>
                <w:tcPr>
                  <w:tcW w:w="705" w:type="dxa"/>
                  <w:shd w:val="clear" w:color="auto" w:fill="auto"/>
                  <w:vAlign w:val="center"/>
                </w:tcPr>
                <w:p w14:paraId="412E0C1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530" w:type="dxa"/>
                  <w:shd w:val="clear" w:color="auto" w:fill="auto"/>
                  <w:vAlign w:val="center"/>
                </w:tcPr>
                <w:p w14:paraId="1E93215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restart"/>
                  <w:shd w:val="clear" w:color="auto" w:fill="auto"/>
                  <w:vAlign w:val="center"/>
                </w:tcPr>
                <w:p w14:paraId="0D7366B8">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《固态废物鉴别标准 通则》（GB34330-2017）</w:t>
                  </w:r>
                </w:p>
              </w:tc>
              <w:tc>
                <w:tcPr>
                  <w:tcW w:w="971" w:type="dxa"/>
                  <w:vAlign w:val="center"/>
                </w:tcPr>
                <w:p w14:paraId="1F385F5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r>
            <w:tr w14:paraId="10565C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shd w:val="clear" w:color="auto" w:fill="auto"/>
                  <w:vAlign w:val="center"/>
                </w:tcPr>
                <w:p w14:paraId="44EC192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720" w:type="dxa"/>
                  <w:shd w:val="clear" w:color="auto" w:fill="auto"/>
                  <w:vAlign w:val="center"/>
                </w:tcPr>
                <w:p w14:paraId="308EFF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除尘粉尘</w:t>
                  </w:r>
                </w:p>
              </w:tc>
              <w:tc>
                <w:tcPr>
                  <w:tcW w:w="814" w:type="dxa"/>
                  <w:shd w:val="clear" w:color="auto" w:fill="auto"/>
                  <w:vAlign w:val="center"/>
                </w:tcPr>
                <w:p w14:paraId="78D9CEE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除尘</w:t>
                  </w:r>
                </w:p>
              </w:tc>
              <w:tc>
                <w:tcPr>
                  <w:tcW w:w="510" w:type="dxa"/>
                  <w:shd w:val="clear" w:color="auto" w:fill="auto"/>
                  <w:vAlign w:val="center"/>
                </w:tcPr>
                <w:p w14:paraId="56E2A8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固态</w:t>
                  </w:r>
                </w:p>
              </w:tc>
              <w:tc>
                <w:tcPr>
                  <w:tcW w:w="783" w:type="dxa"/>
                  <w:shd w:val="clear" w:color="auto" w:fill="auto"/>
                  <w:vAlign w:val="center"/>
                </w:tcPr>
                <w:p w14:paraId="505A3B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硅粉</w:t>
                  </w:r>
                </w:p>
              </w:tc>
              <w:tc>
                <w:tcPr>
                  <w:tcW w:w="899" w:type="dxa"/>
                  <w:shd w:val="clear" w:color="auto" w:fill="auto"/>
                  <w:vAlign w:val="center"/>
                </w:tcPr>
                <w:p w14:paraId="309791B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28.443t/a</w:t>
                  </w:r>
                </w:p>
              </w:tc>
              <w:tc>
                <w:tcPr>
                  <w:tcW w:w="705" w:type="dxa"/>
                  <w:shd w:val="clear" w:color="auto" w:fill="auto"/>
                  <w:vAlign w:val="center"/>
                </w:tcPr>
                <w:p w14:paraId="41BD5A2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530" w:type="dxa"/>
                  <w:shd w:val="clear" w:color="auto" w:fill="auto"/>
                  <w:vAlign w:val="center"/>
                </w:tcPr>
                <w:p w14:paraId="1838EAC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5A94A9BD">
                  <w:pPr>
                    <w:adjustRightInd w:val="0"/>
                    <w:snapToGrid w:val="0"/>
                    <w:jc w:val="center"/>
                    <w:rPr>
                      <w:rFonts w:ascii="Times New Roman" w:hAnsi="Times New Roman" w:eastAsia="宋体" w:cs="Times New Roman"/>
                      <w:szCs w:val="21"/>
                    </w:rPr>
                  </w:pPr>
                </w:p>
              </w:tc>
              <w:tc>
                <w:tcPr>
                  <w:tcW w:w="971" w:type="dxa"/>
                  <w:vAlign w:val="center"/>
                </w:tcPr>
                <w:p w14:paraId="1440AD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作为产品外售</w:t>
                  </w:r>
                </w:p>
              </w:tc>
            </w:tr>
            <w:tr w14:paraId="03956E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shd w:val="clear" w:color="auto" w:fill="auto"/>
                  <w:vAlign w:val="center"/>
                </w:tcPr>
                <w:p w14:paraId="5C243B2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720" w:type="dxa"/>
                  <w:shd w:val="clear" w:color="auto" w:fill="auto"/>
                  <w:vAlign w:val="center"/>
                </w:tcPr>
                <w:p w14:paraId="74FE2F8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二级生化处理设施泥</w:t>
                  </w:r>
                </w:p>
              </w:tc>
              <w:tc>
                <w:tcPr>
                  <w:tcW w:w="814" w:type="dxa"/>
                  <w:shd w:val="clear" w:color="auto" w:fill="auto"/>
                  <w:vAlign w:val="center"/>
                </w:tcPr>
                <w:p w14:paraId="5672C24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bCs/>
                      <w:szCs w:val="21"/>
                    </w:rPr>
                    <w:t>生活污水处理</w:t>
                  </w:r>
                </w:p>
              </w:tc>
              <w:tc>
                <w:tcPr>
                  <w:tcW w:w="510" w:type="dxa"/>
                  <w:shd w:val="clear" w:color="auto" w:fill="auto"/>
                  <w:vAlign w:val="center"/>
                </w:tcPr>
                <w:p w14:paraId="0B95303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固态</w:t>
                  </w:r>
                </w:p>
              </w:tc>
              <w:tc>
                <w:tcPr>
                  <w:tcW w:w="783" w:type="dxa"/>
                  <w:shd w:val="clear" w:color="auto" w:fill="auto"/>
                  <w:vAlign w:val="center"/>
                </w:tcPr>
                <w:p w14:paraId="756837F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污泥</w:t>
                  </w:r>
                </w:p>
              </w:tc>
              <w:tc>
                <w:tcPr>
                  <w:tcW w:w="899" w:type="dxa"/>
                  <w:shd w:val="clear" w:color="auto" w:fill="auto"/>
                  <w:vAlign w:val="center"/>
                </w:tcPr>
                <w:p w14:paraId="3A3844E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.5</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705" w:type="dxa"/>
                  <w:shd w:val="clear" w:color="auto" w:fill="auto"/>
                  <w:vAlign w:val="center"/>
                </w:tcPr>
                <w:p w14:paraId="1BB8AFC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530" w:type="dxa"/>
                  <w:shd w:val="clear" w:color="auto" w:fill="auto"/>
                  <w:vAlign w:val="center"/>
                </w:tcPr>
                <w:p w14:paraId="173C5F4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021FF58C">
                  <w:pPr>
                    <w:adjustRightInd w:val="0"/>
                    <w:snapToGrid w:val="0"/>
                    <w:jc w:val="center"/>
                    <w:rPr>
                      <w:rFonts w:ascii="Times New Roman" w:hAnsi="Times New Roman" w:eastAsia="宋体" w:cs="Times New Roman"/>
                      <w:szCs w:val="21"/>
                    </w:rPr>
                  </w:pPr>
                </w:p>
              </w:tc>
              <w:tc>
                <w:tcPr>
                  <w:tcW w:w="971" w:type="dxa"/>
                  <w:vAlign w:val="center"/>
                </w:tcPr>
                <w:p w14:paraId="1F1BABA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综合利用</w:t>
                  </w:r>
                </w:p>
              </w:tc>
            </w:tr>
            <w:tr w14:paraId="7095D6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7" w:type="dxa"/>
                  <w:shd w:val="clear" w:color="auto" w:fill="auto"/>
                  <w:vAlign w:val="center"/>
                </w:tcPr>
                <w:p w14:paraId="16B387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p>
              </w:tc>
              <w:tc>
                <w:tcPr>
                  <w:tcW w:w="720" w:type="dxa"/>
                  <w:shd w:val="clear" w:color="auto" w:fill="auto"/>
                  <w:vAlign w:val="center"/>
                </w:tcPr>
                <w:p w14:paraId="006BF6A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生活垃圾</w:t>
                  </w:r>
                </w:p>
              </w:tc>
              <w:tc>
                <w:tcPr>
                  <w:tcW w:w="814" w:type="dxa"/>
                  <w:shd w:val="clear" w:color="auto" w:fill="auto"/>
                  <w:vAlign w:val="center"/>
                </w:tcPr>
                <w:p w14:paraId="48E1D143">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办公生活区等</w:t>
                  </w:r>
                </w:p>
              </w:tc>
              <w:tc>
                <w:tcPr>
                  <w:tcW w:w="510" w:type="dxa"/>
                  <w:shd w:val="clear" w:color="auto" w:fill="auto"/>
                  <w:vAlign w:val="center"/>
                </w:tcPr>
                <w:p w14:paraId="1A25CF7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固态</w:t>
                  </w:r>
                </w:p>
              </w:tc>
              <w:tc>
                <w:tcPr>
                  <w:tcW w:w="783" w:type="dxa"/>
                  <w:shd w:val="clear" w:color="auto" w:fill="auto"/>
                  <w:vAlign w:val="center"/>
                </w:tcPr>
                <w:p w14:paraId="379491D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塑料、纸等</w:t>
                  </w:r>
                </w:p>
              </w:tc>
              <w:tc>
                <w:tcPr>
                  <w:tcW w:w="899" w:type="dxa"/>
                  <w:shd w:val="clear" w:color="auto" w:fill="auto"/>
                  <w:vAlign w:val="center"/>
                </w:tcPr>
                <w:p w14:paraId="59AB08B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3t/a</w:t>
                  </w:r>
                </w:p>
              </w:tc>
              <w:tc>
                <w:tcPr>
                  <w:tcW w:w="705" w:type="dxa"/>
                  <w:shd w:val="clear" w:color="auto" w:fill="auto"/>
                  <w:vAlign w:val="center"/>
                </w:tcPr>
                <w:p w14:paraId="117A561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530" w:type="dxa"/>
                  <w:shd w:val="clear" w:color="auto" w:fill="auto"/>
                  <w:vAlign w:val="center"/>
                </w:tcPr>
                <w:p w14:paraId="1D462CC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28311933">
                  <w:pPr>
                    <w:adjustRightInd w:val="0"/>
                    <w:snapToGrid w:val="0"/>
                    <w:jc w:val="center"/>
                    <w:rPr>
                      <w:rFonts w:ascii="Times New Roman" w:hAnsi="Times New Roman" w:eastAsia="宋体" w:cs="Times New Roman"/>
                      <w:szCs w:val="21"/>
                    </w:rPr>
                  </w:pPr>
                </w:p>
              </w:tc>
              <w:tc>
                <w:tcPr>
                  <w:tcW w:w="971" w:type="dxa"/>
                  <w:vAlign w:val="center"/>
                </w:tcPr>
                <w:p w14:paraId="7EA08ED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环卫部门</w:t>
                  </w:r>
                </w:p>
              </w:tc>
            </w:tr>
          </w:tbl>
          <w:p w14:paraId="3F55D664">
            <w:pPr>
              <w:spacing w:line="480" w:lineRule="exact"/>
              <w:ind w:firstLine="480" w:firstLineChars="200"/>
              <w:jc w:val="center"/>
              <w:rPr>
                <w:rFonts w:ascii="Times New Roman" w:hAnsi="Times New Roman" w:eastAsia="宋体" w:cs="Times New Roman"/>
                <w:bCs/>
                <w:sz w:val="24"/>
              </w:rPr>
            </w:pPr>
            <w:r>
              <w:rPr>
                <w:rFonts w:hint="eastAsia" w:ascii="Times New Roman" w:hAnsi="Times New Roman" w:eastAsia="宋体" w:cs="Times New Roman"/>
                <w:bCs/>
                <w:sz w:val="24"/>
              </w:rPr>
              <w:t>表5</w:t>
            </w:r>
            <w:r>
              <w:rPr>
                <w:rFonts w:ascii="Times New Roman" w:hAnsi="Times New Roman" w:eastAsia="宋体" w:cs="Times New Roman"/>
                <w:bCs/>
                <w:sz w:val="24"/>
              </w:rPr>
              <w:t xml:space="preserve">-9 </w:t>
            </w:r>
            <w:r>
              <w:rPr>
                <w:rFonts w:hint="eastAsia" w:ascii="Times New Roman" w:hAnsi="Times New Roman" w:eastAsia="宋体" w:cs="Times New Roman"/>
                <w:bCs/>
                <w:sz w:val="24"/>
              </w:rPr>
              <w:t>项目危险废物情况汇总表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867"/>
              <w:gridCol w:w="1232"/>
              <w:gridCol w:w="846"/>
              <w:gridCol w:w="846"/>
              <w:gridCol w:w="453"/>
              <w:gridCol w:w="508"/>
              <w:gridCol w:w="508"/>
              <w:gridCol w:w="508"/>
              <w:gridCol w:w="718"/>
              <w:gridCol w:w="1234"/>
            </w:tblGrid>
            <w:tr w14:paraId="44449D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5B0E8016">
                  <w:pPr>
                    <w:jc w:val="center"/>
                    <w:rPr>
                      <w:rFonts w:ascii="Times New Roman" w:hAnsi="Times New Roman" w:eastAsia="宋体" w:cs="Times New Roman"/>
                      <w:bCs/>
                      <w:szCs w:val="16"/>
                    </w:rPr>
                  </w:pPr>
                  <w:r>
                    <w:rPr>
                      <w:rFonts w:hint="eastAsia" w:ascii="Times New Roman" w:hAnsi="Times New Roman" w:eastAsia="宋体" w:cs="Times New Roman"/>
                      <w:bCs/>
                      <w:szCs w:val="16"/>
                    </w:rPr>
                    <w:t>危险废物名称</w:t>
                  </w:r>
                </w:p>
              </w:tc>
              <w:tc>
                <w:tcPr>
                  <w:tcW w:w="0" w:type="auto"/>
                  <w:shd w:val="clear" w:color="auto" w:fill="auto"/>
                  <w:vAlign w:val="center"/>
                </w:tcPr>
                <w:p w14:paraId="5654A9F4">
                  <w:pPr>
                    <w:jc w:val="center"/>
                    <w:rPr>
                      <w:rFonts w:ascii="Times New Roman" w:hAnsi="Times New Roman" w:eastAsia="宋体" w:cs="Times New Roman"/>
                      <w:bCs/>
                      <w:szCs w:val="16"/>
                    </w:rPr>
                  </w:pPr>
                  <w:r>
                    <w:rPr>
                      <w:rFonts w:hint="eastAsia" w:ascii="Times New Roman" w:hAnsi="Times New Roman" w:eastAsia="宋体" w:cs="Times New Roman"/>
                      <w:bCs/>
                      <w:szCs w:val="16"/>
                    </w:rPr>
                    <w:t>危险废物类别</w:t>
                  </w:r>
                </w:p>
              </w:tc>
              <w:tc>
                <w:tcPr>
                  <w:tcW w:w="0" w:type="auto"/>
                  <w:shd w:val="clear" w:color="auto" w:fill="auto"/>
                  <w:vAlign w:val="center"/>
                </w:tcPr>
                <w:p w14:paraId="0908C6F1">
                  <w:pPr>
                    <w:jc w:val="center"/>
                    <w:rPr>
                      <w:rFonts w:ascii="Times New Roman" w:hAnsi="Times New Roman" w:eastAsia="宋体" w:cs="Times New Roman"/>
                      <w:bCs/>
                      <w:szCs w:val="16"/>
                    </w:rPr>
                  </w:pPr>
                  <w:r>
                    <w:rPr>
                      <w:rFonts w:hint="eastAsia" w:ascii="Times New Roman" w:hAnsi="Times New Roman" w:eastAsia="宋体" w:cs="Times New Roman"/>
                      <w:bCs/>
                      <w:szCs w:val="16"/>
                    </w:rPr>
                    <w:t>危险废物代码</w:t>
                  </w:r>
                </w:p>
              </w:tc>
              <w:tc>
                <w:tcPr>
                  <w:tcW w:w="703" w:type="dxa"/>
                  <w:shd w:val="clear" w:color="auto" w:fill="auto"/>
                  <w:vAlign w:val="center"/>
                </w:tcPr>
                <w:p w14:paraId="30C4C21A">
                  <w:pPr>
                    <w:jc w:val="center"/>
                    <w:rPr>
                      <w:rFonts w:ascii="Times New Roman" w:hAnsi="Times New Roman" w:eastAsia="宋体" w:cs="Times New Roman"/>
                      <w:bCs/>
                      <w:szCs w:val="16"/>
                    </w:rPr>
                  </w:pPr>
                  <w:r>
                    <w:rPr>
                      <w:rFonts w:hint="eastAsia" w:ascii="Times New Roman" w:hAnsi="Times New Roman" w:eastAsia="宋体" w:cs="Times New Roman"/>
                      <w:bCs/>
                      <w:szCs w:val="16"/>
                    </w:rPr>
                    <w:t>产生量（t</w:t>
                  </w:r>
                  <w:r>
                    <w:rPr>
                      <w:rFonts w:ascii="Times New Roman" w:hAnsi="Times New Roman" w:eastAsia="宋体" w:cs="Times New Roman"/>
                      <w:bCs/>
                      <w:szCs w:val="16"/>
                    </w:rPr>
                    <w:t>/</w:t>
                  </w:r>
                  <w:r>
                    <w:rPr>
                      <w:rFonts w:hint="eastAsia" w:ascii="Times New Roman" w:hAnsi="Times New Roman" w:eastAsia="宋体" w:cs="Times New Roman"/>
                      <w:bCs/>
                      <w:szCs w:val="16"/>
                    </w:rPr>
                    <w:t>a）</w:t>
                  </w:r>
                </w:p>
              </w:tc>
              <w:tc>
                <w:tcPr>
                  <w:tcW w:w="847" w:type="dxa"/>
                  <w:shd w:val="clear" w:color="auto" w:fill="auto"/>
                  <w:vAlign w:val="center"/>
                </w:tcPr>
                <w:p w14:paraId="07571BEB">
                  <w:pPr>
                    <w:jc w:val="center"/>
                    <w:rPr>
                      <w:rFonts w:ascii="Times New Roman" w:hAnsi="Times New Roman" w:eastAsia="宋体" w:cs="Times New Roman"/>
                      <w:bCs/>
                      <w:szCs w:val="16"/>
                    </w:rPr>
                  </w:pPr>
                  <w:r>
                    <w:rPr>
                      <w:rFonts w:hint="eastAsia" w:ascii="Times New Roman" w:hAnsi="Times New Roman" w:eastAsia="宋体" w:cs="Times New Roman"/>
                      <w:bCs/>
                      <w:szCs w:val="16"/>
                    </w:rPr>
                    <w:t>产生工序及装置</w:t>
                  </w:r>
                </w:p>
              </w:tc>
              <w:tc>
                <w:tcPr>
                  <w:tcW w:w="0" w:type="auto"/>
                  <w:shd w:val="clear" w:color="auto" w:fill="auto"/>
                  <w:vAlign w:val="center"/>
                </w:tcPr>
                <w:p w14:paraId="33D6A9E3">
                  <w:pPr>
                    <w:jc w:val="center"/>
                    <w:rPr>
                      <w:rFonts w:ascii="Times New Roman" w:hAnsi="Times New Roman" w:eastAsia="宋体" w:cs="Times New Roman"/>
                      <w:bCs/>
                      <w:szCs w:val="16"/>
                    </w:rPr>
                  </w:pPr>
                  <w:r>
                    <w:rPr>
                      <w:rFonts w:hint="eastAsia" w:ascii="Times New Roman" w:hAnsi="Times New Roman" w:eastAsia="宋体" w:cs="Times New Roman"/>
                      <w:bCs/>
                      <w:szCs w:val="16"/>
                    </w:rPr>
                    <w:t>形态</w:t>
                  </w:r>
                </w:p>
              </w:tc>
              <w:tc>
                <w:tcPr>
                  <w:tcW w:w="0" w:type="auto"/>
                  <w:shd w:val="clear" w:color="auto" w:fill="auto"/>
                  <w:vAlign w:val="center"/>
                </w:tcPr>
                <w:p w14:paraId="4D40470D">
                  <w:pPr>
                    <w:jc w:val="center"/>
                    <w:rPr>
                      <w:rFonts w:ascii="Times New Roman" w:hAnsi="Times New Roman" w:eastAsia="宋体" w:cs="Times New Roman"/>
                      <w:bCs/>
                      <w:szCs w:val="16"/>
                    </w:rPr>
                  </w:pPr>
                  <w:r>
                    <w:rPr>
                      <w:rFonts w:hint="eastAsia" w:ascii="Times New Roman" w:hAnsi="Times New Roman" w:eastAsia="宋体" w:cs="Times New Roman"/>
                      <w:bCs/>
                      <w:szCs w:val="16"/>
                    </w:rPr>
                    <w:t>主要成分</w:t>
                  </w:r>
                </w:p>
              </w:tc>
              <w:tc>
                <w:tcPr>
                  <w:tcW w:w="0" w:type="auto"/>
                  <w:shd w:val="clear" w:color="auto" w:fill="auto"/>
                  <w:vAlign w:val="center"/>
                </w:tcPr>
                <w:p w14:paraId="35F2928B">
                  <w:pPr>
                    <w:jc w:val="center"/>
                    <w:rPr>
                      <w:rFonts w:ascii="Times New Roman" w:hAnsi="Times New Roman" w:eastAsia="宋体" w:cs="Times New Roman"/>
                      <w:bCs/>
                      <w:szCs w:val="16"/>
                    </w:rPr>
                  </w:pPr>
                  <w:r>
                    <w:rPr>
                      <w:rFonts w:hint="eastAsia" w:ascii="Times New Roman" w:hAnsi="Times New Roman" w:eastAsia="宋体" w:cs="Times New Roman"/>
                      <w:bCs/>
                      <w:szCs w:val="16"/>
                    </w:rPr>
                    <w:t>有害成分</w:t>
                  </w:r>
                </w:p>
              </w:tc>
              <w:tc>
                <w:tcPr>
                  <w:tcW w:w="0" w:type="auto"/>
                  <w:shd w:val="clear" w:color="auto" w:fill="auto"/>
                  <w:vAlign w:val="center"/>
                </w:tcPr>
                <w:p w14:paraId="35ECA9A6">
                  <w:pPr>
                    <w:jc w:val="center"/>
                    <w:rPr>
                      <w:rFonts w:ascii="Times New Roman" w:hAnsi="Times New Roman" w:eastAsia="宋体" w:cs="Times New Roman"/>
                      <w:bCs/>
                      <w:szCs w:val="16"/>
                    </w:rPr>
                  </w:pPr>
                  <w:r>
                    <w:rPr>
                      <w:rFonts w:hint="eastAsia" w:ascii="Times New Roman" w:hAnsi="Times New Roman" w:eastAsia="宋体" w:cs="Times New Roman"/>
                      <w:bCs/>
                      <w:szCs w:val="16"/>
                    </w:rPr>
                    <w:t>产废周期</w:t>
                  </w:r>
                </w:p>
              </w:tc>
              <w:tc>
                <w:tcPr>
                  <w:tcW w:w="0" w:type="auto"/>
                  <w:shd w:val="clear" w:color="auto" w:fill="auto"/>
                  <w:vAlign w:val="center"/>
                </w:tcPr>
                <w:p w14:paraId="53352643">
                  <w:pPr>
                    <w:jc w:val="center"/>
                    <w:rPr>
                      <w:rFonts w:ascii="Times New Roman" w:hAnsi="Times New Roman" w:eastAsia="宋体" w:cs="Times New Roman"/>
                      <w:bCs/>
                      <w:szCs w:val="16"/>
                    </w:rPr>
                  </w:pPr>
                  <w:r>
                    <w:rPr>
                      <w:rFonts w:hint="eastAsia" w:ascii="Times New Roman" w:hAnsi="Times New Roman" w:eastAsia="宋体" w:cs="Times New Roman"/>
                      <w:bCs/>
                      <w:szCs w:val="16"/>
                    </w:rPr>
                    <w:t>危险特性</w:t>
                  </w:r>
                </w:p>
              </w:tc>
              <w:tc>
                <w:tcPr>
                  <w:tcW w:w="0" w:type="auto"/>
                  <w:shd w:val="clear" w:color="auto" w:fill="auto"/>
                  <w:vAlign w:val="center"/>
                </w:tcPr>
                <w:p w14:paraId="3909B3D4">
                  <w:pPr>
                    <w:jc w:val="center"/>
                    <w:rPr>
                      <w:rFonts w:ascii="Times New Roman" w:hAnsi="Times New Roman" w:eastAsia="宋体" w:cs="Times New Roman"/>
                      <w:bCs/>
                      <w:szCs w:val="16"/>
                    </w:rPr>
                  </w:pPr>
                  <w:r>
                    <w:rPr>
                      <w:rFonts w:hint="eastAsia" w:ascii="Times New Roman" w:hAnsi="Times New Roman" w:eastAsia="宋体" w:cs="Times New Roman"/>
                      <w:bCs/>
                      <w:szCs w:val="16"/>
                    </w:rPr>
                    <w:t>污染防治措施</w:t>
                  </w:r>
                </w:p>
              </w:tc>
            </w:tr>
            <w:tr w14:paraId="69F112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175C8297">
                  <w:pPr>
                    <w:jc w:val="center"/>
                    <w:rPr>
                      <w:rFonts w:ascii="Times New Roman" w:hAnsi="Times New Roman" w:eastAsia="宋体" w:cs="Times New Roman"/>
                      <w:bCs/>
                      <w:szCs w:val="16"/>
                    </w:rPr>
                  </w:pPr>
                  <w:r>
                    <w:rPr>
                      <w:rFonts w:hint="eastAsia" w:ascii="Times New Roman" w:hAnsi="Times New Roman" w:eastAsia="宋体" w:cs="Times New Roman"/>
                      <w:bCs/>
                      <w:szCs w:val="16"/>
                    </w:rPr>
                    <w:t>废机油</w:t>
                  </w:r>
                </w:p>
              </w:tc>
              <w:tc>
                <w:tcPr>
                  <w:tcW w:w="0" w:type="auto"/>
                  <w:shd w:val="clear" w:color="auto" w:fill="auto"/>
                  <w:vAlign w:val="center"/>
                </w:tcPr>
                <w:p w14:paraId="530A8AF5">
                  <w:pPr>
                    <w:jc w:val="center"/>
                    <w:rPr>
                      <w:rFonts w:ascii="Times New Roman" w:hAnsi="Times New Roman" w:eastAsia="宋体" w:cs="Times New Roman"/>
                      <w:bCs/>
                      <w:szCs w:val="16"/>
                    </w:rPr>
                  </w:pPr>
                  <w:r>
                    <w:rPr>
                      <w:rFonts w:hint="eastAsia" w:ascii="Times New Roman" w:hAnsi="Times New Roman" w:eastAsia="宋体" w:cs="Times New Roman"/>
                      <w:bCs/>
                      <w:szCs w:val="16"/>
                    </w:rPr>
                    <w:t>H</w:t>
                  </w:r>
                  <w:r>
                    <w:rPr>
                      <w:rFonts w:ascii="Times New Roman" w:hAnsi="Times New Roman" w:eastAsia="宋体" w:cs="Times New Roman"/>
                      <w:bCs/>
                      <w:szCs w:val="16"/>
                    </w:rPr>
                    <w:t>W08</w:t>
                  </w:r>
                </w:p>
              </w:tc>
              <w:tc>
                <w:tcPr>
                  <w:tcW w:w="0" w:type="auto"/>
                  <w:shd w:val="clear" w:color="auto" w:fill="auto"/>
                  <w:vAlign w:val="center"/>
                </w:tcPr>
                <w:p w14:paraId="5681CA5F">
                  <w:pPr>
                    <w:jc w:val="center"/>
                    <w:rPr>
                      <w:rFonts w:ascii="Times New Roman" w:hAnsi="Times New Roman" w:eastAsia="宋体" w:cs="Times New Roman"/>
                      <w:bCs/>
                      <w:szCs w:val="16"/>
                    </w:rPr>
                  </w:pPr>
                  <w:r>
                    <w:rPr>
                      <w:rFonts w:hint="eastAsia" w:ascii="Times New Roman" w:hAnsi="Times New Roman" w:eastAsia="宋体" w:cs="Times New Roman"/>
                      <w:bCs/>
                      <w:szCs w:val="16"/>
                    </w:rPr>
                    <w:t>9</w:t>
                  </w:r>
                  <w:r>
                    <w:rPr>
                      <w:rFonts w:ascii="Times New Roman" w:hAnsi="Times New Roman" w:eastAsia="宋体" w:cs="Times New Roman"/>
                      <w:bCs/>
                      <w:szCs w:val="16"/>
                    </w:rPr>
                    <w:t>00-214-08</w:t>
                  </w:r>
                </w:p>
              </w:tc>
              <w:tc>
                <w:tcPr>
                  <w:tcW w:w="703" w:type="dxa"/>
                  <w:shd w:val="clear" w:color="auto" w:fill="auto"/>
                  <w:vAlign w:val="center"/>
                </w:tcPr>
                <w:p w14:paraId="4C3D7188">
                  <w:pPr>
                    <w:jc w:val="center"/>
                    <w:rPr>
                      <w:rFonts w:ascii="Times New Roman" w:hAnsi="Times New Roman" w:eastAsia="宋体" w:cs="Times New Roman"/>
                      <w:bCs/>
                      <w:szCs w:val="16"/>
                    </w:rPr>
                  </w:pPr>
                  <w:r>
                    <w:rPr>
                      <w:rFonts w:hint="eastAsia" w:ascii="Times New Roman" w:hAnsi="Times New Roman" w:eastAsia="宋体" w:cs="Times New Roman"/>
                      <w:bCs/>
                      <w:szCs w:val="16"/>
                    </w:rPr>
                    <w:t>0</w:t>
                  </w:r>
                  <w:r>
                    <w:rPr>
                      <w:rFonts w:ascii="Times New Roman" w:hAnsi="Times New Roman" w:eastAsia="宋体" w:cs="Times New Roman"/>
                      <w:bCs/>
                      <w:szCs w:val="16"/>
                    </w:rPr>
                    <w:t>.2</w:t>
                  </w:r>
                </w:p>
              </w:tc>
              <w:tc>
                <w:tcPr>
                  <w:tcW w:w="847" w:type="dxa"/>
                  <w:shd w:val="clear" w:color="auto" w:fill="auto"/>
                  <w:vAlign w:val="center"/>
                </w:tcPr>
                <w:p w14:paraId="6C395222">
                  <w:pPr>
                    <w:jc w:val="center"/>
                    <w:rPr>
                      <w:rFonts w:ascii="Times New Roman" w:hAnsi="Times New Roman" w:eastAsia="宋体" w:cs="Times New Roman"/>
                      <w:bCs/>
                      <w:szCs w:val="16"/>
                    </w:rPr>
                  </w:pPr>
                  <w:r>
                    <w:rPr>
                      <w:rFonts w:hint="eastAsia" w:ascii="Times New Roman" w:hAnsi="Times New Roman" w:eastAsia="宋体" w:cs="Times New Roman"/>
                      <w:bCs/>
                      <w:szCs w:val="16"/>
                    </w:rPr>
                    <w:t>设备维护维修</w:t>
                  </w:r>
                </w:p>
              </w:tc>
              <w:tc>
                <w:tcPr>
                  <w:tcW w:w="0" w:type="auto"/>
                  <w:shd w:val="clear" w:color="auto" w:fill="auto"/>
                  <w:vAlign w:val="center"/>
                </w:tcPr>
                <w:p w14:paraId="6E10D97C">
                  <w:pPr>
                    <w:jc w:val="center"/>
                    <w:rPr>
                      <w:rFonts w:ascii="Times New Roman" w:hAnsi="Times New Roman" w:eastAsia="宋体" w:cs="Times New Roman"/>
                      <w:bCs/>
                      <w:szCs w:val="16"/>
                    </w:rPr>
                  </w:pPr>
                  <w:r>
                    <w:rPr>
                      <w:rFonts w:hint="eastAsia" w:ascii="Times New Roman" w:hAnsi="Times New Roman" w:eastAsia="宋体" w:cs="Times New Roman"/>
                      <w:bCs/>
                      <w:szCs w:val="16"/>
                    </w:rPr>
                    <w:t>液态</w:t>
                  </w:r>
                </w:p>
              </w:tc>
              <w:tc>
                <w:tcPr>
                  <w:tcW w:w="0" w:type="auto"/>
                  <w:shd w:val="clear" w:color="auto" w:fill="auto"/>
                  <w:vAlign w:val="center"/>
                </w:tcPr>
                <w:p w14:paraId="1774630F">
                  <w:pPr>
                    <w:jc w:val="center"/>
                    <w:rPr>
                      <w:rFonts w:ascii="Times New Roman" w:hAnsi="Times New Roman" w:eastAsia="宋体" w:cs="Times New Roman"/>
                      <w:bCs/>
                      <w:szCs w:val="16"/>
                    </w:rPr>
                  </w:pPr>
                  <w:r>
                    <w:rPr>
                      <w:rFonts w:hint="eastAsia" w:ascii="Times New Roman" w:hAnsi="Times New Roman" w:eastAsia="宋体" w:cs="Times New Roman"/>
                      <w:bCs/>
                      <w:szCs w:val="16"/>
                    </w:rPr>
                    <w:t>机油</w:t>
                  </w:r>
                </w:p>
              </w:tc>
              <w:tc>
                <w:tcPr>
                  <w:tcW w:w="0" w:type="auto"/>
                  <w:shd w:val="clear" w:color="auto" w:fill="auto"/>
                  <w:vAlign w:val="center"/>
                </w:tcPr>
                <w:p w14:paraId="6708F769">
                  <w:pPr>
                    <w:jc w:val="center"/>
                    <w:rPr>
                      <w:rFonts w:ascii="Times New Roman" w:hAnsi="Times New Roman" w:eastAsia="宋体" w:cs="Times New Roman"/>
                      <w:bCs/>
                      <w:szCs w:val="16"/>
                    </w:rPr>
                  </w:pPr>
                  <w:r>
                    <w:rPr>
                      <w:rFonts w:hint="eastAsia" w:ascii="Times New Roman" w:hAnsi="Times New Roman" w:eastAsia="宋体" w:cs="Times New Roman"/>
                      <w:bCs/>
                      <w:szCs w:val="16"/>
                    </w:rPr>
                    <w:t>机油</w:t>
                  </w:r>
                </w:p>
              </w:tc>
              <w:tc>
                <w:tcPr>
                  <w:tcW w:w="0" w:type="auto"/>
                  <w:shd w:val="clear" w:color="auto" w:fill="auto"/>
                  <w:vAlign w:val="center"/>
                </w:tcPr>
                <w:p w14:paraId="5E08637D">
                  <w:pPr>
                    <w:jc w:val="center"/>
                    <w:rPr>
                      <w:rFonts w:ascii="Times New Roman" w:hAnsi="Times New Roman" w:eastAsia="宋体" w:cs="Times New Roman"/>
                      <w:bCs/>
                      <w:szCs w:val="16"/>
                    </w:rPr>
                  </w:pPr>
                  <w:r>
                    <w:rPr>
                      <w:rFonts w:hint="eastAsia" w:ascii="Times New Roman" w:hAnsi="Times New Roman" w:eastAsia="宋体" w:cs="Times New Roman"/>
                      <w:bCs/>
                      <w:szCs w:val="16"/>
                    </w:rPr>
                    <w:t>每月</w:t>
                  </w:r>
                </w:p>
              </w:tc>
              <w:tc>
                <w:tcPr>
                  <w:tcW w:w="0" w:type="auto"/>
                  <w:shd w:val="clear" w:color="auto" w:fill="auto"/>
                  <w:vAlign w:val="center"/>
                </w:tcPr>
                <w:p w14:paraId="02DDA547">
                  <w:pPr>
                    <w:jc w:val="center"/>
                    <w:rPr>
                      <w:rFonts w:ascii="Times New Roman" w:hAnsi="Times New Roman" w:eastAsia="宋体" w:cs="Times New Roman"/>
                      <w:bCs/>
                      <w:szCs w:val="16"/>
                    </w:rPr>
                  </w:pPr>
                  <w:r>
                    <w:rPr>
                      <w:rFonts w:hint="eastAsia" w:ascii="Times New Roman" w:hAnsi="Times New Roman" w:eastAsia="宋体" w:cs="Times New Roman"/>
                      <w:bCs/>
                      <w:szCs w:val="16"/>
                    </w:rPr>
                    <w:t>毒性、易燃</w:t>
                  </w:r>
                </w:p>
              </w:tc>
              <w:tc>
                <w:tcPr>
                  <w:tcW w:w="0" w:type="auto"/>
                  <w:shd w:val="clear" w:color="auto" w:fill="auto"/>
                  <w:vAlign w:val="center"/>
                </w:tcPr>
                <w:p w14:paraId="0C1A59BB">
                  <w:pPr>
                    <w:jc w:val="center"/>
                    <w:rPr>
                      <w:rFonts w:ascii="Times New Roman" w:hAnsi="Times New Roman" w:eastAsia="宋体" w:cs="Times New Roman"/>
                      <w:bCs/>
                      <w:szCs w:val="16"/>
                    </w:rPr>
                  </w:pPr>
                  <w:r>
                    <w:rPr>
                      <w:rFonts w:hint="eastAsia" w:ascii="Times New Roman" w:hAnsi="Times New Roman" w:eastAsia="宋体" w:cs="Times New Roman"/>
                      <w:bCs/>
                      <w:szCs w:val="16"/>
                    </w:rPr>
                    <w:t>铁桶收集暂存于危废暂存间，定期交由有资质单位处理</w:t>
                  </w:r>
                </w:p>
              </w:tc>
            </w:tr>
          </w:tbl>
          <w:p w14:paraId="6063B391">
            <w:pPr>
              <w:spacing w:line="480" w:lineRule="exact"/>
              <w:ind w:firstLine="482" w:firstLineChars="200"/>
              <w:rPr>
                <w:rFonts w:ascii="Times New Roman" w:hAnsi="Times New Roman" w:eastAsia="宋体" w:cs="Times New Roman"/>
                <w:b/>
                <w:sz w:val="24"/>
              </w:rPr>
            </w:pPr>
            <w:r>
              <w:rPr>
                <w:rFonts w:hint="eastAsia" w:ascii="Times New Roman" w:hAnsi="Times New Roman" w:eastAsia="宋体" w:cs="Times New Roman"/>
                <w:b/>
                <w:sz w:val="24"/>
              </w:rPr>
              <w:t>危险废物储运方式及要求：</w:t>
            </w:r>
          </w:p>
          <w:p w14:paraId="6BECA87A">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（1）设置危险废物暂存间</w:t>
            </w:r>
          </w:p>
          <w:p w14:paraId="71083240">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为了减小废弃物的储运风险，防止危废流失污染环境，本项目将产生的危险废物全部收集至危废暂存间内，采用密闭专用容器收集储存危废，并对危险废物暂存间设围堰等。</w:t>
            </w:r>
          </w:p>
          <w:p w14:paraId="627CAAAC">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危废暂存间将严格按照《危险废物储存污染控制标准》 的要求设计，做好防雨、防渗，防止二次污染。地面采用坚固、防渗、耐腐蚀的材料建造。库内废物定期由有资质的公司使用专用运输车辆运输。</w:t>
            </w:r>
          </w:p>
          <w:p w14:paraId="63AC7833">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（2）危险废弃物的收集和管理</w:t>
            </w:r>
          </w:p>
          <w:p w14:paraId="6A8C360F">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对危险废弃物的收集和管理，拟采用以下措施：</w:t>
            </w:r>
          </w:p>
          <w:p w14:paraId="2002CF1E">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①对设备维护、维修过程中产生的废机油，使用机油桶进行收集，临时堆放在危废暂存间中，累计一定数量后由有资质的公司使用专用运输车辆外运后统一处置。</w:t>
            </w:r>
          </w:p>
          <w:p w14:paraId="26D07A6E">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②危险废物全部暂存于危废暂存间内，做到防风、防雨、防晒措施，并设置堵截泄漏的裙脚、围堰等设施。</w:t>
            </w:r>
          </w:p>
          <w:p w14:paraId="26F5A135">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③危险废物暂存间地面基础必须防渗、防腐处理，本项目拟采用抗渗混凝土+环氧树脂进行防渗。</w:t>
            </w:r>
          </w:p>
          <w:p w14:paraId="38364087">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危险废弃物的收集和管理，建设单位将委派专人负责，废机油的储存容器有很好的密封性，危废临时储存场所按照《危险废物贮存污染控制标准》（GB18597-2001）相关要求进行防渗、防漏处理，安全可靠，不会受到风雨侵蚀，可有效地防止了临时存放过程中的二次污染。</w:t>
            </w:r>
          </w:p>
          <w:p w14:paraId="14563F75">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根据中华人民共和国国务院令第 344 号《危险化学品安全管理条例》 的有关规定，在危险废弃物外运至处置单位时必须严格遵守以下要求：</w:t>
            </w:r>
          </w:p>
          <w:p w14:paraId="4BCD18C3">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①做好每次外运处置废弃物的运输登记，认真填写危险废物转移联单，并加盖公司公章，经运输单位核实验收签字后，将联单第一联副联自留存档，将联单第二联交移出地环境保护行政主管部门，第三联及其余各联交付运输单位，随危险废物转移运行。第四联交接受单位，第五联交接受地环保局。</w:t>
            </w:r>
          </w:p>
          <w:p w14:paraId="163BBF98">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②废弃物处置单位的运输人员必须掌握危险化学品运输的安全知识，了解所运载的危险化学品的性质、危害特性、包装容器的使用特性和发生意外时的应急措施。运输车辆必须具有车辆危险货物运输许可证。驾驶人员必须由取得驾驶执照的熟练人员担任。</w:t>
            </w:r>
          </w:p>
          <w:p w14:paraId="0D31DA07">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③处置单位在运输危险废弃物时必须配备押运人员，并随时处于押运人员的监管之下，不得超装、超载，严格按照所在城市规定的行车时间和行车路线行驶，不得进入危险化学品运输车辆禁止通行的区域。</w:t>
            </w:r>
          </w:p>
          <w:p w14:paraId="4C85EDAC">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④危险废弃物在运输途中若发生被盗、丢失、流散、泄漏等情况时，建设单位及押运人员必须立即向当地公安部门报告，并采取一切可能的警示措施。</w:t>
            </w:r>
          </w:p>
          <w:p w14:paraId="48FBC2FD">
            <w:pPr>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⑤一旦发生废弃物泄漏事故，建设单位和废弃物处置单位都应积极协助有关部门采取必要的安全措施，减少事故损失，防止事故蔓延、扩大；针对事故对人体、动植物、土壤、水源、空气造成的现实危害和可能产生的危害，应迅速采取封闭、隔离、洗消等措施，并对事故造成的危害进行监测、处置，直至符合国家环境保护标准。</w:t>
            </w:r>
          </w:p>
          <w:p w14:paraId="7D744623">
            <w:pPr>
              <w:spacing w:line="480" w:lineRule="exact"/>
              <w:ind w:firstLine="482" w:firstLineChars="200"/>
              <w:rPr>
                <w:rFonts w:ascii="Times New Roman" w:hAnsi="Times New Roman" w:eastAsia="宋体" w:cs="Times New Roman"/>
                <w:b/>
                <w:sz w:val="24"/>
              </w:rPr>
            </w:pPr>
            <w:r>
              <w:rPr>
                <w:rFonts w:ascii="Times New Roman" w:hAnsi="Times New Roman" w:eastAsia="宋体" w:cs="Times New Roman"/>
                <w:b/>
                <w:sz w:val="24"/>
              </w:rPr>
              <w:t>5、地下水污染防治措施</w:t>
            </w:r>
          </w:p>
          <w:p w14:paraId="70B3B1EF">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地下水污染防治措施坚持“源头控制、末端防治、污染监控、应急响应相结合”的原则，即采取主动控制和被动控制相结合的措施。为更好防止项目</w:t>
            </w:r>
            <w:r>
              <w:rPr>
                <w:rFonts w:hint="eastAsia" w:ascii="Times New Roman" w:hAnsi="Times New Roman" w:eastAsia="宋体" w:cs="Times New Roman"/>
                <w:sz w:val="24"/>
                <w:lang w:eastAsia="zh-CN"/>
              </w:rPr>
              <w:t>地下水</w:t>
            </w:r>
            <w:r>
              <w:rPr>
                <w:rFonts w:ascii="Times New Roman" w:hAnsi="Times New Roman" w:eastAsia="宋体" w:cs="Times New Roman"/>
                <w:sz w:val="24"/>
              </w:rPr>
              <w:t>污染的可能性，本次评价参照《环境影响评价导则 地下水环境》（HJ610-2016）中表7要求，提出防渗要求，项目分区防渗。项目分区及防渗情况见表5-10。</w:t>
            </w:r>
          </w:p>
          <w:p w14:paraId="38BE1C87">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snapToGrid w:val="0"/>
                <w:kern w:val="0"/>
                <w:sz w:val="24"/>
                <w:szCs w:val="24"/>
              </w:rPr>
              <w:t>表5-10  项目地下水污染分区情况一览表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29"/>
              <w:gridCol w:w="1540"/>
              <w:gridCol w:w="1979"/>
              <w:gridCol w:w="4034"/>
            </w:tblGrid>
            <w:tr w14:paraId="6E5D5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705946E0">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序号</w:t>
                  </w:r>
                </w:p>
              </w:tc>
              <w:tc>
                <w:tcPr>
                  <w:tcW w:w="930" w:type="pct"/>
                  <w:vAlign w:val="center"/>
                </w:tcPr>
                <w:p w14:paraId="2C00E56E">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构筑物</w:t>
                  </w:r>
                </w:p>
              </w:tc>
              <w:tc>
                <w:tcPr>
                  <w:tcW w:w="1195" w:type="pct"/>
                  <w:vAlign w:val="center"/>
                </w:tcPr>
                <w:p w14:paraId="396E6FB9">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分区类别</w:t>
                  </w:r>
                </w:p>
              </w:tc>
              <w:tc>
                <w:tcPr>
                  <w:tcW w:w="2435" w:type="pct"/>
                  <w:vAlign w:val="center"/>
                </w:tcPr>
                <w:p w14:paraId="5CC0DFFA">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防渗措施</w:t>
                  </w:r>
                </w:p>
              </w:tc>
            </w:tr>
            <w:tr w14:paraId="184432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0DCC8728">
                  <w:pPr>
                    <w:autoSpaceDE w:val="0"/>
                    <w:autoSpaceDN w:val="0"/>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1</w:t>
                  </w:r>
                </w:p>
              </w:tc>
              <w:tc>
                <w:tcPr>
                  <w:tcW w:w="930" w:type="pct"/>
                  <w:vAlign w:val="center"/>
                </w:tcPr>
                <w:p w14:paraId="7A69B968">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危废暂存间、机修车间</w:t>
                  </w:r>
                </w:p>
              </w:tc>
              <w:tc>
                <w:tcPr>
                  <w:tcW w:w="1195" w:type="pct"/>
                  <w:vAlign w:val="center"/>
                </w:tcPr>
                <w:p w14:paraId="44FACD9B">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重点防渗区</w:t>
                  </w:r>
                </w:p>
              </w:tc>
              <w:tc>
                <w:tcPr>
                  <w:tcW w:w="2435" w:type="pct"/>
                  <w:vAlign w:val="center"/>
                </w:tcPr>
                <w:p w14:paraId="64AE92D7">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水泥硬化地面上，涂高密度聚乙烯膜防渗，其防渗性能应相当于渗透系数1</w:t>
                  </w:r>
                  <w:r>
                    <w:rPr>
                      <w:rFonts w:ascii="Times New Roman" w:hAnsi="Times New Roman" w:eastAsia="宋体" w:cs="Times New Roman"/>
                      <w:szCs w:val="21"/>
                    </w:rPr>
                    <w:t>.</w:t>
                  </w:r>
                  <w:r>
                    <w:rPr>
                      <w:rFonts w:hint="eastAsia" w:ascii="Times New Roman" w:hAnsi="Times New Roman" w:eastAsia="宋体" w:cs="Times New Roman"/>
                      <w:szCs w:val="21"/>
                    </w:rPr>
                    <w:t>0×10</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vertAlign w:val="superscript"/>
                    </w:rPr>
                    <w:t>10</w:t>
                  </w:r>
                  <w:r>
                    <w:rPr>
                      <w:rFonts w:hint="eastAsia" w:ascii="Times New Roman" w:hAnsi="Times New Roman" w:eastAsia="宋体" w:cs="Times New Roman"/>
                      <w:szCs w:val="21"/>
                    </w:rPr>
                    <w:t>cm</w:t>
                  </w:r>
                  <w:r>
                    <w:rPr>
                      <w:rFonts w:ascii="Times New Roman" w:hAnsi="Times New Roman" w:eastAsia="宋体" w:cs="Times New Roman"/>
                      <w:szCs w:val="21"/>
                    </w:rPr>
                    <w:t>/</w:t>
                  </w:r>
                  <w:r>
                    <w:rPr>
                      <w:rFonts w:hint="eastAsia" w:ascii="Times New Roman" w:hAnsi="Times New Roman" w:eastAsia="宋体" w:cs="Times New Roman"/>
                      <w:szCs w:val="21"/>
                    </w:rPr>
                    <w:t>s和厚度6m的粘土层的防渗性能</w:t>
                  </w:r>
                </w:p>
              </w:tc>
            </w:tr>
            <w:tr w14:paraId="7A74B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0B57DD67">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930" w:type="pct"/>
                  <w:vAlign w:val="center"/>
                </w:tcPr>
                <w:p w14:paraId="44D57CC1">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二级生化处理设施</w:t>
                  </w:r>
                  <w:r>
                    <w:rPr>
                      <w:rFonts w:ascii="Times New Roman" w:hAnsi="Times New Roman" w:eastAsia="宋体" w:cs="Times New Roman"/>
                      <w:szCs w:val="21"/>
                    </w:rPr>
                    <w:t>、</w:t>
                  </w:r>
                  <w:r>
                    <w:rPr>
                      <w:rFonts w:hint="eastAsia" w:ascii="Times New Roman" w:hAnsi="Times New Roman" w:eastAsia="宋体" w:cs="Times New Roman"/>
                      <w:szCs w:val="21"/>
                    </w:rPr>
                    <w:t>轮胎</w:t>
                  </w:r>
                  <w:r>
                    <w:rPr>
                      <w:rFonts w:ascii="Times New Roman" w:hAnsi="Times New Roman" w:eastAsia="宋体" w:cs="Times New Roman"/>
                      <w:szCs w:val="21"/>
                    </w:rPr>
                    <w:t>清洗池</w:t>
                  </w:r>
                </w:p>
              </w:tc>
              <w:tc>
                <w:tcPr>
                  <w:tcW w:w="1195" w:type="pct"/>
                  <w:vAlign w:val="center"/>
                </w:tcPr>
                <w:p w14:paraId="4D1FC4C4">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一般防渗区</w:t>
                  </w:r>
                </w:p>
              </w:tc>
              <w:tc>
                <w:tcPr>
                  <w:tcW w:w="2435" w:type="pct"/>
                  <w:vAlign w:val="center"/>
                </w:tcPr>
                <w:p w14:paraId="56CC6613">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水泥硬化地面，上涂环氧树脂漆防腐、防渗，其防渗性能应相当于渗透系数1.0×10</w:t>
                  </w:r>
                  <w:r>
                    <w:rPr>
                      <w:rFonts w:hint="eastAsia" w:ascii="Times New Roman" w:hAnsi="Times New Roman" w:eastAsia="宋体" w:cs="Times New Roman"/>
                      <w:szCs w:val="21"/>
                      <w:lang w:eastAsia="zh-CN"/>
                    </w:rPr>
                    <w:t>—</w:t>
                  </w:r>
                  <w:r>
                    <w:rPr>
                      <w:rFonts w:ascii="Times New Roman" w:hAnsi="Times New Roman" w:eastAsia="宋体" w:cs="Times New Roman"/>
                      <w:szCs w:val="21"/>
                      <w:vertAlign w:val="superscript"/>
                    </w:rPr>
                    <w:t>7</w:t>
                  </w:r>
                  <w:r>
                    <w:rPr>
                      <w:rFonts w:ascii="Times New Roman" w:hAnsi="Times New Roman" w:eastAsia="宋体" w:cs="Times New Roman"/>
                      <w:szCs w:val="21"/>
                    </w:rPr>
                    <w:t>cm/s和厚度15m的粘土层的防渗性能</w:t>
                  </w:r>
                </w:p>
              </w:tc>
            </w:tr>
            <w:tr w14:paraId="60D919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6B77D1AD">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930" w:type="pct"/>
                  <w:vAlign w:val="center"/>
                </w:tcPr>
                <w:p w14:paraId="6EB3D1F5">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生产车间、厂区道路、办公生活区</w:t>
                  </w:r>
                </w:p>
              </w:tc>
              <w:tc>
                <w:tcPr>
                  <w:tcW w:w="1195" w:type="pct"/>
                  <w:vAlign w:val="center"/>
                </w:tcPr>
                <w:p w14:paraId="038A8471">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简单防渗区</w:t>
                  </w:r>
                </w:p>
              </w:tc>
              <w:tc>
                <w:tcPr>
                  <w:tcW w:w="2435" w:type="pct"/>
                  <w:vAlign w:val="center"/>
                </w:tcPr>
                <w:p w14:paraId="74078DD5">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一般地面硬化</w:t>
                  </w:r>
                </w:p>
              </w:tc>
            </w:tr>
          </w:tbl>
          <w:p w14:paraId="1FDAED2F">
            <w:pPr>
              <w:spacing w:line="360" w:lineRule="auto"/>
              <w:rPr>
                <w:rFonts w:ascii="Times New Roman" w:hAnsi="Times New Roman" w:eastAsia="宋体" w:cs="Times New Roman"/>
                <w:b/>
                <w:bCs/>
                <w:color w:val="FF0000"/>
                <w:sz w:val="28"/>
                <w:szCs w:val="21"/>
              </w:rPr>
            </w:pPr>
            <w:r>
              <w:rPr>
                <w:rFonts w:ascii="Times New Roman" w:hAnsi="Times New Roman" w:eastAsia="宋体" w:cs="Times New Roman"/>
                <w:b/>
                <w:bCs/>
                <w:color w:val="FF0000"/>
                <w:sz w:val="28"/>
                <w:szCs w:val="21"/>
              </w:rPr>
              <w:t>四、</w:t>
            </w:r>
            <w:r>
              <w:rPr>
                <w:rFonts w:hint="eastAsia" w:ascii="Times New Roman" w:hAnsi="Times New Roman" w:eastAsia="宋体" w:cs="Times New Roman"/>
                <w:b/>
                <w:bCs/>
                <w:color w:val="FF0000"/>
                <w:sz w:val="28"/>
                <w:szCs w:val="21"/>
              </w:rPr>
              <w:t>项目“三本账”分析</w:t>
            </w:r>
          </w:p>
          <w:p w14:paraId="57398411">
            <w:pPr>
              <w:spacing w:line="360" w:lineRule="auto"/>
              <w:ind w:firstLine="480" w:firstLineChars="200"/>
              <w:rPr>
                <w:rFonts w:ascii="Times New Roman" w:hAnsi="Times New Roman" w:eastAsia="宋体" w:cs="Times New Roman"/>
                <w:color w:val="FF0000"/>
                <w:sz w:val="24"/>
              </w:rPr>
            </w:pPr>
            <w:r>
              <w:rPr>
                <w:rFonts w:hint="eastAsia" w:ascii="Times New Roman" w:hAnsi="Times New Roman" w:eastAsia="宋体" w:cs="Times New Roman"/>
                <w:color w:val="FF0000"/>
                <w:sz w:val="24"/>
              </w:rPr>
              <w:t>本项目利用原林河集团黄磷厂场地进行改建，依托部分原有公用工程及办公生活区。新建硅粉车间、综合楼、中转库等工程，改变原有产污，新增废气、废水排放。</w:t>
            </w:r>
          </w:p>
          <w:p w14:paraId="6F760918">
            <w:pPr>
              <w:spacing w:line="360" w:lineRule="auto"/>
              <w:ind w:firstLine="480" w:firstLineChars="200"/>
              <w:jc w:val="center"/>
              <w:rPr>
                <w:rFonts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rPr>
              <w:t>表</w:t>
            </w:r>
            <w:r>
              <w:rPr>
                <w:rFonts w:ascii="Times New Roman" w:hAnsi="Times New Roman" w:eastAsia="宋体" w:cs="Times New Roman"/>
                <w:color w:val="FF0000"/>
                <w:sz w:val="24"/>
                <w:szCs w:val="24"/>
              </w:rPr>
              <w:t xml:space="preserve">5-11 </w:t>
            </w:r>
            <w:r>
              <w:rPr>
                <w:rFonts w:hint="eastAsia" w:ascii="Times New Roman" w:hAnsi="Times New Roman" w:eastAsia="宋体" w:cs="Times New Roman"/>
                <w:color w:val="FF0000"/>
                <w:sz w:val="24"/>
                <w:szCs w:val="24"/>
              </w:rPr>
              <w:t>项目改扩建前后</w:t>
            </w:r>
            <w:r>
              <w:rPr>
                <w:rFonts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rPr>
              <w:t>三本账</w:t>
            </w:r>
            <w:r>
              <w:rPr>
                <w:rFonts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rPr>
              <w:t>一览表</w:t>
            </w:r>
          </w:p>
          <w:tbl>
            <w:tblPr>
              <w:tblStyle w:val="27"/>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84"/>
              <w:gridCol w:w="1183"/>
              <w:gridCol w:w="1183"/>
              <w:gridCol w:w="1183"/>
              <w:gridCol w:w="1183"/>
              <w:gridCol w:w="1183"/>
              <w:gridCol w:w="1183"/>
            </w:tblGrid>
            <w:tr w14:paraId="3B6C29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15" w:type="pct"/>
                  <w:vAlign w:val="center"/>
                </w:tcPr>
                <w:p w14:paraId="1E47CFB0">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污染物</w:t>
                  </w:r>
                </w:p>
              </w:tc>
              <w:tc>
                <w:tcPr>
                  <w:tcW w:w="714" w:type="pct"/>
                  <w:vAlign w:val="center"/>
                </w:tcPr>
                <w:p w14:paraId="43F7510E">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名称</w:t>
                  </w:r>
                </w:p>
              </w:tc>
              <w:tc>
                <w:tcPr>
                  <w:tcW w:w="714" w:type="pct"/>
                  <w:vAlign w:val="center"/>
                </w:tcPr>
                <w:p w14:paraId="01ED4FD2">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改建前污染物排放量</w:t>
                  </w:r>
                </w:p>
              </w:tc>
              <w:tc>
                <w:tcPr>
                  <w:tcW w:w="714" w:type="pct"/>
                  <w:vAlign w:val="center"/>
                </w:tcPr>
                <w:p w14:paraId="081BD494">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改建项目排放量</w:t>
                  </w:r>
                </w:p>
              </w:tc>
              <w:tc>
                <w:tcPr>
                  <w:tcW w:w="714" w:type="pct"/>
                  <w:vAlign w:val="center"/>
                </w:tcPr>
                <w:p w14:paraId="2EB6E878">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r>
                    <w:rPr>
                      <w:rFonts w:hint="eastAsia" w:ascii="Times New Roman" w:hAnsi="Times New Roman" w:eastAsia="宋体" w:cs="Times New Roman"/>
                      <w:color w:val="FF0000"/>
                      <w:szCs w:val="21"/>
                    </w:rPr>
                    <w:t>以新代老</w:t>
                  </w:r>
                  <w:r>
                    <w:rPr>
                      <w:rFonts w:ascii="Times New Roman" w:hAnsi="Times New Roman" w:eastAsia="宋体" w:cs="Times New Roman"/>
                      <w:color w:val="FF0000"/>
                      <w:szCs w:val="21"/>
                    </w:rPr>
                    <w:t>”</w:t>
                  </w:r>
                  <w:r>
                    <w:rPr>
                      <w:rFonts w:hint="eastAsia" w:ascii="Times New Roman" w:hAnsi="Times New Roman" w:eastAsia="宋体" w:cs="Times New Roman"/>
                      <w:color w:val="FF0000"/>
                      <w:szCs w:val="21"/>
                    </w:rPr>
                    <w:t>削减量</w:t>
                  </w:r>
                </w:p>
              </w:tc>
              <w:tc>
                <w:tcPr>
                  <w:tcW w:w="714" w:type="pct"/>
                  <w:vAlign w:val="center"/>
                </w:tcPr>
                <w:p w14:paraId="3A00FEA1">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改建后排放量</w:t>
                  </w:r>
                </w:p>
              </w:tc>
              <w:tc>
                <w:tcPr>
                  <w:tcW w:w="714" w:type="pct"/>
                  <w:vAlign w:val="center"/>
                </w:tcPr>
                <w:p w14:paraId="5335362C">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增减量</w:t>
                  </w:r>
                </w:p>
              </w:tc>
            </w:tr>
            <w:tr w14:paraId="5CE770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15" w:type="pct"/>
                  <w:vMerge w:val="restart"/>
                  <w:vAlign w:val="center"/>
                </w:tcPr>
                <w:p w14:paraId="3F8796B5">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废气</w:t>
                  </w:r>
                </w:p>
              </w:tc>
              <w:tc>
                <w:tcPr>
                  <w:tcW w:w="714" w:type="pct"/>
                  <w:vAlign w:val="center"/>
                </w:tcPr>
                <w:p w14:paraId="4FAD74D2">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废气量</w:t>
                  </w:r>
                </w:p>
              </w:tc>
              <w:tc>
                <w:tcPr>
                  <w:tcW w:w="714" w:type="pct"/>
                  <w:vAlign w:val="center"/>
                </w:tcPr>
                <w:p w14:paraId="4C6778AD">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1944</w:t>
                  </w:r>
                </w:p>
              </w:tc>
              <w:tc>
                <w:tcPr>
                  <w:tcW w:w="714" w:type="pct"/>
                  <w:vAlign w:val="center"/>
                </w:tcPr>
                <w:p w14:paraId="388D5D44">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5000</w:t>
                  </w:r>
                </w:p>
              </w:tc>
              <w:tc>
                <w:tcPr>
                  <w:tcW w:w="714" w:type="pct"/>
                  <w:vAlign w:val="center"/>
                </w:tcPr>
                <w:p w14:paraId="223FBA12">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1944</w:t>
                  </w:r>
                </w:p>
              </w:tc>
              <w:tc>
                <w:tcPr>
                  <w:tcW w:w="714" w:type="pct"/>
                  <w:vAlign w:val="center"/>
                </w:tcPr>
                <w:p w14:paraId="01D1F925">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5000</w:t>
                  </w:r>
                </w:p>
              </w:tc>
              <w:tc>
                <w:tcPr>
                  <w:tcW w:w="714" w:type="pct"/>
                  <w:vAlign w:val="center"/>
                </w:tcPr>
                <w:p w14:paraId="6F4FA12F">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+3056</w:t>
                  </w:r>
                </w:p>
              </w:tc>
            </w:tr>
            <w:tr w14:paraId="236C13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14:paraId="35CEFDCC">
                  <w:pPr>
                    <w:widowControl/>
                    <w:jc w:val="left"/>
                    <w:rPr>
                      <w:rFonts w:ascii="Times New Roman" w:hAnsi="Times New Roman" w:eastAsia="宋体" w:cs="Times New Roman"/>
                      <w:color w:val="FF0000"/>
                      <w:szCs w:val="21"/>
                    </w:rPr>
                  </w:pPr>
                </w:p>
              </w:tc>
              <w:tc>
                <w:tcPr>
                  <w:tcW w:w="714" w:type="pct"/>
                  <w:vAlign w:val="center"/>
                </w:tcPr>
                <w:p w14:paraId="60EB5CAA">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S</w:t>
                  </w:r>
                  <w:r>
                    <w:rPr>
                      <w:rFonts w:ascii="Times New Roman" w:hAnsi="Times New Roman" w:eastAsia="宋体" w:cs="Times New Roman"/>
                      <w:color w:val="FF0000"/>
                      <w:szCs w:val="21"/>
                    </w:rPr>
                    <w:t>O</w:t>
                  </w:r>
                  <w:r>
                    <w:rPr>
                      <w:rFonts w:ascii="Times New Roman" w:hAnsi="Times New Roman" w:eastAsia="宋体" w:cs="Times New Roman"/>
                      <w:color w:val="FF0000"/>
                      <w:szCs w:val="21"/>
                      <w:vertAlign w:val="subscript"/>
                    </w:rPr>
                    <w:t>2</w:t>
                  </w:r>
                </w:p>
              </w:tc>
              <w:tc>
                <w:tcPr>
                  <w:tcW w:w="714" w:type="pct"/>
                  <w:vAlign w:val="center"/>
                </w:tcPr>
                <w:p w14:paraId="404ED2A1">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9</w:t>
                  </w:r>
                  <w:r>
                    <w:rPr>
                      <w:rFonts w:ascii="Times New Roman" w:hAnsi="Times New Roman" w:eastAsia="宋体" w:cs="Times New Roman"/>
                      <w:color w:val="FF0000"/>
                      <w:szCs w:val="21"/>
                    </w:rPr>
                    <w:t>.22</w:t>
                  </w:r>
                </w:p>
              </w:tc>
              <w:tc>
                <w:tcPr>
                  <w:tcW w:w="714" w:type="pct"/>
                  <w:vAlign w:val="center"/>
                </w:tcPr>
                <w:p w14:paraId="2AF34168">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5121013B">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9</w:t>
                  </w:r>
                  <w:r>
                    <w:rPr>
                      <w:rFonts w:ascii="Times New Roman" w:hAnsi="Times New Roman" w:eastAsia="宋体" w:cs="Times New Roman"/>
                      <w:color w:val="FF0000"/>
                      <w:szCs w:val="21"/>
                    </w:rPr>
                    <w:t>.22</w:t>
                  </w:r>
                </w:p>
              </w:tc>
              <w:tc>
                <w:tcPr>
                  <w:tcW w:w="714" w:type="pct"/>
                  <w:vAlign w:val="center"/>
                </w:tcPr>
                <w:p w14:paraId="7A391516">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7AEAF954">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-9.22</w:t>
                  </w:r>
                </w:p>
              </w:tc>
            </w:tr>
            <w:tr w14:paraId="63E578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14:paraId="2F5EC583">
                  <w:pPr>
                    <w:widowControl/>
                    <w:jc w:val="left"/>
                    <w:rPr>
                      <w:rFonts w:ascii="Times New Roman" w:hAnsi="Times New Roman" w:eastAsia="宋体" w:cs="Times New Roman"/>
                      <w:color w:val="FF0000"/>
                      <w:szCs w:val="21"/>
                    </w:rPr>
                  </w:pPr>
                </w:p>
              </w:tc>
              <w:tc>
                <w:tcPr>
                  <w:tcW w:w="714" w:type="pct"/>
                  <w:vAlign w:val="center"/>
                </w:tcPr>
                <w:p w14:paraId="61CBF9D8">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烟尘</w:t>
                  </w:r>
                </w:p>
              </w:tc>
              <w:tc>
                <w:tcPr>
                  <w:tcW w:w="714" w:type="pct"/>
                  <w:vAlign w:val="center"/>
                </w:tcPr>
                <w:p w14:paraId="693CC9B4">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3.24</w:t>
                  </w:r>
                </w:p>
              </w:tc>
              <w:tc>
                <w:tcPr>
                  <w:tcW w:w="714" w:type="pct"/>
                  <w:vAlign w:val="center"/>
                </w:tcPr>
                <w:p w14:paraId="5C12F05B">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5D9BB776">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3</w:t>
                  </w:r>
                  <w:r>
                    <w:rPr>
                      <w:rFonts w:ascii="Times New Roman" w:hAnsi="Times New Roman" w:eastAsia="宋体" w:cs="Times New Roman"/>
                      <w:color w:val="FF0000"/>
                      <w:szCs w:val="21"/>
                    </w:rPr>
                    <w:t>.24</w:t>
                  </w:r>
                </w:p>
              </w:tc>
              <w:tc>
                <w:tcPr>
                  <w:tcW w:w="714" w:type="pct"/>
                  <w:vAlign w:val="center"/>
                </w:tcPr>
                <w:p w14:paraId="39DA12FE">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7E176E0A">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w:t>
                  </w:r>
                  <w:r>
                    <w:rPr>
                      <w:rFonts w:ascii="Times New Roman" w:hAnsi="Times New Roman" w:eastAsia="宋体" w:cs="Times New Roman"/>
                      <w:color w:val="FF0000"/>
                      <w:szCs w:val="21"/>
                    </w:rPr>
                    <w:t>3.24</w:t>
                  </w:r>
                </w:p>
              </w:tc>
            </w:tr>
            <w:tr w14:paraId="07D094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14:paraId="6D500976">
                  <w:pPr>
                    <w:widowControl/>
                    <w:jc w:val="left"/>
                    <w:rPr>
                      <w:rFonts w:ascii="Times New Roman" w:hAnsi="Times New Roman" w:eastAsia="宋体" w:cs="Times New Roman"/>
                      <w:color w:val="FF0000"/>
                      <w:szCs w:val="21"/>
                    </w:rPr>
                  </w:pPr>
                </w:p>
              </w:tc>
              <w:tc>
                <w:tcPr>
                  <w:tcW w:w="714" w:type="pct"/>
                  <w:vAlign w:val="center"/>
                </w:tcPr>
                <w:p w14:paraId="3287DE7E">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粉尘</w:t>
                  </w:r>
                </w:p>
              </w:tc>
              <w:tc>
                <w:tcPr>
                  <w:tcW w:w="714" w:type="pct"/>
                  <w:vAlign w:val="center"/>
                </w:tcPr>
                <w:p w14:paraId="216F4D89">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45FE385E">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r>
                    <w:rPr>
                      <w:rFonts w:ascii="Times New Roman" w:hAnsi="Times New Roman" w:eastAsia="宋体" w:cs="Times New Roman"/>
                      <w:color w:val="FF0000"/>
                      <w:szCs w:val="21"/>
                    </w:rPr>
                    <w:t>.057</w:t>
                  </w:r>
                </w:p>
              </w:tc>
              <w:tc>
                <w:tcPr>
                  <w:tcW w:w="714" w:type="pct"/>
                  <w:vAlign w:val="center"/>
                </w:tcPr>
                <w:p w14:paraId="44C53F72">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p>
              </w:tc>
              <w:tc>
                <w:tcPr>
                  <w:tcW w:w="714" w:type="pct"/>
                  <w:vAlign w:val="center"/>
                </w:tcPr>
                <w:p w14:paraId="5E1FD553">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0</w:t>
                  </w:r>
                  <w:r>
                    <w:rPr>
                      <w:rFonts w:ascii="Times New Roman" w:hAnsi="Times New Roman" w:eastAsia="宋体" w:cs="Times New Roman"/>
                      <w:color w:val="FF0000"/>
                      <w:szCs w:val="21"/>
                    </w:rPr>
                    <w:t>.057</w:t>
                  </w:r>
                </w:p>
              </w:tc>
              <w:tc>
                <w:tcPr>
                  <w:tcW w:w="714" w:type="pct"/>
                  <w:vAlign w:val="center"/>
                </w:tcPr>
                <w:p w14:paraId="0647B3FD">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w:t>
                  </w:r>
                  <w:r>
                    <w:rPr>
                      <w:rFonts w:ascii="Times New Roman" w:hAnsi="Times New Roman" w:eastAsia="宋体" w:cs="Times New Roman"/>
                      <w:color w:val="FF0000"/>
                      <w:szCs w:val="21"/>
                    </w:rPr>
                    <w:t>0.057</w:t>
                  </w:r>
                </w:p>
              </w:tc>
            </w:tr>
            <w:tr w14:paraId="3F2FD1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15" w:type="pct"/>
                  <w:vAlign w:val="center"/>
                </w:tcPr>
                <w:p w14:paraId="67D85FD0">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废水</w:t>
                  </w:r>
                </w:p>
              </w:tc>
              <w:tc>
                <w:tcPr>
                  <w:tcW w:w="714" w:type="pct"/>
                  <w:vAlign w:val="center"/>
                </w:tcPr>
                <w:p w14:paraId="72E0A3F9">
                  <w:pPr>
                    <w:spacing w:line="360" w:lineRule="auto"/>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废水量</w:t>
                  </w:r>
                </w:p>
              </w:tc>
              <w:tc>
                <w:tcPr>
                  <w:tcW w:w="714" w:type="pct"/>
                  <w:vAlign w:val="center"/>
                </w:tcPr>
                <w:p w14:paraId="2EFF7980">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0.38</w:t>
                  </w:r>
                </w:p>
              </w:tc>
              <w:tc>
                <w:tcPr>
                  <w:tcW w:w="714" w:type="pct"/>
                  <w:vAlign w:val="center"/>
                </w:tcPr>
                <w:p w14:paraId="19E4E8A9">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0.64</w:t>
                  </w:r>
                </w:p>
              </w:tc>
              <w:tc>
                <w:tcPr>
                  <w:tcW w:w="714" w:type="pct"/>
                  <w:vAlign w:val="center"/>
                </w:tcPr>
                <w:p w14:paraId="7DBE67F8">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0.38</w:t>
                  </w:r>
                </w:p>
              </w:tc>
              <w:tc>
                <w:tcPr>
                  <w:tcW w:w="714" w:type="pct"/>
                  <w:vAlign w:val="center"/>
                </w:tcPr>
                <w:p w14:paraId="0CA7875D">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0.64</w:t>
                  </w:r>
                </w:p>
              </w:tc>
              <w:tc>
                <w:tcPr>
                  <w:tcW w:w="714" w:type="pct"/>
                  <w:vAlign w:val="center"/>
                </w:tcPr>
                <w:p w14:paraId="1200AE6A">
                  <w:pPr>
                    <w:spacing w:line="360" w:lineRule="auto"/>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+0.26</w:t>
                  </w:r>
                </w:p>
              </w:tc>
            </w:tr>
          </w:tbl>
          <w:p w14:paraId="03BC6CB5">
            <w:pPr>
              <w:spacing w:line="360" w:lineRule="auto"/>
              <w:rPr>
                <w:rFonts w:ascii="Times New Roman" w:hAnsi="Times New Roman" w:eastAsia="宋体" w:cs="Times New Roman"/>
                <w:b/>
                <w:sz w:val="28"/>
                <w:szCs w:val="21"/>
              </w:rPr>
            </w:pPr>
            <w:r>
              <w:rPr>
                <w:rFonts w:hint="eastAsia" w:ascii="Times New Roman" w:hAnsi="Times New Roman" w:eastAsia="宋体" w:cs="Times New Roman"/>
                <w:b/>
                <w:bCs/>
                <w:sz w:val="28"/>
                <w:szCs w:val="21"/>
              </w:rPr>
              <w:t>五、</w:t>
            </w:r>
            <w:r>
              <w:rPr>
                <w:rFonts w:ascii="Times New Roman" w:hAnsi="Times New Roman" w:eastAsia="宋体" w:cs="Times New Roman"/>
                <w:b/>
                <w:bCs/>
                <w:sz w:val="28"/>
                <w:szCs w:val="21"/>
              </w:rPr>
              <w:t>环保投资估算一览表</w:t>
            </w:r>
          </w:p>
          <w:p w14:paraId="6EA30C74">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本项目总投资1920万元，项目为改建工程，为确保污染物达标排放，项目环保投资81万元，占总投资的4.22%。项目环保投资见表5-12。</w:t>
            </w:r>
          </w:p>
          <w:p w14:paraId="0021C0E5">
            <w:pPr>
              <w:spacing w:line="276" w:lineRule="auto"/>
              <w:jc w:val="center"/>
              <w:rPr>
                <w:rFonts w:ascii="Times New Roman" w:hAnsi="Times New Roman" w:eastAsia="宋体" w:cs="Times New Roman"/>
                <w:bCs/>
                <w:sz w:val="24"/>
              </w:rPr>
            </w:pPr>
            <w:r>
              <w:rPr>
                <w:rFonts w:ascii="Times New Roman" w:hAnsi="Times New Roman" w:eastAsia="宋体" w:cs="Times New Roman"/>
                <w:bCs/>
                <w:sz w:val="24"/>
              </w:rPr>
              <w:t>表5-12</w:t>
            </w:r>
            <w:r>
              <w:rPr>
                <w:rFonts w:hint="eastAsia" w:ascii="Times New Roman" w:hAnsi="Times New Roman" w:eastAsia="宋体" w:cs="Times New Roman"/>
                <w:bCs/>
                <w:sz w:val="24"/>
              </w:rPr>
              <w:t xml:space="preserve"> </w:t>
            </w:r>
            <w:r>
              <w:rPr>
                <w:rFonts w:ascii="Times New Roman" w:hAnsi="Times New Roman" w:eastAsia="宋体" w:cs="Times New Roman"/>
                <w:bCs/>
                <w:sz w:val="24"/>
              </w:rPr>
              <w:t>环保设施（措施）及投资估算一览表</w:t>
            </w:r>
          </w:p>
          <w:tbl>
            <w:tblPr>
              <w:tblStyle w:val="26"/>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53"/>
              <w:gridCol w:w="1558"/>
              <w:gridCol w:w="3118"/>
              <w:gridCol w:w="989"/>
              <w:gridCol w:w="1479"/>
            </w:tblGrid>
            <w:tr w14:paraId="37E20E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tcBorders>
                    <w:top w:val="single" w:color="auto" w:sz="12" w:space="0"/>
                    <w:left w:val="single" w:color="auto" w:sz="12" w:space="0"/>
                    <w:bottom w:val="single" w:color="auto" w:sz="12" w:space="0"/>
                    <w:right w:val="single" w:color="auto" w:sz="6" w:space="0"/>
                  </w:tcBorders>
                  <w:vAlign w:val="center"/>
                </w:tcPr>
                <w:p w14:paraId="29F1C352">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项目</w:t>
                  </w:r>
                </w:p>
              </w:tc>
              <w:tc>
                <w:tcPr>
                  <w:tcW w:w="939" w:type="pct"/>
                  <w:tcBorders>
                    <w:top w:val="single" w:color="auto" w:sz="12" w:space="0"/>
                    <w:left w:val="single" w:color="auto" w:sz="6" w:space="0"/>
                    <w:bottom w:val="single" w:color="auto" w:sz="12" w:space="0"/>
                    <w:right w:val="single" w:color="auto" w:sz="6" w:space="0"/>
                  </w:tcBorders>
                  <w:vAlign w:val="center"/>
                </w:tcPr>
                <w:p w14:paraId="3ADEE81F">
                  <w:pPr>
                    <w:widowControl/>
                    <w:ind w:leftChars="-8" w:hanging="16" w:hangingChars="8"/>
                    <w:jc w:val="center"/>
                    <w:rPr>
                      <w:rFonts w:ascii="Times New Roman" w:hAnsi="Times New Roman" w:eastAsia="宋体" w:cs="Times New Roman"/>
                      <w:kern w:val="0"/>
                      <w:szCs w:val="21"/>
                    </w:rPr>
                  </w:pPr>
                  <w:r>
                    <w:rPr>
                      <w:rFonts w:ascii="Times New Roman" w:hAnsi="Times New Roman" w:eastAsia="宋体" w:cs="Times New Roman"/>
                      <w:kern w:val="0"/>
                      <w:szCs w:val="21"/>
                    </w:rPr>
                    <w:t>污染源</w:t>
                  </w:r>
                </w:p>
              </w:tc>
              <w:tc>
                <w:tcPr>
                  <w:tcW w:w="1879" w:type="pct"/>
                  <w:tcBorders>
                    <w:top w:val="single" w:color="auto" w:sz="12" w:space="0"/>
                    <w:left w:val="single" w:color="auto" w:sz="6" w:space="0"/>
                    <w:bottom w:val="single" w:color="auto" w:sz="12" w:space="0"/>
                    <w:right w:val="single" w:color="auto" w:sz="6" w:space="0"/>
                  </w:tcBorders>
                  <w:vAlign w:val="center"/>
                </w:tcPr>
                <w:p w14:paraId="147BD27E">
                  <w:pPr>
                    <w:widowControl/>
                    <w:ind w:firstLine="25" w:firstLineChars="12"/>
                    <w:jc w:val="center"/>
                    <w:rPr>
                      <w:rFonts w:ascii="Times New Roman" w:hAnsi="Times New Roman" w:eastAsia="宋体" w:cs="Times New Roman"/>
                      <w:kern w:val="0"/>
                      <w:szCs w:val="21"/>
                    </w:rPr>
                  </w:pPr>
                  <w:r>
                    <w:rPr>
                      <w:rFonts w:ascii="Times New Roman" w:hAnsi="Times New Roman" w:eastAsia="宋体" w:cs="Times New Roman"/>
                      <w:kern w:val="0"/>
                      <w:szCs w:val="21"/>
                    </w:rPr>
                    <w:t>治理措施</w:t>
                  </w:r>
                </w:p>
              </w:tc>
              <w:tc>
                <w:tcPr>
                  <w:tcW w:w="596" w:type="pct"/>
                  <w:tcBorders>
                    <w:top w:val="single" w:color="auto" w:sz="12" w:space="0"/>
                    <w:left w:val="single" w:color="auto" w:sz="6" w:space="0"/>
                    <w:bottom w:val="single" w:color="auto" w:sz="12" w:space="0"/>
                    <w:right w:val="single" w:color="auto" w:sz="6" w:space="0"/>
                  </w:tcBorders>
                  <w:vAlign w:val="center"/>
                </w:tcPr>
                <w:p w14:paraId="6D46EE75">
                  <w:pPr>
                    <w:widowControl/>
                    <w:ind w:hanging="2"/>
                    <w:jc w:val="center"/>
                    <w:rPr>
                      <w:rFonts w:ascii="Times New Roman" w:hAnsi="Times New Roman" w:eastAsia="宋体" w:cs="Times New Roman"/>
                      <w:kern w:val="0"/>
                      <w:szCs w:val="21"/>
                    </w:rPr>
                  </w:pPr>
                  <w:r>
                    <w:rPr>
                      <w:rFonts w:ascii="Times New Roman" w:hAnsi="Times New Roman" w:eastAsia="宋体" w:cs="Times New Roman"/>
                      <w:kern w:val="0"/>
                      <w:szCs w:val="21"/>
                    </w:rPr>
                    <w:t>环保投资（万元）</w:t>
                  </w:r>
                </w:p>
              </w:tc>
              <w:tc>
                <w:tcPr>
                  <w:tcW w:w="891" w:type="pct"/>
                  <w:tcBorders>
                    <w:top w:val="single" w:color="auto" w:sz="12" w:space="0"/>
                    <w:left w:val="single" w:color="auto" w:sz="6" w:space="0"/>
                    <w:bottom w:val="single" w:color="auto" w:sz="12" w:space="0"/>
                    <w:right w:val="single" w:color="auto" w:sz="12" w:space="0"/>
                  </w:tcBorders>
                  <w:vAlign w:val="center"/>
                </w:tcPr>
                <w:p w14:paraId="5536F1AB">
                  <w:pPr>
                    <w:widowControl/>
                    <w:ind w:hanging="2"/>
                    <w:jc w:val="center"/>
                    <w:rPr>
                      <w:rFonts w:ascii="Times New Roman" w:hAnsi="Times New Roman" w:eastAsia="宋体" w:cs="Times New Roman"/>
                      <w:kern w:val="0"/>
                      <w:szCs w:val="21"/>
                    </w:rPr>
                  </w:pPr>
                  <w:r>
                    <w:rPr>
                      <w:rFonts w:ascii="Times New Roman" w:hAnsi="Times New Roman" w:eastAsia="宋体" w:cs="Times New Roman"/>
                      <w:kern w:val="0"/>
                      <w:szCs w:val="21"/>
                    </w:rPr>
                    <w:t>备注</w:t>
                  </w:r>
                </w:p>
              </w:tc>
            </w:tr>
            <w:tr w14:paraId="214C34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79" w:hRule="atLeast"/>
                <w:jc w:val="center"/>
              </w:trPr>
              <w:tc>
                <w:tcPr>
                  <w:tcW w:w="695" w:type="pct"/>
                  <w:vMerge w:val="restart"/>
                  <w:tcBorders>
                    <w:top w:val="single" w:color="auto" w:sz="12" w:space="0"/>
                    <w:left w:val="single" w:color="auto" w:sz="12" w:space="0"/>
                    <w:right w:val="single" w:color="auto" w:sz="6" w:space="0"/>
                  </w:tcBorders>
                  <w:vAlign w:val="center"/>
                </w:tcPr>
                <w:p w14:paraId="764010E1">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废水</w:t>
                  </w:r>
                </w:p>
              </w:tc>
              <w:tc>
                <w:tcPr>
                  <w:tcW w:w="939" w:type="pct"/>
                  <w:tcBorders>
                    <w:top w:val="single" w:color="auto" w:sz="12" w:space="0"/>
                    <w:left w:val="single" w:color="auto" w:sz="6" w:space="0"/>
                    <w:bottom w:val="single" w:color="auto" w:sz="4" w:space="0"/>
                    <w:right w:val="single" w:color="auto" w:sz="6" w:space="0"/>
                  </w:tcBorders>
                  <w:vAlign w:val="center"/>
                </w:tcPr>
                <w:p w14:paraId="12D483BF">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二级生化处理设施</w:t>
                  </w:r>
                </w:p>
              </w:tc>
              <w:tc>
                <w:tcPr>
                  <w:tcW w:w="1879" w:type="pct"/>
                  <w:tcBorders>
                    <w:top w:val="single" w:color="auto" w:sz="12" w:space="0"/>
                    <w:left w:val="single" w:color="auto" w:sz="6" w:space="0"/>
                    <w:bottom w:val="single" w:color="auto" w:sz="4" w:space="0"/>
                    <w:right w:val="single" w:color="auto" w:sz="6" w:space="0"/>
                  </w:tcBorders>
                  <w:vAlign w:val="center"/>
                </w:tcPr>
                <w:p w14:paraId="7DCF0189">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经预处理池处理后回用作农肥，不直接外排</w:t>
                  </w:r>
                </w:p>
              </w:tc>
              <w:tc>
                <w:tcPr>
                  <w:tcW w:w="596" w:type="pct"/>
                  <w:tcBorders>
                    <w:top w:val="single" w:color="auto" w:sz="12" w:space="0"/>
                    <w:left w:val="single" w:color="auto" w:sz="6" w:space="0"/>
                    <w:bottom w:val="single" w:color="auto" w:sz="4" w:space="0"/>
                    <w:right w:val="single" w:color="auto" w:sz="6" w:space="0"/>
                  </w:tcBorders>
                  <w:vAlign w:val="center"/>
                </w:tcPr>
                <w:p w14:paraId="097AEC18">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5</w:t>
                  </w:r>
                </w:p>
              </w:tc>
              <w:tc>
                <w:tcPr>
                  <w:tcW w:w="891" w:type="pct"/>
                  <w:tcBorders>
                    <w:top w:val="single" w:color="auto" w:sz="12" w:space="0"/>
                    <w:left w:val="single" w:color="auto" w:sz="6" w:space="0"/>
                    <w:bottom w:val="single" w:color="auto" w:sz="4" w:space="0"/>
                    <w:right w:val="single" w:color="auto" w:sz="12" w:space="0"/>
                  </w:tcBorders>
                  <w:vAlign w:val="center"/>
                </w:tcPr>
                <w:p w14:paraId="4BC009FE">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依托利旧</w:t>
                  </w:r>
                </w:p>
              </w:tc>
            </w:tr>
            <w:tr w14:paraId="77B07DA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95" w:type="pct"/>
                  <w:vMerge w:val="continue"/>
                  <w:tcBorders>
                    <w:left w:val="single" w:color="auto" w:sz="12" w:space="0"/>
                    <w:right w:val="single" w:color="auto" w:sz="6" w:space="0"/>
                  </w:tcBorders>
                  <w:vAlign w:val="center"/>
                </w:tcPr>
                <w:p w14:paraId="038FD383">
                  <w:pPr>
                    <w:widowControl/>
                    <w:ind w:firstLine="29" w:firstLineChars="14"/>
                    <w:jc w:val="center"/>
                    <w:rPr>
                      <w:rFonts w:ascii="Times New Roman" w:hAnsi="Times New Roman" w:eastAsia="宋体" w:cs="Times New Roman"/>
                      <w:kern w:val="0"/>
                      <w:szCs w:val="21"/>
                    </w:rPr>
                  </w:pPr>
                </w:p>
              </w:tc>
              <w:tc>
                <w:tcPr>
                  <w:tcW w:w="939" w:type="pct"/>
                  <w:tcBorders>
                    <w:top w:val="single" w:color="auto" w:sz="4" w:space="0"/>
                    <w:left w:val="single" w:color="auto" w:sz="6" w:space="0"/>
                    <w:bottom w:val="single" w:color="auto" w:sz="6" w:space="0"/>
                    <w:right w:val="single" w:color="auto" w:sz="6" w:space="0"/>
                  </w:tcBorders>
                  <w:vAlign w:val="center"/>
                </w:tcPr>
                <w:p w14:paraId="3FB1F972">
                  <w:pPr>
                    <w:jc w:val="center"/>
                    <w:rPr>
                      <w:rFonts w:ascii="Times New Roman" w:hAnsi="Times New Roman" w:eastAsia="宋体" w:cs="Times New Roman"/>
                      <w:kern w:val="0"/>
                      <w:szCs w:val="21"/>
                    </w:rPr>
                  </w:pPr>
                  <w:r>
                    <w:rPr>
                      <w:rFonts w:ascii="Times New Roman" w:hAnsi="Times New Roman" w:eastAsia="宋体" w:cs="Times New Roman"/>
                      <w:kern w:val="0"/>
                      <w:szCs w:val="21"/>
                    </w:rPr>
                    <w:t>雨水</w:t>
                  </w:r>
                </w:p>
              </w:tc>
              <w:tc>
                <w:tcPr>
                  <w:tcW w:w="1879" w:type="pct"/>
                  <w:tcBorders>
                    <w:top w:val="single" w:color="auto" w:sz="4" w:space="0"/>
                    <w:left w:val="single" w:color="auto" w:sz="6" w:space="0"/>
                    <w:bottom w:val="single" w:color="auto" w:sz="6" w:space="0"/>
                    <w:right w:val="single" w:color="auto" w:sz="6" w:space="0"/>
                  </w:tcBorders>
                  <w:vAlign w:val="center"/>
                </w:tcPr>
                <w:p w14:paraId="29BB4E60">
                  <w:pPr>
                    <w:jc w:val="center"/>
                    <w:rPr>
                      <w:rFonts w:ascii="Times New Roman" w:hAnsi="Times New Roman" w:eastAsia="宋体" w:cs="Times New Roman"/>
                      <w:kern w:val="0"/>
                      <w:szCs w:val="21"/>
                    </w:rPr>
                  </w:pPr>
                  <w:r>
                    <w:rPr>
                      <w:rFonts w:hint="eastAsia" w:ascii="Times New Roman" w:hAnsi="Times New Roman" w:eastAsia="宋体" w:cs="Times New Roman"/>
                      <w:bCs/>
                      <w:kern w:val="0"/>
                      <w:szCs w:val="21"/>
                    </w:rPr>
                    <w:t>雨水导排沟、雨水斗等</w:t>
                  </w:r>
                </w:p>
              </w:tc>
              <w:tc>
                <w:tcPr>
                  <w:tcW w:w="596" w:type="pct"/>
                  <w:tcBorders>
                    <w:top w:val="single" w:color="auto" w:sz="4" w:space="0"/>
                    <w:left w:val="single" w:color="auto" w:sz="6" w:space="0"/>
                    <w:bottom w:val="single" w:color="auto" w:sz="6" w:space="0"/>
                    <w:right w:val="single" w:color="auto" w:sz="6" w:space="0"/>
                  </w:tcBorders>
                  <w:vAlign w:val="center"/>
                </w:tcPr>
                <w:p w14:paraId="11BA890D">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891" w:type="pct"/>
                  <w:tcBorders>
                    <w:top w:val="single" w:color="auto" w:sz="4" w:space="0"/>
                    <w:left w:val="single" w:color="auto" w:sz="6" w:space="0"/>
                    <w:bottom w:val="single" w:color="auto" w:sz="6" w:space="0"/>
                    <w:right w:val="single" w:color="auto" w:sz="12" w:space="0"/>
                  </w:tcBorders>
                  <w:vAlign w:val="center"/>
                </w:tcPr>
                <w:p w14:paraId="3C2878D6">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收集处理</w:t>
                  </w:r>
                </w:p>
              </w:tc>
            </w:tr>
            <w:tr w14:paraId="6A9E5C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95" w:type="pct"/>
                  <w:vMerge w:val="continue"/>
                  <w:tcBorders>
                    <w:left w:val="single" w:color="auto" w:sz="12" w:space="0"/>
                    <w:right w:val="single" w:color="auto" w:sz="6" w:space="0"/>
                  </w:tcBorders>
                  <w:vAlign w:val="center"/>
                </w:tcPr>
                <w:p w14:paraId="48D1A704">
                  <w:pPr>
                    <w:widowControl/>
                    <w:ind w:firstLine="29" w:firstLineChars="14"/>
                    <w:jc w:val="center"/>
                    <w:rPr>
                      <w:rFonts w:ascii="Times New Roman" w:hAnsi="Times New Roman" w:eastAsia="宋体" w:cs="Times New Roman"/>
                      <w:kern w:val="0"/>
                      <w:szCs w:val="21"/>
                    </w:rPr>
                  </w:pPr>
                </w:p>
              </w:tc>
              <w:tc>
                <w:tcPr>
                  <w:tcW w:w="939" w:type="pct"/>
                  <w:tcBorders>
                    <w:top w:val="single" w:color="auto" w:sz="4" w:space="0"/>
                    <w:left w:val="single" w:color="auto" w:sz="6" w:space="0"/>
                    <w:bottom w:val="single" w:color="auto" w:sz="6" w:space="0"/>
                    <w:right w:val="single" w:color="auto" w:sz="6" w:space="0"/>
                  </w:tcBorders>
                  <w:vAlign w:val="center"/>
                </w:tcPr>
                <w:p w14:paraId="2E013093">
                  <w:pPr>
                    <w:jc w:val="center"/>
                    <w:rPr>
                      <w:rFonts w:ascii="Times New Roman" w:hAnsi="Times New Roman" w:eastAsia="宋体" w:cs="Times New Roman"/>
                      <w:kern w:val="0"/>
                      <w:szCs w:val="21"/>
                    </w:rPr>
                  </w:pPr>
                  <w:r>
                    <w:rPr>
                      <w:rFonts w:ascii="Times New Roman" w:hAnsi="Times New Roman" w:eastAsia="宋体" w:cs="Times New Roman"/>
                      <w:kern w:val="0"/>
                      <w:szCs w:val="21"/>
                    </w:rPr>
                    <w:t>轮胎冲洗池</w:t>
                  </w:r>
                </w:p>
              </w:tc>
              <w:tc>
                <w:tcPr>
                  <w:tcW w:w="1879" w:type="pct"/>
                  <w:tcBorders>
                    <w:top w:val="single" w:color="auto" w:sz="4" w:space="0"/>
                    <w:left w:val="single" w:color="auto" w:sz="6" w:space="0"/>
                    <w:bottom w:val="single" w:color="auto" w:sz="6" w:space="0"/>
                    <w:right w:val="single" w:color="auto" w:sz="6" w:space="0"/>
                  </w:tcBorders>
                  <w:vAlign w:val="center"/>
                </w:tcPr>
                <w:p w14:paraId="7EB1555C">
                  <w:pPr>
                    <w:jc w:val="center"/>
                    <w:rPr>
                      <w:rFonts w:ascii="Times New Roman" w:hAnsi="Times New Roman" w:eastAsia="宋体" w:cs="Times New Roman"/>
                      <w:bCs/>
                      <w:kern w:val="0"/>
                      <w:szCs w:val="21"/>
                    </w:rPr>
                  </w:pPr>
                  <w:r>
                    <w:rPr>
                      <w:rFonts w:ascii="Times New Roman" w:hAnsi="Times New Roman" w:eastAsia="宋体" w:cs="Times New Roman"/>
                      <w:bCs/>
                      <w:kern w:val="0"/>
                      <w:szCs w:val="21"/>
                    </w:rPr>
                    <w:t>轮胎冲洗池</w:t>
                  </w:r>
                </w:p>
              </w:tc>
              <w:tc>
                <w:tcPr>
                  <w:tcW w:w="596" w:type="pct"/>
                  <w:tcBorders>
                    <w:top w:val="single" w:color="auto" w:sz="4" w:space="0"/>
                    <w:left w:val="single" w:color="auto" w:sz="6" w:space="0"/>
                    <w:bottom w:val="single" w:color="auto" w:sz="6" w:space="0"/>
                    <w:right w:val="single" w:color="auto" w:sz="6" w:space="0"/>
                  </w:tcBorders>
                  <w:vAlign w:val="center"/>
                </w:tcPr>
                <w:p w14:paraId="7424A214">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.5</w:t>
                  </w:r>
                </w:p>
              </w:tc>
              <w:tc>
                <w:tcPr>
                  <w:tcW w:w="891" w:type="pct"/>
                  <w:tcBorders>
                    <w:top w:val="single" w:color="auto" w:sz="4" w:space="0"/>
                    <w:left w:val="single" w:color="auto" w:sz="6" w:space="0"/>
                    <w:bottom w:val="single" w:color="auto" w:sz="6" w:space="0"/>
                    <w:right w:val="single" w:color="auto" w:sz="12" w:space="0"/>
                  </w:tcBorders>
                  <w:vAlign w:val="center"/>
                </w:tcPr>
                <w:p w14:paraId="3C6ADC9E">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新建</w:t>
                  </w:r>
                </w:p>
              </w:tc>
            </w:tr>
            <w:tr w14:paraId="07772B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restart"/>
                  <w:tcBorders>
                    <w:top w:val="single" w:color="auto" w:sz="6" w:space="0"/>
                    <w:left w:val="single" w:color="auto" w:sz="12" w:space="0"/>
                    <w:right w:val="single" w:color="auto" w:sz="6" w:space="0"/>
                  </w:tcBorders>
                  <w:vAlign w:val="center"/>
                </w:tcPr>
                <w:p w14:paraId="585F235F">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废气</w:t>
                  </w:r>
                </w:p>
              </w:tc>
              <w:tc>
                <w:tcPr>
                  <w:tcW w:w="939" w:type="pct"/>
                  <w:tcBorders>
                    <w:top w:val="single" w:color="auto" w:sz="6" w:space="0"/>
                    <w:left w:val="single" w:color="auto" w:sz="6" w:space="0"/>
                    <w:bottom w:val="single" w:color="auto" w:sz="6" w:space="0"/>
                    <w:right w:val="single" w:color="auto" w:sz="6" w:space="0"/>
                  </w:tcBorders>
                  <w:vAlign w:val="center"/>
                </w:tcPr>
                <w:p w14:paraId="54DCCD5A">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工艺粉尘</w:t>
                  </w:r>
                </w:p>
              </w:tc>
              <w:tc>
                <w:tcPr>
                  <w:tcW w:w="1879" w:type="pct"/>
                  <w:tcBorders>
                    <w:top w:val="single" w:color="auto" w:sz="6" w:space="0"/>
                    <w:left w:val="single" w:color="auto" w:sz="6" w:space="0"/>
                    <w:bottom w:val="single" w:color="auto" w:sz="6" w:space="0"/>
                    <w:right w:val="single" w:color="auto" w:sz="6" w:space="0"/>
                  </w:tcBorders>
                  <w:vAlign w:val="center"/>
                </w:tcPr>
                <w:p w14:paraId="35BEC75E">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szCs w:val="21"/>
                    </w:rPr>
                    <w:t>各工段安装集气罩，布置4套脉冲布袋除尘共用一根</w:t>
                  </w:r>
                  <w:r>
                    <w:rPr>
                      <w:rFonts w:ascii="Times New Roman" w:hAnsi="Times New Roman" w:eastAsia="宋体" w:cs="Times New Roman"/>
                      <w:szCs w:val="21"/>
                    </w:rPr>
                    <w:t>15</w:t>
                  </w:r>
                  <w:r>
                    <w:rPr>
                      <w:rFonts w:hint="eastAsia" w:ascii="Times New Roman" w:hAnsi="Times New Roman" w:eastAsia="宋体" w:cs="Times New Roman"/>
                      <w:szCs w:val="21"/>
                    </w:rPr>
                    <w:t>m排气筒</w:t>
                  </w:r>
                </w:p>
              </w:tc>
              <w:tc>
                <w:tcPr>
                  <w:tcW w:w="596" w:type="pct"/>
                  <w:tcBorders>
                    <w:top w:val="single" w:color="auto" w:sz="6" w:space="0"/>
                    <w:left w:val="single" w:color="auto" w:sz="6" w:space="0"/>
                    <w:bottom w:val="single" w:color="auto" w:sz="6" w:space="0"/>
                    <w:right w:val="single" w:color="auto" w:sz="6" w:space="0"/>
                  </w:tcBorders>
                  <w:vAlign w:val="center"/>
                </w:tcPr>
                <w:p w14:paraId="72F33A89">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50</w:t>
                  </w:r>
                </w:p>
              </w:tc>
              <w:tc>
                <w:tcPr>
                  <w:tcW w:w="891" w:type="pct"/>
                  <w:tcBorders>
                    <w:top w:val="single" w:color="auto" w:sz="6" w:space="0"/>
                    <w:left w:val="single" w:color="auto" w:sz="6" w:space="0"/>
                    <w:bottom w:val="single" w:color="auto" w:sz="6" w:space="0"/>
                    <w:right w:val="single" w:color="auto" w:sz="12" w:space="0"/>
                  </w:tcBorders>
                  <w:vAlign w:val="center"/>
                </w:tcPr>
                <w:p w14:paraId="78198E5B">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设备维护费用</w:t>
                  </w:r>
                  <w:r>
                    <w:rPr>
                      <w:rFonts w:ascii="Times New Roman" w:hAnsi="Times New Roman" w:eastAsia="宋体" w:cs="Times New Roman"/>
                      <w:kern w:val="0"/>
                      <w:szCs w:val="21"/>
                    </w:rPr>
                    <w:t>每年持续投入</w:t>
                  </w:r>
                </w:p>
              </w:tc>
            </w:tr>
            <w:tr w14:paraId="0C6A11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left w:val="single" w:color="auto" w:sz="12" w:space="0"/>
                    <w:right w:val="single" w:color="auto" w:sz="6" w:space="0"/>
                  </w:tcBorders>
                  <w:vAlign w:val="center"/>
                </w:tcPr>
                <w:p w14:paraId="01C02967">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440115E8">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进料、输送</w:t>
                  </w:r>
                  <w:r>
                    <w:rPr>
                      <w:rFonts w:ascii="Times New Roman" w:hAnsi="Times New Roman" w:eastAsia="宋体" w:cs="Times New Roman"/>
                      <w:kern w:val="0"/>
                      <w:szCs w:val="21"/>
                    </w:rPr>
                    <w:t>粉尘</w:t>
                  </w:r>
                </w:p>
              </w:tc>
              <w:tc>
                <w:tcPr>
                  <w:tcW w:w="1879" w:type="pct"/>
                  <w:tcBorders>
                    <w:top w:val="single" w:color="auto" w:sz="6" w:space="0"/>
                    <w:left w:val="single" w:color="auto" w:sz="6" w:space="0"/>
                    <w:bottom w:val="single" w:color="auto" w:sz="6" w:space="0"/>
                    <w:right w:val="single" w:color="auto" w:sz="6" w:space="0"/>
                  </w:tcBorders>
                  <w:vAlign w:val="center"/>
                </w:tcPr>
                <w:p w14:paraId="78B235AE">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szCs w:val="21"/>
                    </w:rPr>
                    <w:t>安装集气罩，进入脉冲布袋除尘共用一根</w:t>
                  </w:r>
                  <w:r>
                    <w:rPr>
                      <w:rFonts w:ascii="Times New Roman" w:hAnsi="Times New Roman" w:eastAsia="宋体" w:cs="Times New Roman"/>
                      <w:szCs w:val="21"/>
                    </w:rPr>
                    <w:t>15</w:t>
                  </w:r>
                  <w:r>
                    <w:rPr>
                      <w:rFonts w:hint="eastAsia" w:ascii="Times New Roman" w:hAnsi="Times New Roman" w:eastAsia="宋体" w:cs="Times New Roman"/>
                      <w:szCs w:val="21"/>
                    </w:rPr>
                    <w:t>m排气筒</w:t>
                  </w:r>
                </w:p>
              </w:tc>
              <w:tc>
                <w:tcPr>
                  <w:tcW w:w="596" w:type="pct"/>
                  <w:tcBorders>
                    <w:top w:val="single" w:color="auto" w:sz="6" w:space="0"/>
                    <w:left w:val="single" w:color="auto" w:sz="6" w:space="0"/>
                    <w:bottom w:val="single" w:color="auto" w:sz="6" w:space="0"/>
                    <w:right w:val="single" w:color="auto" w:sz="6" w:space="0"/>
                  </w:tcBorders>
                  <w:vAlign w:val="center"/>
                </w:tcPr>
                <w:p w14:paraId="67C2413B">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10</w:t>
                  </w:r>
                </w:p>
              </w:tc>
              <w:tc>
                <w:tcPr>
                  <w:tcW w:w="891" w:type="pct"/>
                  <w:tcBorders>
                    <w:top w:val="single" w:color="auto" w:sz="6" w:space="0"/>
                    <w:left w:val="single" w:color="auto" w:sz="6" w:space="0"/>
                    <w:bottom w:val="single" w:color="auto" w:sz="6" w:space="0"/>
                    <w:right w:val="single" w:color="auto" w:sz="12" w:space="0"/>
                  </w:tcBorders>
                  <w:vAlign w:val="center"/>
                </w:tcPr>
                <w:p w14:paraId="224D595D">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设备维护费用</w:t>
                  </w:r>
                  <w:r>
                    <w:rPr>
                      <w:rFonts w:ascii="Times New Roman" w:hAnsi="Times New Roman" w:eastAsia="宋体" w:cs="Times New Roman"/>
                      <w:kern w:val="0"/>
                      <w:szCs w:val="21"/>
                    </w:rPr>
                    <w:t>每年持续投入</w:t>
                  </w:r>
                </w:p>
              </w:tc>
            </w:tr>
            <w:tr w14:paraId="437F2B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left w:val="single" w:color="auto" w:sz="12" w:space="0"/>
                    <w:right w:val="single" w:color="auto" w:sz="6" w:space="0"/>
                  </w:tcBorders>
                  <w:vAlign w:val="center"/>
                </w:tcPr>
                <w:p w14:paraId="5C3FE7A7">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1AA6D0FB">
                  <w:pPr>
                    <w:jc w:val="center"/>
                    <w:rPr>
                      <w:rFonts w:ascii="Times New Roman" w:hAnsi="Times New Roman" w:eastAsia="宋体" w:cs="Times New Roman"/>
                      <w:kern w:val="0"/>
                      <w:szCs w:val="21"/>
                    </w:rPr>
                  </w:pPr>
                  <w:r>
                    <w:rPr>
                      <w:rFonts w:ascii="Times New Roman" w:hAnsi="Times New Roman" w:eastAsia="宋体" w:cs="Times New Roman"/>
                      <w:kern w:val="0"/>
                      <w:szCs w:val="21"/>
                    </w:rPr>
                    <w:t>堆场粉尘</w:t>
                  </w:r>
                </w:p>
              </w:tc>
              <w:tc>
                <w:tcPr>
                  <w:tcW w:w="1879" w:type="pct"/>
                  <w:tcBorders>
                    <w:top w:val="single" w:color="auto" w:sz="6" w:space="0"/>
                    <w:left w:val="single" w:color="auto" w:sz="6" w:space="0"/>
                    <w:bottom w:val="single" w:color="auto" w:sz="6" w:space="0"/>
                    <w:right w:val="single" w:color="auto" w:sz="6" w:space="0"/>
                  </w:tcBorders>
                  <w:vAlign w:val="center"/>
                </w:tcPr>
                <w:p w14:paraId="0CABE276">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szCs w:val="21"/>
                    </w:rPr>
                    <w:t>袋装+车间密闭</w:t>
                  </w:r>
                  <w:r>
                    <w:rPr>
                      <w:rFonts w:ascii="Times New Roman" w:hAnsi="Times New Roman" w:eastAsia="宋体" w:cs="Times New Roman"/>
                      <w:szCs w:val="21"/>
                    </w:rPr>
                    <w:t>+少量堆存</w:t>
                  </w:r>
                </w:p>
              </w:tc>
              <w:tc>
                <w:tcPr>
                  <w:tcW w:w="596" w:type="pct"/>
                  <w:tcBorders>
                    <w:top w:val="single" w:color="auto" w:sz="6" w:space="0"/>
                    <w:left w:val="single" w:color="auto" w:sz="6" w:space="0"/>
                    <w:bottom w:val="single" w:color="auto" w:sz="6" w:space="0"/>
                    <w:right w:val="single" w:color="auto" w:sz="6" w:space="0"/>
                  </w:tcBorders>
                  <w:vAlign w:val="center"/>
                </w:tcPr>
                <w:p w14:paraId="391B81F7">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891" w:type="pct"/>
                  <w:tcBorders>
                    <w:top w:val="single" w:color="auto" w:sz="6" w:space="0"/>
                    <w:left w:val="single" w:color="auto" w:sz="6" w:space="0"/>
                    <w:bottom w:val="single" w:color="auto" w:sz="6" w:space="0"/>
                    <w:right w:val="single" w:color="auto" w:sz="12" w:space="0"/>
                  </w:tcBorders>
                  <w:vAlign w:val="center"/>
                </w:tcPr>
                <w:p w14:paraId="6F55A3F0">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7725B3B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left w:val="single" w:color="auto" w:sz="12" w:space="0"/>
                    <w:bottom w:val="single" w:color="auto" w:sz="6" w:space="0"/>
                    <w:right w:val="single" w:color="auto" w:sz="6" w:space="0"/>
                  </w:tcBorders>
                  <w:vAlign w:val="center"/>
                </w:tcPr>
                <w:p w14:paraId="00BEE888">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36EB5338">
                  <w:pPr>
                    <w:jc w:val="center"/>
                    <w:rPr>
                      <w:rFonts w:ascii="Times New Roman" w:hAnsi="Times New Roman" w:eastAsia="宋体" w:cs="Times New Roman"/>
                      <w:kern w:val="0"/>
                      <w:szCs w:val="21"/>
                    </w:rPr>
                  </w:pPr>
                  <w:r>
                    <w:rPr>
                      <w:rFonts w:ascii="Times New Roman" w:hAnsi="Times New Roman" w:eastAsia="宋体" w:cs="Times New Roman"/>
                      <w:kern w:val="0"/>
                      <w:szCs w:val="21"/>
                    </w:rPr>
                    <w:t>汽车运输扬尘</w:t>
                  </w:r>
                </w:p>
              </w:tc>
              <w:tc>
                <w:tcPr>
                  <w:tcW w:w="1879" w:type="pct"/>
                  <w:tcBorders>
                    <w:top w:val="single" w:color="auto" w:sz="6" w:space="0"/>
                    <w:left w:val="single" w:color="auto" w:sz="6" w:space="0"/>
                    <w:bottom w:val="single" w:color="auto" w:sz="6" w:space="0"/>
                    <w:right w:val="single" w:color="auto" w:sz="6" w:space="0"/>
                  </w:tcBorders>
                  <w:vAlign w:val="center"/>
                </w:tcPr>
                <w:p w14:paraId="7CE44C74">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szCs w:val="21"/>
                    </w:rPr>
                    <w:t>轮胎冲洗</w:t>
                  </w:r>
                  <w:r>
                    <w:rPr>
                      <w:rFonts w:hint="eastAsia" w:ascii="Times New Roman" w:hAnsi="Times New Roman" w:eastAsia="宋体" w:cs="Times New Roman"/>
                      <w:szCs w:val="21"/>
                    </w:rPr>
                    <w:t>，主要道路硬化、重污染天气洒水降尘</w:t>
                  </w:r>
                </w:p>
              </w:tc>
              <w:tc>
                <w:tcPr>
                  <w:tcW w:w="596" w:type="pct"/>
                  <w:tcBorders>
                    <w:top w:val="single" w:color="auto" w:sz="6" w:space="0"/>
                    <w:left w:val="single" w:color="auto" w:sz="6" w:space="0"/>
                    <w:bottom w:val="single" w:color="auto" w:sz="6" w:space="0"/>
                    <w:right w:val="single" w:color="auto" w:sz="6" w:space="0"/>
                  </w:tcBorders>
                  <w:vAlign w:val="center"/>
                </w:tcPr>
                <w:p w14:paraId="5D5603E3">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3</w:t>
                  </w:r>
                </w:p>
              </w:tc>
              <w:tc>
                <w:tcPr>
                  <w:tcW w:w="891" w:type="pct"/>
                  <w:tcBorders>
                    <w:top w:val="single" w:color="auto" w:sz="6" w:space="0"/>
                    <w:left w:val="single" w:color="auto" w:sz="6" w:space="0"/>
                    <w:bottom w:val="single" w:color="auto" w:sz="6" w:space="0"/>
                    <w:right w:val="single" w:color="auto" w:sz="12" w:space="0"/>
                  </w:tcBorders>
                  <w:vAlign w:val="center"/>
                </w:tcPr>
                <w:p w14:paraId="47DFFE25">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每年持续投入</w:t>
                  </w:r>
                </w:p>
              </w:tc>
            </w:tr>
            <w:tr w14:paraId="24293B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tcBorders>
                    <w:top w:val="single" w:color="auto" w:sz="6" w:space="0"/>
                    <w:left w:val="single" w:color="auto" w:sz="12" w:space="0"/>
                    <w:bottom w:val="single" w:color="auto" w:sz="6" w:space="0"/>
                    <w:right w:val="single" w:color="auto" w:sz="6" w:space="0"/>
                  </w:tcBorders>
                  <w:vAlign w:val="center"/>
                </w:tcPr>
                <w:p w14:paraId="7C6D8C36">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噪声</w:t>
                  </w:r>
                </w:p>
              </w:tc>
              <w:tc>
                <w:tcPr>
                  <w:tcW w:w="939" w:type="pct"/>
                  <w:tcBorders>
                    <w:top w:val="single" w:color="auto" w:sz="6" w:space="0"/>
                    <w:left w:val="single" w:color="auto" w:sz="6" w:space="0"/>
                    <w:bottom w:val="single" w:color="auto" w:sz="6" w:space="0"/>
                    <w:right w:val="single" w:color="auto" w:sz="6" w:space="0"/>
                  </w:tcBorders>
                  <w:vAlign w:val="center"/>
                </w:tcPr>
                <w:p w14:paraId="11A8EE21">
                  <w:pPr>
                    <w:jc w:val="center"/>
                    <w:rPr>
                      <w:rFonts w:ascii="Times New Roman" w:hAnsi="Times New Roman" w:eastAsia="宋体" w:cs="Times New Roman"/>
                      <w:kern w:val="0"/>
                      <w:szCs w:val="21"/>
                    </w:rPr>
                  </w:pPr>
                  <w:r>
                    <w:rPr>
                      <w:rFonts w:ascii="Times New Roman" w:hAnsi="Times New Roman" w:eastAsia="宋体" w:cs="Times New Roman"/>
                      <w:kern w:val="0"/>
                      <w:szCs w:val="21"/>
                    </w:rPr>
                    <w:t>设备、人员活动噪声</w:t>
                  </w:r>
                </w:p>
              </w:tc>
              <w:tc>
                <w:tcPr>
                  <w:tcW w:w="1879" w:type="pct"/>
                  <w:tcBorders>
                    <w:top w:val="single" w:color="auto" w:sz="6" w:space="0"/>
                    <w:left w:val="single" w:color="auto" w:sz="6" w:space="0"/>
                    <w:bottom w:val="single" w:color="auto" w:sz="6" w:space="0"/>
                    <w:right w:val="single" w:color="auto" w:sz="6" w:space="0"/>
                  </w:tcBorders>
                  <w:vAlign w:val="center"/>
                </w:tcPr>
                <w:p w14:paraId="18C41ADE">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低噪声先进设备+基座减震+车间密闭</w:t>
                  </w:r>
                </w:p>
              </w:tc>
              <w:tc>
                <w:tcPr>
                  <w:tcW w:w="596" w:type="pct"/>
                  <w:tcBorders>
                    <w:top w:val="single" w:color="auto" w:sz="6" w:space="0"/>
                    <w:left w:val="single" w:color="auto" w:sz="6" w:space="0"/>
                    <w:bottom w:val="single" w:color="auto" w:sz="6" w:space="0"/>
                    <w:right w:val="single" w:color="auto" w:sz="6" w:space="0"/>
                  </w:tcBorders>
                  <w:vAlign w:val="center"/>
                </w:tcPr>
                <w:p w14:paraId="364776F0">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计入基建</w:t>
                  </w:r>
                </w:p>
              </w:tc>
              <w:tc>
                <w:tcPr>
                  <w:tcW w:w="891" w:type="pct"/>
                  <w:tcBorders>
                    <w:top w:val="single" w:color="auto" w:sz="6" w:space="0"/>
                    <w:left w:val="single" w:color="auto" w:sz="6" w:space="0"/>
                    <w:bottom w:val="single" w:color="auto" w:sz="6" w:space="0"/>
                    <w:right w:val="single" w:color="auto" w:sz="12" w:space="0"/>
                  </w:tcBorders>
                  <w:vAlign w:val="center"/>
                </w:tcPr>
                <w:p w14:paraId="6EAAA92E">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r>
            <w:tr w14:paraId="4BF36B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restart"/>
                  <w:tcBorders>
                    <w:top w:val="single" w:color="auto" w:sz="6" w:space="0"/>
                    <w:left w:val="single" w:color="auto" w:sz="12" w:space="0"/>
                    <w:bottom w:val="single" w:color="auto" w:sz="6" w:space="0"/>
                    <w:right w:val="single" w:color="auto" w:sz="6" w:space="0"/>
                  </w:tcBorders>
                  <w:vAlign w:val="center"/>
                </w:tcPr>
                <w:p w14:paraId="5CD4E0E6">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固废</w:t>
                  </w:r>
                </w:p>
              </w:tc>
              <w:tc>
                <w:tcPr>
                  <w:tcW w:w="939" w:type="pct"/>
                  <w:tcBorders>
                    <w:top w:val="single" w:color="auto" w:sz="6" w:space="0"/>
                    <w:left w:val="single" w:color="auto" w:sz="6" w:space="0"/>
                    <w:bottom w:val="single" w:color="auto" w:sz="6" w:space="0"/>
                    <w:right w:val="single" w:color="auto" w:sz="6" w:space="0"/>
                  </w:tcBorders>
                  <w:vAlign w:val="center"/>
                </w:tcPr>
                <w:p w14:paraId="6DC4AEEB">
                  <w:pPr>
                    <w:jc w:val="center"/>
                    <w:rPr>
                      <w:rFonts w:ascii="Times New Roman" w:hAnsi="Times New Roman" w:eastAsia="宋体" w:cs="Times New Roman"/>
                      <w:kern w:val="0"/>
                      <w:szCs w:val="21"/>
                    </w:rPr>
                  </w:pPr>
                  <w:r>
                    <w:rPr>
                      <w:rFonts w:ascii="Times New Roman" w:hAnsi="Times New Roman" w:eastAsia="宋体" w:cs="Times New Roman"/>
                      <w:kern w:val="0"/>
                      <w:szCs w:val="21"/>
                    </w:rPr>
                    <w:t>生活垃圾</w:t>
                  </w:r>
                </w:p>
              </w:tc>
              <w:tc>
                <w:tcPr>
                  <w:tcW w:w="1879" w:type="pct"/>
                  <w:tcBorders>
                    <w:top w:val="single" w:color="auto" w:sz="6" w:space="0"/>
                    <w:left w:val="single" w:color="auto" w:sz="6" w:space="0"/>
                    <w:bottom w:val="single" w:color="auto" w:sz="6" w:space="0"/>
                    <w:right w:val="single" w:color="auto" w:sz="6" w:space="0"/>
                  </w:tcBorders>
                  <w:vAlign w:val="center"/>
                </w:tcPr>
                <w:p w14:paraId="2D7765A2">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szCs w:val="21"/>
                    </w:rPr>
                    <w:t>厂区垃圾桶收集后交环卫部门清运处理</w:t>
                  </w:r>
                </w:p>
              </w:tc>
              <w:tc>
                <w:tcPr>
                  <w:tcW w:w="596" w:type="pct"/>
                  <w:tcBorders>
                    <w:top w:val="single" w:color="auto" w:sz="6" w:space="0"/>
                    <w:left w:val="single" w:color="auto" w:sz="6" w:space="0"/>
                    <w:bottom w:val="single" w:color="auto" w:sz="6" w:space="0"/>
                    <w:right w:val="single" w:color="auto" w:sz="6" w:space="0"/>
                  </w:tcBorders>
                  <w:vAlign w:val="center"/>
                </w:tcPr>
                <w:p w14:paraId="5882BFDB">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891" w:type="pct"/>
                  <w:tcBorders>
                    <w:top w:val="single" w:color="auto" w:sz="6" w:space="0"/>
                    <w:left w:val="single" w:color="auto" w:sz="6" w:space="0"/>
                    <w:bottom w:val="single" w:color="auto" w:sz="6" w:space="0"/>
                    <w:right w:val="single" w:color="auto" w:sz="12" w:space="0"/>
                  </w:tcBorders>
                  <w:vAlign w:val="center"/>
                </w:tcPr>
                <w:p w14:paraId="2B0723C1">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妥善处置，每年持续投入</w:t>
                  </w:r>
                </w:p>
              </w:tc>
            </w:tr>
            <w:tr w14:paraId="2BDB75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547E0BCC">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tcPr>
                <w:p w14:paraId="02977D63">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磁选废铁渣</w:t>
                  </w:r>
                </w:p>
              </w:tc>
              <w:tc>
                <w:tcPr>
                  <w:tcW w:w="1879" w:type="pct"/>
                  <w:tcBorders>
                    <w:top w:val="single" w:color="auto" w:sz="6" w:space="0"/>
                    <w:left w:val="single" w:color="auto" w:sz="6" w:space="0"/>
                    <w:bottom w:val="single" w:color="auto" w:sz="6" w:space="0"/>
                    <w:right w:val="single" w:color="auto" w:sz="6" w:space="0"/>
                  </w:tcBorders>
                  <w:vAlign w:val="center"/>
                </w:tcPr>
                <w:p w14:paraId="08B1DE24">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c>
                <w:tcPr>
                  <w:tcW w:w="596" w:type="pct"/>
                  <w:tcBorders>
                    <w:top w:val="single" w:color="auto" w:sz="6" w:space="0"/>
                    <w:left w:val="single" w:color="auto" w:sz="6" w:space="0"/>
                    <w:bottom w:val="single" w:color="auto" w:sz="6" w:space="0"/>
                    <w:right w:val="single" w:color="auto" w:sz="6" w:space="0"/>
                  </w:tcBorders>
                  <w:vAlign w:val="center"/>
                </w:tcPr>
                <w:p w14:paraId="2AA3ADC6">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644E5338">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05E27C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1D2B422D">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tcPr>
                <w:p w14:paraId="1F96715F">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除尘粉尘</w:t>
                  </w:r>
                </w:p>
              </w:tc>
              <w:tc>
                <w:tcPr>
                  <w:tcW w:w="1879" w:type="pct"/>
                  <w:tcBorders>
                    <w:top w:val="single" w:color="auto" w:sz="6" w:space="0"/>
                    <w:left w:val="single" w:color="auto" w:sz="6" w:space="0"/>
                    <w:bottom w:val="single" w:color="auto" w:sz="6" w:space="0"/>
                    <w:right w:val="single" w:color="auto" w:sz="6" w:space="0"/>
                  </w:tcBorders>
                  <w:vAlign w:val="center"/>
                </w:tcPr>
                <w:p w14:paraId="698805C0">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作为产品外售</w:t>
                  </w:r>
                </w:p>
              </w:tc>
              <w:tc>
                <w:tcPr>
                  <w:tcW w:w="596" w:type="pct"/>
                  <w:tcBorders>
                    <w:top w:val="single" w:color="auto" w:sz="6" w:space="0"/>
                    <w:left w:val="single" w:color="auto" w:sz="6" w:space="0"/>
                    <w:bottom w:val="single" w:color="auto" w:sz="6" w:space="0"/>
                    <w:right w:val="single" w:color="auto" w:sz="6" w:space="0"/>
                  </w:tcBorders>
                  <w:vAlign w:val="center"/>
                </w:tcPr>
                <w:p w14:paraId="22519874">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2F525DBA">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48CE87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5CC6126B">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tcPr>
                <w:p w14:paraId="35BD8B48">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二级生化处理设施污泥</w:t>
                  </w:r>
                </w:p>
              </w:tc>
              <w:tc>
                <w:tcPr>
                  <w:tcW w:w="1879" w:type="pct"/>
                  <w:tcBorders>
                    <w:top w:val="single" w:color="auto" w:sz="6" w:space="0"/>
                    <w:left w:val="single" w:color="auto" w:sz="6" w:space="0"/>
                    <w:bottom w:val="single" w:color="auto" w:sz="6" w:space="0"/>
                    <w:right w:val="single" w:color="auto" w:sz="6" w:space="0"/>
                  </w:tcBorders>
                  <w:vAlign w:val="center"/>
                </w:tcPr>
                <w:p w14:paraId="43951F06">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综合利用</w:t>
                  </w:r>
                </w:p>
              </w:tc>
              <w:tc>
                <w:tcPr>
                  <w:tcW w:w="596" w:type="pct"/>
                  <w:tcBorders>
                    <w:top w:val="single" w:color="auto" w:sz="6" w:space="0"/>
                    <w:left w:val="single" w:color="auto" w:sz="6" w:space="0"/>
                    <w:bottom w:val="single" w:color="auto" w:sz="6" w:space="0"/>
                    <w:right w:val="single" w:color="auto" w:sz="6" w:space="0"/>
                  </w:tcBorders>
                  <w:vAlign w:val="center"/>
                </w:tcPr>
                <w:p w14:paraId="4AD4092A">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.5</w:t>
                  </w:r>
                </w:p>
              </w:tc>
              <w:tc>
                <w:tcPr>
                  <w:tcW w:w="891" w:type="pct"/>
                  <w:tcBorders>
                    <w:top w:val="single" w:color="auto" w:sz="6" w:space="0"/>
                    <w:left w:val="single" w:color="auto" w:sz="6" w:space="0"/>
                    <w:bottom w:val="single" w:color="auto" w:sz="6" w:space="0"/>
                    <w:right w:val="single" w:color="auto" w:sz="12" w:space="0"/>
                  </w:tcBorders>
                  <w:vAlign w:val="center"/>
                </w:tcPr>
                <w:p w14:paraId="43705DE2">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综合利用</w:t>
                  </w:r>
                  <w:r>
                    <w:rPr>
                      <w:rFonts w:ascii="Times New Roman" w:hAnsi="Times New Roman" w:eastAsia="宋体" w:cs="Times New Roman"/>
                      <w:kern w:val="0"/>
                      <w:szCs w:val="21"/>
                    </w:rPr>
                    <w:t>，每年持续投入</w:t>
                  </w:r>
                </w:p>
              </w:tc>
            </w:tr>
            <w:tr w14:paraId="556B7D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363DE353">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7F46C509">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废机油</w:t>
                  </w:r>
                </w:p>
              </w:tc>
              <w:tc>
                <w:tcPr>
                  <w:tcW w:w="1879" w:type="pct"/>
                  <w:tcBorders>
                    <w:top w:val="single" w:color="auto" w:sz="6" w:space="0"/>
                    <w:left w:val="single" w:color="auto" w:sz="6" w:space="0"/>
                    <w:bottom w:val="single" w:color="auto" w:sz="6" w:space="0"/>
                    <w:right w:val="single" w:color="auto" w:sz="6" w:space="0"/>
                  </w:tcBorders>
                  <w:vAlign w:val="center"/>
                </w:tcPr>
                <w:p w14:paraId="5901DAF6">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铁桶收集暂存于危废暂存间，定期交由有资质单位处理</w:t>
                  </w:r>
                </w:p>
              </w:tc>
              <w:tc>
                <w:tcPr>
                  <w:tcW w:w="596" w:type="pct"/>
                  <w:tcBorders>
                    <w:top w:val="single" w:color="auto" w:sz="6" w:space="0"/>
                    <w:left w:val="single" w:color="auto" w:sz="6" w:space="0"/>
                    <w:bottom w:val="single" w:color="auto" w:sz="6" w:space="0"/>
                    <w:right w:val="single" w:color="auto" w:sz="6" w:space="0"/>
                  </w:tcBorders>
                  <w:vAlign w:val="center"/>
                </w:tcPr>
                <w:p w14:paraId="3739F066">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5</w:t>
                  </w:r>
                </w:p>
              </w:tc>
              <w:tc>
                <w:tcPr>
                  <w:tcW w:w="891" w:type="pct"/>
                  <w:tcBorders>
                    <w:top w:val="single" w:color="auto" w:sz="6" w:space="0"/>
                    <w:left w:val="single" w:color="auto" w:sz="6" w:space="0"/>
                    <w:bottom w:val="single" w:color="auto" w:sz="6" w:space="0"/>
                    <w:right w:val="single" w:color="auto" w:sz="12" w:space="0"/>
                  </w:tcBorders>
                  <w:vAlign w:val="center"/>
                </w:tcPr>
                <w:p w14:paraId="44C85B83">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每年持续投入</w:t>
                  </w:r>
                </w:p>
              </w:tc>
            </w:tr>
            <w:tr w14:paraId="7E0882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4" w:type="pct"/>
                  <w:gridSpan w:val="2"/>
                  <w:tcBorders>
                    <w:top w:val="single" w:color="auto" w:sz="6" w:space="0"/>
                    <w:left w:val="single" w:color="auto" w:sz="12" w:space="0"/>
                    <w:bottom w:val="single" w:color="auto" w:sz="6" w:space="0"/>
                    <w:right w:val="single" w:color="auto" w:sz="6" w:space="0"/>
                  </w:tcBorders>
                  <w:vAlign w:val="center"/>
                </w:tcPr>
                <w:p w14:paraId="17CD451B">
                  <w:pPr>
                    <w:jc w:val="center"/>
                    <w:rPr>
                      <w:rFonts w:ascii="Times New Roman" w:hAnsi="Times New Roman" w:eastAsia="宋体" w:cs="Times New Roman"/>
                      <w:kern w:val="0"/>
                      <w:szCs w:val="21"/>
                    </w:rPr>
                  </w:pPr>
                  <w:r>
                    <w:rPr>
                      <w:rFonts w:ascii="Times New Roman" w:hAnsi="Times New Roman" w:eastAsia="宋体" w:cs="Times New Roman"/>
                      <w:kern w:val="0"/>
                      <w:szCs w:val="21"/>
                    </w:rPr>
                    <w:t>环境风险</w:t>
                  </w:r>
                </w:p>
              </w:tc>
              <w:tc>
                <w:tcPr>
                  <w:tcW w:w="1879" w:type="pct"/>
                  <w:tcBorders>
                    <w:top w:val="single" w:color="auto" w:sz="6" w:space="0"/>
                    <w:left w:val="single" w:color="auto" w:sz="6" w:space="0"/>
                    <w:bottom w:val="single" w:color="auto" w:sz="6" w:space="0"/>
                    <w:right w:val="single" w:color="auto" w:sz="6" w:space="0"/>
                  </w:tcBorders>
                  <w:vAlign w:val="center"/>
                </w:tcPr>
                <w:p w14:paraId="38E0C964">
                  <w:pPr>
                    <w:widowControl/>
                    <w:ind w:firstLine="10" w:firstLineChars="5"/>
                    <w:jc w:val="center"/>
                    <w:rPr>
                      <w:rFonts w:ascii="Times New Roman" w:hAnsi="Times New Roman" w:eastAsia="宋体" w:cs="Times New Roman"/>
                      <w:szCs w:val="21"/>
                    </w:rPr>
                  </w:pPr>
                  <w:r>
                    <w:rPr>
                      <w:rFonts w:ascii="Times New Roman" w:hAnsi="Times New Roman" w:eastAsia="宋体" w:cs="Times New Roman"/>
                      <w:szCs w:val="21"/>
                    </w:rPr>
                    <w:t>分区防渗，对主厂房车间、沉淀池、各堆场进行防渗，制订定期监测计划。灭火器、消防栓</w:t>
                  </w:r>
                </w:p>
              </w:tc>
              <w:tc>
                <w:tcPr>
                  <w:tcW w:w="596" w:type="pct"/>
                  <w:tcBorders>
                    <w:top w:val="single" w:color="auto" w:sz="6" w:space="0"/>
                    <w:left w:val="single" w:color="auto" w:sz="6" w:space="0"/>
                    <w:bottom w:val="single" w:color="auto" w:sz="6" w:space="0"/>
                    <w:right w:val="single" w:color="auto" w:sz="6" w:space="0"/>
                  </w:tcBorders>
                  <w:vAlign w:val="center"/>
                </w:tcPr>
                <w:p w14:paraId="229ADE17">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2A46ED40">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计入基建</w:t>
                  </w:r>
                </w:p>
              </w:tc>
            </w:tr>
            <w:tr w14:paraId="6576152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4" w:type="pct"/>
                  <w:gridSpan w:val="2"/>
                  <w:tcBorders>
                    <w:top w:val="single" w:color="auto" w:sz="6" w:space="0"/>
                    <w:left w:val="single" w:color="auto" w:sz="12" w:space="0"/>
                    <w:bottom w:val="single" w:color="auto" w:sz="6" w:space="0"/>
                    <w:right w:val="single" w:color="auto" w:sz="6" w:space="0"/>
                  </w:tcBorders>
                  <w:vAlign w:val="center"/>
                </w:tcPr>
                <w:p w14:paraId="277E535A">
                  <w:pPr>
                    <w:widowControl/>
                    <w:ind w:firstLine="420"/>
                    <w:jc w:val="center"/>
                    <w:rPr>
                      <w:rFonts w:ascii="Times New Roman" w:hAnsi="Times New Roman" w:eastAsia="宋体" w:cs="Times New Roman"/>
                      <w:kern w:val="0"/>
                      <w:szCs w:val="21"/>
                    </w:rPr>
                  </w:pPr>
                  <w:r>
                    <w:rPr>
                      <w:rFonts w:ascii="Times New Roman" w:hAnsi="Times New Roman" w:eastAsia="宋体" w:cs="Times New Roman"/>
                      <w:kern w:val="0"/>
                      <w:szCs w:val="21"/>
                    </w:rPr>
                    <w:t>合计</w:t>
                  </w:r>
                </w:p>
              </w:tc>
              <w:tc>
                <w:tcPr>
                  <w:tcW w:w="1879" w:type="pct"/>
                  <w:tcBorders>
                    <w:top w:val="single" w:color="auto" w:sz="6" w:space="0"/>
                    <w:left w:val="single" w:color="auto" w:sz="6" w:space="0"/>
                    <w:bottom w:val="single" w:color="auto" w:sz="6" w:space="0"/>
                    <w:right w:val="single" w:color="auto" w:sz="6" w:space="0"/>
                  </w:tcBorders>
                  <w:vAlign w:val="center"/>
                </w:tcPr>
                <w:p w14:paraId="34505945">
                  <w:pPr>
                    <w:widowControl/>
                    <w:ind w:firstLine="420"/>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596" w:type="pct"/>
                  <w:tcBorders>
                    <w:top w:val="single" w:color="auto" w:sz="6" w:space="0"/>
                    <w:left w:val="single" w:color="auto" w:sz="6" w:space="0"/>
                    <w:bottom w:val="single" w:color="auto" w:sz="6" w:space="0"/>
                    <w:right w:val="single" w:color="auto" w:sz="6" w:space="0"/>
                  </w:tcBorders>
                  <w:vAlign w:val="center"/>
                </w:tcPr>
                <w:p w14:paraId="097D810A">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81</w:t>
                  </w:r>
                </w:p>
              </w:tc>
              <w:tc>
                <w:tcPr>
                  <w:tcW w:w="891" w:type="pct"/>
                  <w:tcBorders>
                    <w:top w:val="single" w:color="auto" w:sz="6" w:space="0"/>
                    <w:left w:val="single" w:color="auto" w:sz="6" w:space="0"/>
                    <w:bottom w:val="single" w:color="auto" w:sz="6" w:space="0"/>
                    <w:right w:val="single" w:color="auto" w:sz="12" w:space="0"/>
                  </w:tcBorders>
                  <w:vAlign w:val="center"/>
                </w:tcPr>
                <w:p w14:paraId="2ECC0F5C">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r>
            <w:tr w14:paraId="22D84A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5"/>
                  <w:tcBorders>
                    <w:top w:val="single" w:color="auto" w:sz="6" w:space="0"/>
                    <w:left w:val="single" w:color="auto" w:sz="12" w:space="0"/>
                    <w:bottom w:val="single" w:color="auto" w:sz="12" w:space="0"/>
                    <w:right w:val="single" w:color="auto" w:sz="12" w:space="0"/>
                  </w:tcBorders>
                  <w:vAlign w:val="center"/>
                </w:tcPr>
                <w:p w14:paraId="7E15BBF3">
                  <w:pPr>
                    <w:widowControl/>
                    <w:ind w:firstLine="42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项目总投资1920万元，环保投资81万元，占总投资4.22%</w:t>
                  </w:r>
                </w:p>
              </w:tc>
            </w:tr>
          </w:tbl>
          <w:p w14:paraId="5EA05004">
            <w:pPr>
              <w:widowControl/>
              <w:adjustRightInd w:val="0"/>
              <w:snapToGrid w:val="0"/>
              <w:spacing w:line="480" w:lineRule="exact"/>
              <w:ind w:right="92" w:rightChars="44"/>
              <w:rPr>
                <w:rFonts w:ascii="Times New Roman" w:hAnsi="Times New Roman" w:eastAsia="宋体" w:cs="Times New Roman"/>
                <w:sz w:val="24"/>
              </w:rPr>
            </w:pPr>
          </w:p>
          <w:p w14:paraId="472A919A">
            <w:pPr>
              <w:widowControl/>
              <w:adjustRightInd w:val="0"/>
              <w:snapToGrid w:val="0"/>
              <w:spacing w:line="480" w:lineRule="exact"/>
              <w:ind w:right="92" w:rightChars="44"/>
              <w:rPr>
                <w:rFonts w:ascii="Times New Roman" w:hAnsi="Times New Roman" w:eastAsia="宋体" w:cs="Times New Roman"/>
                <w:sz w:val="24"/>
              </w:rPr>
            </w:pPr>
          </w:p>
          <w:p w14:paraId="4720AD37">
            <w:pPr>
              <w:widowControl/>
              <w:adjustRightInd w:val="0"/>
              <w:snapToGrid w:val="0"/>
              <w:spacing w:line="480" w:lineRule="exact"/>
              <w:ind w:right="92" w:rightChars="44"/>
              <w:rPr>
                <w:rFonts w:ascii="Times New Roman" w:hAnsi="Times New Roman" w:eastAsia="宋体" w:cs="Times New Roman"/>
                <w:sz w:val="24"/>
              </w:rPr>
            </w:pPr>
          </w:p>
          <w:p w14:paraId="4BA202E0">
            <w:pPr>
              <w:widowControl/>
              <w:adjustRightInd w:val="0"/>
              <w:snapToGrid w:val="0"/>
              <w:spacing w:line="480" w:lineRule="exact"/>
              <w:ind w:right="92" w:rightChars="44"/>
              <w:rPr>
                <w:rFonts w:ascii="Times New Roman" w:hAnsi="Times New Roman" w:eastAsia="宋体" w:cs="Times New Roman"/>
                <w:sz w:val="24"/>
              </w:rPr>
            </w:pPr>
          </w:p>
          <w:p w14:paraId="5DD62F1A">
            <w:pPr>
              <w:widowControl/>
              <w:adjustRightInd w:val="0"/>
              <w:snapToGrid w:val="0"/>
              <w:spacing w:line="480" w:lineRule="exact"/>
              <w:ind w:right="92" w:rightChars="44"/>
              <w:rPr>
                <w:rFonts w:ascii="Times New Roman" w:hAnsi="Times New Roman" w:eastAsia="宋体" w:cs="Times New Roman"/>
                <w:sz w:val="24"/>
              </w:rPr>
            </w:pPr>
          </w:p>
          <w:p w14:paraId="374DDD82">
            <w:pPr>
              <w:widowControl/>
              <w:adjustRightInd w:val="0"/>
              <w:snapToGrid w:val="0"/>
              <w:spacing w:line="480" w:lineRule="exact"/>
              <w:ind w:right="92" w:rightChars="44"/>
              <w:rPr>
                <w:rFonts w:ascii="Times New Roman" w:hAnsi="Times New Roman" w:eastAsia="宋体" w:cs="Times New Roman"/>
                <w:sz w:val="24"/>
              </w:rPr>
            </w:pPr>
          </w:p>
          <w:p w14:paraId="4137973F">
            <w:pPr>
              <w:widowControl/>
              <w:adjustRightInd w:val="0"/>
              <w:snapToGrid w:val="0"/>
              <w:spacing w:line="480" w:lineRule="exact"/>
              <w:ind w:right="92" w:rightChars="44"/>
              <w:rPr>
                <w:rFonts w:ascii="Times New Roman" w:hAnsi="Times New Roman" w:eastAsia="宋体" w:cs="Times New Roman"/>
                <w:sz w:val="24"/>
              </w:rPr>
            </w:pPr>
          </w:p>
        </w:tc>
      </w:tr>
    </w:tbl>
    <w:p w14:paraId="2AD9912C">
      <w:pPr>
        <w:spacing w:line="20" w:lineRule="exact"/>
        <w:rPr>
          <w:rFonts w:ascii="Times New Roman" w:hAnsi="Times New Roman" w:eastAsia="宋体" w:cs="Times New Roman"/>
        </w:rPr>
      </w:pPr>
    </w:p>
    <w:p w14:paraId="28F62C47">
      <w:pPr>
        <w:spacing w:line="360" w:lineRule="auto"/>
        <w:outlineLvl w:val="0"/>
        <w:rPr>
          <w:rFonts w:ascii="Times New Roman" w:hAnsi="Times New Roman" w:eastAsia="宋体" w:cs="Times New Roman"/>
          <w:b/>
          <w:sz w:val="30"/>
          <w:szCs w:val="30"/>
        </w:rPr>
        <w:sectPr>
          <w:pgSz w:w="11906" w:h="16838"/>
          <w:pgMar w:top="1440" w:right="1797" w:bottom="1440" w:left="1797" w:header="851" w:footer="958" w:gutter="0"/>
          <w:cols w:space="720" w:num="1"/>
          <w:docGrid w:linePitch="312" w:charSpace="0"/>
        </w:sectPr>
      </w:pPr>
    </w:p>
    <w:p w14:paraId="46C8A2FF">
      <w:pPr>
        <w:spacing w:line="360" w:lineRule="auto"/>
        <w:outlineLvl w:val="0"/>
        <w:rPr>
          <w:rFonts w:ascii="Times New Roman" w:hAnsi="Times New Roman" w:eastAsia="宋体" w:cs="Times New Roman"/>
          <w:b/>
          <w:sz w:val="30"/>
          <w:szCs w:val="30"/>
        </w:rPr>
      </w:pPr>
      <w:r>
        <w:rPr>
          <w:rFonts w:ascii="Times New Roman" w:hAnsi="Times New Roman" w:eastAsia="宋体" w:cs="Times New Roman"/>
          <w:b/>
          <w:sz w:val="30"/>
          <w:szCs w:val="30"/>
        </w:rPr>
        <w:t>项目主要污染物产生及预计排放情况（表六）</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801"/>
        <w:gridCol w:w="957"/>
        <w:gridCol w:w="1950"/>
        <w:gridCol w:w="1868"/>
        <w:gridCol w:w="2792"/>
      </w:tblGrid>
      <w:tr w14:paraId="1C2E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tcBorders>
              <w:tl2br w:val="single" w:color="auto" w:sz="4" w:space="0"/>
            </w:tcBorders>
            <w:vAlign w:val="center"/>
          </w:tcPr>
          <w:p w14:paraId="1A21FE42">
            <w:pPr>
              <w:spacing w:line="360" w:lineRule="auto"/>
              <w:ind w:left="434" w:leftChars="-85" w:hanging="612" w:hangingChars="255"/>
              <w:jc w:val="center"/>
              <w:rPr>
                <w:rFonts w:ascii="Times New Roman" w:hAnsi="Times New Roman" w:eastAsia="宋体" w:cs="Times New Roman"/>
                <w:b/>
                <w:sz w:val="24"/>
                <w:szCs w:val="24"/>
              </w:rPr>
            </w:pPr>
            <w:r>
              <w:rPr>
                <w:rFonts w:ascii="Times New Roman" w:hAnsi="Times New Roman" w:eastAsia="宋体" w:cs="Times New Roman"/>
                <w:sz w:val="24"/>
                <w:szCs w:val="24"/>
              </w:rPr>
              <mc:AlternateContent>
                <mc:Choice Requires="wps">
                  <w:drawing>
                    <wp:anchor distT="0" distB="0" distL="114300" distR="114300" simplePos="0" relativeHeight="251659264" behindDoc="0" locked="0" layoutInCell="0" allowOverlap="1">
                      <wp:simplePos x="0" y="0"/>
                      <wp:positionH relativeFrom="column">
                        <wp:posOffset>-68580</wp:posOffset>
                      </wp:positionH>
                      <wp:positionV relativeFrom="paragraph">
                        <wp:posOffset>-6350</wp:posOffset>
                      </wp:positionV>
                      <wp:extent cx="635" cy="0"/>
                      <wp:effectExtent l="5715" t="12065" r="12700" b="6985"/>
                      <wp:wrapNone/>
                      <wp:docPr id="6" name="Line 4284"/>
                      <wp:cNvGraphicFramePr/>
                      <a:graphic xmlns:a="http://schemas.openxmlformats.org/drawingml/2006/main">
                        <a:graphicData uri="http://schemas.microsoft.com/office/word/2010/wordprocessingShape">
                          <wps:wsp>
                            <wps:cNvCnPr>
                              <a:cxnSpLocks noChangeShapeType="1"/>
                            </wps:cNvCnPr>
                            <wps:spPr bwMode="auto">
                              <a:xfrm>
                                <a:off x="0" y="0"/>
                                <a:ext cx="635" cy="0"/>
                              </a:xfrm>
                              <a:prstGeom prst="line">
                                <a:avLst/>
                              </a:prstGeom>
                              <a:noFill/>
                              <a:ln w="9525">
                                <a:solidFill>
                                  <a:srgbClr val="000000"/>
                                </a:solidFill>
                                <a:round/>
                              </a:ln>
                            </wps:spPr>
                            <wps:bodyPr/>
                          </wps:wsp>
                        </a:graphicData>
                      </a:graphic>
                    </wp:anchor>
                  </w:drawing>
                </mc:Choice>
                <mc:Fallback>
                  <w:pict>
                    <v:line id="Line 4284" o:spid="_x0000_s1026" o:spt="20" style="position:absolute;left:0pt;margin-left:-5.4pt;margin-top:-0.5pt;height:0pt;width:0.05pt;z-index:251659264;mso-width-relative:page;mso-height-relative:page;" filled="f" stroked="t" coordsize="21600,21600" o:allowincell="f" o:gfxdata="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3XktQAAAAJAQAADwAAAAAAAAABACAAAAAiAAAAZHJzL2Rvd25y&#10;ZXYueG1sUEsBAhQAFAAAAAgAh07iQOcvzkfJAQAAngMAAA4AAAAAAAAAAQAgAAAAIwEAAGRycy9l&#10;Mm9Eb2MueG1sUEsFBgAAAAAGAAYAWQEAAF4FAAAAAA==&#10;">
                      <v:fill on="f" focussize="0,0"/>
                      <v:stroke color="#000000" joinstyle="round"/>
                      <v:imagedata o:title=""/>
                      <o:lock v:ext="edit" aspectratio="f"/>
                    </v:line>
                  </w:pict>
                </mc:Fallback>
              </mc:AlternateContent>
            </w:r>
            <w:r>
              <w:rPr>
                <w:rFonts w:ascii="Times New Roman" w:hAnsi="Times New Roman" w:eastAsia="宋体" w:cs="Times New Roman"/>
                <w:b/>
                <w:sz w:val="24"/>
                <w:szCs w:val="24"/>
              </w:rPr>
              <w:t>内容</w:t>
            </w:r>
          </w:p>
          <w:p w14:paraId="71E6BA10">
            <w:pPr>
              <w:spacing w:line="360" w:lineRule="auto"/>
              <w:jc w:val="center"/>
              <w:rPr>
                <w:rFonts w:ascii="Times New Roman" w:hAnsi="Times New Roman" w:eastAsia="宋体" w:cs="Times New Roman"/>
                <w:b/>
                <w:sz w:val="24"/>
                <w:szCs w:val="24"/>
              </w:rPr>
            </w:pPr>
          </w:p>
          <w:p w14:paraId="2523F9DA">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类型</w:t>
            </w:r>
          </w:p>
        </w:tc>
        <w:tc>
          <w:tcPr>
            <w:tcW w:w="572" w:type="pct"/>
            <w:vAlign w:val="center"/>
          </w:tcPr>
          <w:p w14:paraId="7034EBCC">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排放源</w:t>
            </w:r>
          </w:p>
          <w:p w14:paraId="3946D584">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编号</w:t>
            </w:r>
            <w:r>
              <w:rPr>
                <w:rFonts w:hint="eastAsia" w:ascii="Times New Roman" w:hAnsi="Times New Roman" w:eastAsia="宋体" w:cs="Times New Roman"/>
                <w:b/>
                <w:sz w:val="24"/>
                <w:szCs w:val="24"/>
                <w:lang w:eastAsia="zh-CN"/>
              </w:rPr>
              <w:t>）</w:t>
            </w:r>
          </w:p>
        </w:tc>
        <w:tc>
          <w:tcPr>
            <w:tcW w:w="1165" w:type="pct"/>
            <w:vAlign w:val="center"/>
          </w:tcPr>
          <w:p w14:paraId="6D79EBB6">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污染物名称</w:t>
            </w:r>
          </w:p>
        </w:tc>
        <w:tc>
          <w:tcPr>
            <w:tcW w:w="1116" w:type="pct"/>
            <w:vAlign w:val="center"/>
          </w:tcPr>
          <w:p w14:paraId="79549F3F">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处理前产生浓度</w:t>
            </w:r>
          </w:p>
          <w:p w14:paraId="3E6E3716">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及产生量</w:t>
            </w: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单位</w:t>
            </w:r>
            <w:r>
              <w:rPr>
                <w:rFonts w:hint="eastAsia" w:ascii="Times New Roman" w:hAnsi="Times New Roman" w:eastAsia="宋体" w:cs="Times New Roman"/>
                <w:b/>
                <w:sz w:val="24"/>
                <w:szCs w:val="24"/>
                <w:lang w:eastAsia="zh-CN"/>
              </w:rPr>
              <w:t>）</w:t>
            </w:r>
          </w:p>
        </w:tc>
        <w:tc>
          <w:tcPr>
            <w:tcW w:w="1667" w:type="pct"/>
            <w:vAlign w:val="center"/>
          </w:tcPr>
          <w:p w14:paraId="254422EE">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处理后排放浓度</w:t>
            </w:r>
          </w:p>
          <w:p w14:paraId="41FCD96E">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及排放量</w:t>
            </w: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单位</w:t>
            </w:r>
            <w:r>
              <w:rPr>
                <w:rFonts w:hint="eastAsia" w:ascii="Times New Roman" w:hAnsi="Times New Roman" w:eastAsia="宋体" w:cs="Times New Roman"/>
                <w:b/>
                <w:sz w:val="24"/>
                <w:szCs w:val="24"/>
                <w:lang w:eastAsia="zh-CN"/>
              </w:rPr>
              <w:t>）</w:t>
            </w:r>
          </w:p>
        </w:tc>
      </w:tr>
      <w:tr w14:paraId="35D23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restart"/>
            <w:vAlign w:val="center"/>
          </w:tcPr>
          <w:p w14:paraId="32100D70">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大气</w:t>
            </w:r>
          </w:p>
          <w:p w14:paraId="2CE05DED">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污染物</w:t>
            </w:r>
          </w:p>
        </w:tc>
        <w:tc>
          <w:tcPr>
            <w:tcW w:w="572" w:type="pct"/>
            <w:vMerge w:val="restart"/>
            <w:vAlign w:val="center"/>
          </w:tcPr>
          <w:p w14:paraId="36801794">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165" w:type="pct"/>
            <w:vAlign w:val="center"/>
          </w:tcPr>
          <w:p w14:paraId="6B15515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施工扬尘</w:t>
            </w:r>
          </w:p>
        </w:tc>
        <w:tc>
          <w:tcPr>
            <w:tcW w:w="1116" w:type="pct"/>
            <w:vAlign w:val="center"/>
          </w:tcPr>
          <w:p w14:paraId="2BDF83B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产生量极少</w:t>
            </w:r>
          </w:p>
        </w:tc>
        <w:tc>
          <w:tcPr>
            <w:tcW w:w="1667" w:type="pct"/>
            <w:vAlign w:val="center"/>
          </w:tcPr>
          <w:p w14:paraId="38CD44B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呈无组织排放，</w:t>
            </w:r>
            <w:r>
              <w:rPr>
                <w:rFonts w:ascii="Times New Roman" w:hAnsi="Times New Roman" w:eastAsia="宋体" w:cs="Times New Roman"/>
                <w:sz w:val="24"/>
                <w:szCs w:val="24"/>
              </w:rPr>
              <w:t>&lt;1.0mg/m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tc>
      </w:tr>
      <w:tr w14:paraId="268A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5BD4AD5F">
            <w:pPr>
              <w:spacing w:line="360" w:lineRule="auto"/>
              <w:jc w:val="center"/>
              <w:rPr>
                <w:rFonts w:ascii="Times New Roman" w:hAnsi="Times New Roman" w:eastAsia="宋体" w:cs="Times New Roman"/>
                <w:sz w:val="24"/>
                <w:szCs w:val="24"/>
              </w:rPr>
            </w:pPr>
          </w:p>
        </w:tc>
        <w:tc>
          <w:tcPr>
            <w:tcW w:w="572" w:type="pct"/>
            <w:vMerge w:val="continue"/>
            <w:vAlign w:val="center"/>
          </w:tcPr>
          <w:p w14:paraId="090BF606">
            <w:pPr>
              <w:spacing w:line="360" w:lineRule="auto"/>
              <w:jc w:val="center"/>
              <w:rPr>
                <w:rFonts w:ascii="Times New Roman" w:hAnsi="Times New Roman" w:eastAsia="宋体" w:cs="Times New Roman"/>
                <w:sz w:val="24"/>
                <w:szCs w:val="24"/>
              </w:rPr>
            </w:pPr>
          </w:p>
        </w:tc>
        <w:tc>
          <w:tcPr>
            <w:tcW w:w="1165" w:type="pct"/>
            <w:vAlign w:val="center"/>
          </w:tcPr>
          <w:p w14:paraId="2AE9F5D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汽车尾气</w:t>
            </w:r>
          </w:p>
        </w:tc>
        <w:tc>
          <w:tcPr>
            <w:tcW w:w="1116" w:type="pct"/>
            <w:vAlign w:val="center"/>
          </w:tcPr>
          <w:p w14:paraId="6C89BCCE">
            <w:pPr>
              <w:spacing w:line="360" w:lineRule="auto"/>
              <w:jc w:val="center"/>
              <w:rPr>
                <w:rFonts w:ascii="Times New Roman" w:hAnsi="Times New Roman" w:eastAsia="宋体" w:cs="Times New Roman"/>
                <w:sz w:val="24"/>
                <w:szCs w:val="24"/>
                <w:lang w:val="de-DE"/>
              </w:rPr>
            </w:pPr>
            <w:r>
              <w:rPr>
                <w:rFonts w:ascii="Times New Roman" w:hAnsi="Times New Roman" w:eastAsia="宋体" w:cs="Times New Roman"/>
                <w:sz w:val="24"/>
                <w:szCs w:val="24"/>
                <w:lang w:val="de-DE"/>
              </w:rPr>
              <w:t>产生量极少</w:t>
            </w:r>
          </w:p>
        </w:tc>
        <w:tc>
          <w:tcPr>
            <w:tcW w:w="1667" w:type="pct"/>
            <w:vAlign w:val="center"/>
          </w:tcPr>
          <w:p w14:paraId="7B1D1A67">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呈无组织排放</w:t>
            </w:r>
          </w:p>
        </w:tc>
      </w:tr>
      <w:tr w14:paraId="3E7FD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35EAC5F2">
            <w:pPr>
              <w:spacing w:line="360" w:lineRule="auto"/>
              <w:jc w:val="center"/>
              <w:rPr>
                <w:rFonts w:ascii="Times New Roman" w:hAnsi="Times New Roman" w:eastAsia="宋体" w:cs="Times New Roman"/>
                <w:sz w:val="24"/>
                <w:szCs w:val="24"/>
              </w:rPr>
            </w:pPr>
          </w:p>
        </w:tc>
        <w:tc>
          <w:tcPr>
            <w:tcW w:w="572" w:type="pct"/>
            <w:vMerge w:val="restart"/>
            <w:vAlign w:val="center"/>
          </w:tcPr>
          <w:p w14:paraId="0AB89F8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165" w:type="pct"/>
            <w:vAlign w:val="center"/>
          </w:tcPr>
          <w:p w14:paraId="67CD6E09">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工艺</w:t>
            </w:r>
            <w:r>
              <w:rPr>
                <w:rFonts w:ascii="Times New Roman" w:hAnsi="Times New Roman" w:eastAsia="宋体" w:cs="Times New Roman"/>
                <w:sz w:val="24"/>
                <w:szCs w:val="24"/>
              </w:rPr>
              <w:t>粉尘</w:t>
            </w:r>
          </w:p>
        </w:tc>
        <w:tc>
          <w:tcPr>
            <w:tcW w:w="1116" w:type="pct"/>
            <w:vAlign w:val="center"/>
          </w:tcPr>
          <w:p w14:paraId="4F03479B">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sz w:val="24"/>
                <w:szCs w:val="24"/>
                <w:lang w:val="de-DE"/>
              </w:rPr>
              <w:t>30</w:t>
            </w:r>
            <w:r>
              <w:rPr>
                <w:rFonts w:hint="eastAsia" w:ascii="Times New Roman" w:hAnsi="Times New Roman" w:eastAsia="宋体" w:cs="Times New Roman"/>
                <w:sz w:val="24"/>
                <w:szCs w:val="24"/>
                <w:lang w:val="de-DE"/>
              </w:rPr>
              <w:t>t</w:t>
            </w:r>
            <w:r>
              <w:rPr>
                <w:rFonts w:ascii="Times New Roman" w:hAnsi="Times New Roman" w:eastAsia="宋体" w:cs="Times New Roman"/>
                <w:sz w:val="24"/>
                <w:szCs w:val="24"/>
                <w:lang w:val="de-DE"/>
              </w:rPr>
              <w:t>/</w:t>
            </w:r>
            <w:r>
              <w:rPr>
                <w:rFonts w:hint="eastAsia" w:ascii="Times New Roman" w:hAnsi="Times New Roman" w:eastAsia="宋体" w:cs="Times New Roman"/>
                <w:sz w:val="24"/>
                <w:szCs w:val="24"/>
                <w:lang w:val="de-DE"/>
              </w:rPr>
              <w:t>a</w:t>
            </w:r>
          </w:p>
        </w:tc>
        <w:tc>
          <w:tcPr>
            <w:tcW w:w="1667" w:type="pct"/>
            <w:vMerge w:val="restart"/>
            <w:vAlign w:val="center"/>
          </w:tcPr>
          <w:p w14:paraId="4BDED435">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sz w:val="24"/>
                <w:szCs w:val="24"/>
              </w:rPr>
              <w:t>0.057</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r>
              <w:rPr>
                <w:rFonts w:ascii="Times New Roman" w:hAnsi="Times New Roman" w:eastAsia="宋体" w:cs="Times New Roman"/>
                <w:sz w:val="24"/>
                <w:szCs w:val="24"/>
              </w:rPr>
              <w:t>，</w:t>
            </w:r>
            <w:r>
              <w:rPr>
                <w:rFonts w:hint="eastAsia" w:ascii="Times New Roman" w:hAnsi="Times New Roman" w:eastAsia="宋体" w:cs="Times New Roman"/>
                <w:sz w:val="24"/>
                <w:szCs w:val="24"/>
              </w:rPr>
              <w:t>有</w:t>
            </w:r>
            <w:r>
              <w:rPr>
                <w:rFonts w:ascii="Times New Roman" w:hAnsi="Times New Roman" w:eastAsia="宋体" w:cs="Times New Roman"/>
                <w:sz w:val="24"/>
                <w:szCs w:val="24"/>
              </w:rPr>
              <w:t>组织排放</w:t>
            </w:r>
            <w:r>
              <w:rPr>
                <w:rFonts w:hint="eastAsia" w:ascii="Times New Roman" w:hAnsi="Times New Roman" w:eastAsia="宋体" w:cs="Times New Roman"/>
                <w:sz w:val="24"/>
                <w:szCs w:val="24"/>
              </w:rPr>
              <w:t>；</w:t>
            </w:r>
            <w:r>
              <w:rPr>
                <w:rFonts w:ascii="Times New Roman" w:hAnsi="Times New Roman" w:eastAsia="宋体" w:cs="Times New Roman"/>
                <w:sz w:val="24"/>
                <w:szCs w:val="24"/>
              </w:rPr>
              <w:t>0.3</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a无组织排放</w:t>
            </w:r>
          </w:p>
        </w:tc>
      </w:tr>
      <w:tr w14:paraId="34249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49C26BAC">
            <w:pPr>
              <w:spacing w:line="360" w:lineRule="auto"/>
              <w:jc w:val="center"/>
              <w:rPr>
                <w:rFonts w:ascii="Times New Roman" w:hAnsi="Times New Roman" w:eastAsia="宋体" w:cs="Times New Roman"/>
                <w:sz w:val="24"/>
                <w:szCs w:val="24"/>
              </w:rPr>
            </w:pPr>
          </w:p>
        </w:tc>
        <w:tc>
          <w:tcPr>
            <w:tcW w:w="572" w:type="pct"/>
            <w:vMerge w:val="continue"/>
            <w:vAlign w:val="center"/>
          </w:tcPr>
          <w:p w14:paraId="42A989BD">
            <w:pPr>
              <w:spacing w:line="360" w:lineRule="auto"/>
              <w:jc w:val="center"/>
              <w:rPr>
                <w:rFonts w:ascii="Times New Roman" w:hAnsi="Times New Roman" w:eastAsia="宋体" w:cs="Times New Roman"/>
                <w:sz w:val="24"/>
                <w:szCs w:val="24"/>
              </w:rPr>
            </w:pPr>
          </w:p>
        </w:tc>
        <w:tc>
          <w:tcPr>
            <w:tcW w:w="1165" w:type="pct"/>
            <w:vAlign w:val="center"/>
          </w:tcPr>
          <w:p w14:paraId="7D15F2D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装卸粉尘</w:t>
            </w:r>
          </w:p>
        </w:tc>
        <w:tc>
          <w:tcPr>
            <w:tcW w:w="1116" w:type="pct"/>
            <w:vAlign w:val="center"/>
          </w:tcPr>
          <w:p w14:paraId="4E124AD8">
            <w:pPr>
              <w:snapToGrid w:val="0"/>
              <w:spacing w:line="360" w:lineRule="auto"/>
              <w:jc w:val="center"/>
              <w:rPr>
                <w:rFonts w:ascii="Times New Roman" w:hAnsi="Times New Roman" w:eastAsia="宋体" w:cs="Times New Roman"/>
                <w:sz w:val="24"/>
                <w:szCs w:val="24"/>
                <w:lang w:val="de-DE"/>
              </w:rPr>
            </w:pPr>
            <w:r>
              <w:rPr>
                <w:rFonts w:ascii="Times New Roman" w:hAnsi="Times New Roman" w:eastAsia="宋体" w:cs="Times New Roman"/>
                <w:sz w:val="24"/>
              </w:rPr>
              <w:t>1.5</w:t>
            </w:r>
            <w:r>
              <w:rPr>
                <w:rFonts w:hint="eastAsia" w:ascii="Times New Roman" w:hAnsi="Times New Roman" w:eastAsia="宋体" w:cs="Times New Roman"/>
                <w:sz w:val="24"/>
              </w:rPr>
              <w:t>t</w:t>
            </w:r>
            <w:r>
              <w:rPr>
                <w:rFonts w:ascii="Times New Roman" w:hAnsi="Times New Roman" w:eastAsia="宋体" w:cs="Times New Roman"/>
                <w:sz w:val="24"/>
              </w:rPr>
              <w:t>/</w:t>
            </w:r>
            <w:r>
              <w:rPr>
                <w:rFonts w:hint="eastAsia" w:ascii="Times New Roman" w:hAnsi="Times New Roman" w:eastAsia="宋体" w:cs="Times New Roman"/>
                <w:sz w:val="24"/>
              </w:rPr>
              <w:t>a</w:t>
            </w:r>
          </w:p>
        </w:tc>
        <w:tc>
          <w:tcPr>
            <w:tcW w:w="1667" w:type="pct"/>
            <w:vMerge w:val="continue"/>
            <w:vAlign w:val="center"/>
          </w:tcPr>
          <w:p w14:paraId="2ECE1C68">
            <w:pPr>
              <w:snapToGrid w:val="0"/>
              <w:spacing w:line="360" w:lineRule="auto"/>
              <w:jc w:val="center"/>
              <w:rPr>
                <w:rFonts w:ascii="Times New Roman" w:hAnsi="Times New Roman" w:eastAsia="宋体" w:cs="Times New Roman"/>
                <w:sz w:val="24"/>
                <w:szCs w:val="24"/>
              </w:rPr>
            </w:pPr>
          </w:p>
        </w:tc>
      </w:tr>
      <w:tr w14:paraId="4F2DA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7AB81CD6">
            <w:pPr>
              <w:spacing w:line="360" w:lineRule="auto"/>
              <w:jc w:val="center"/>
              <w:rPr>
                <w:rFonts w:ascii="Times New Roman" w:hAnsi="Times New Roman" w:eastAsia="宋体" w:cs="Times New Roman"/>
                <w:sz w:val="24"/>
                <w:szCs w:val="24"/>
              </w:rPr>
            </w:pPr>
          </w:p>
        </w:tc>
        <w:tc>
          <w:tcPr>
            <w:tcW w:w="572" w:type="pct"/>
            <w:vMerge w:val="continue"/>
            <w:vAlign w:val="center"/>
          </w:tcPr>
          <w:p w14:paraId="04373CD3">
            <w:pPr>
              <w:spacing w:line="360" w:lineRule="auto"/>
              <w:jc w:val="center"/>
              <w:rPr>
                <w:rFonts w:ascii="Times New Roman" w:hAnsi="Times New Roman" w:eastAsia="宋体" w:cs="Times New Roman"/>
                <w:sz w:val="24"/>
                <w:szCs w:val="24"/>
              </w:rPr>
            </w:pPr>
          </w:p>
        </w:tc>
        <w:tc>
          <w:tcPr>
            <w:tcW w:w="1165" w:type="pct"/>
            <w:vAlign w:val="center"/>
          </w:tcPr>
          <w:p w14:paraId="5625208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堆场粉尘</w:t>
            </w:r>
          </w:p>
        </w:tc>
        <w:tc>
          <w:tcPr>
            <w:tcW w:w="1116" w:type="pct"/>
            <w:vAlign w:val="center"/>
          </w:tcPr>
          <w:p w14:paraId="695DA585">
            <w:pPr>
              <w:snapToGrid w:val="0"/>
              <w:spacing w:line="360" w:lineRule="auto"/>
              <w:jc w:val="center"/>
              <w:rPr>
                <w:rFonts w:ascii="Times New Roman" w:hAnsi="Times New Roman" w:eastAsia="宋体" w:cs="Times New Roman"/>
                <w:sz w:val="24"/>
              </w:rPr>
            </w:pPr>
            <w:r>
              <w:rPr>
                <w:rFonts w:ascii="Times New Roman" w:hAnsi="Times New Roman" w:eastAsia="宋体" w:cs="Times New Roman"/>
                <w:sz w:val="24"/>
              </w:rPr>
              <w:t>不易起尘</w:t>
            </w:r>
          </w:p>
        </w:tc>
        <w:tc>
          <w:tcPr>
            <w:tcW w:w="1667" w:type="pct"/>
            <w:vAlign w:val="center"/>
          </w:tcPr>
          <w:p w14:paraId="48A3CE49">
            <w:pPr>
              <w:snapToGrid w:val="0"/>
              <w:spacing w:line="360" w:lineRule="auto"/>
              <w:jc w:val="center"/>
              <w:rPr>
                <w:rFonts w:ascii="Times New Roman" w:hAnsi="Times New Roman" w:eastAsia="宋体" w:cs="Times New Roman"/>
                <w:sz w:val="24"/>
              </w:rPr>
            </w:pPr>
            <w:r>
              <w:rPr>
                <w:rFonts w:ascii="Times New Roman" w:hAnsi="Times New Roman" w:eastAsia="宋体" w:cs="Times New Roman"/>
                <w:sz w:val="24"/>
              </w:rPr>
              <w:t>不易起尘</w:t>
            </w:r>
          </w:p>
        </w:tc>
      </w:tr>
      <w:tr w14:paraId="00C63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247C1A73">
            <w:pPr>
              <w:spacing w:line="360" w:lineRule="auto"/>
              <w:jc w:val="center"/>
              <w:rPr>
                <w:rFonts w:ascii="Times New Roman" w:hAnsi="Times New Roman" w:eastAsia="宋体" w:cs="Times New Roman"/>
                <w:sz w:val="24"/>
                <w:szCs w:val="24"/>
              </w:rPr>
            </w:pPr>
          </w:p>
        </w:tc>
        <w:tc>
          <w:tcPr>
            <w:tcW w:w="572" w:type="pct"/>
            <w:vMerge w:val="continue"/>
            <w:vAlign w:val="center"/>
          </w:tcPr>
          <w:p w14:paraId="480F7290">
            <w:pPr>
              <w:spacing w:line="360" w:lineRule="auto"/>
              <w:jc w:val="center"/>
              <w:rPr>
                <w:rFonts w:ascii="Times New Roman" w:hAnsi="Times New Roman" w:eastAsia="宋体" w:cs="Times New Roman"/>
                <w:sz w:val="24"/>
                <w:szCs w:val="24"/>
              </w:rPr>
            </w:pPr>
          </w:p>
        </w:tc>
        <w:tc>
          <w:tcPr>
            <w:tcW w:w="1165" w:type="pct"/>
            <w:vAlign w:val="center"/>
          </w:tcPr>
          <w:p w14:paraId="13AACE6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汽车运输扬尘</w:t>
            </w:r>
          </w:p>
        </w:tc>
        <w:tc>
          <w:tcPr>
            <w:tcW w:w="1116" w:type="pct"/>
            <w:vAlign w:val="center"/>
          </w:tcPr>
          <w:p w14:paraId="1ABD72A8">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bCs/>
                <w:sz w:val="24"/>
                <w:szCs w:val="24"/>
              </w:rPr>
              <w:t>0.069t/a</w:t>
            </w:r>
          </w:p>
        </w:tc>
        <w:tc>
          <w:tcPr>
            <w:tcW w:w="1667" w:type="pct"/>
            <w:vAlign w:val="center"/>
          </w:tcPr>
          <w:p w14:paraId="70E448B5">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bCs/>
                <w:sz w:val="24"/>
                <w:szCs w:val="24"/>
              </w:rPr>
              <w:t>产生量较少，无组织排放</w:t>
            </w:r>
          </w:p>
        </w:tc>
      </w:tr>
      <w:tr w14:paraId="2298A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restart"/>
            <w:vAlign w:val="center"/>
          </w:tcPr>
          <w:p w14:paraId="4E7919B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水污染物</w:t>
            </w:r>
          </w:p>
        </w:tc>
        <w:tc>
          <w:tcPr>
            <w:tcW w:w="572" w:type="pct"/>
            <w:vMerge w:val="restart"/>
            <w:vAlign w:val="center"/>
          </w:tcPr>
          <w:p w14:paraId="16DC7B0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165" w:type="pct"/>
            <w:vAlign w:val="center"/>
          </w:tcPr>
          <w:p w14:paraId="23681F3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施工人员生活污水</w:t>
            </w:r>
          </w:p>
        </w:tc>
        <w:tc>
          <w:tcPr>
            <w:tcW w:w="1116" w:type="pct"/>
            <w:vAlign w:val="center"/>
          </w:tcPr>
          <w:p w14:paraId="6C828E3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0.8m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7" w:type="pct"/>
            <w:vAlign w:val="center"/>
          </w:tcPr>
          <w:p w14:paraId="6796E33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依托现有设施处理</w:t>
            </w:r>
          </w:p>
        </w:tc>
      </w:tr>
      <w:tr w14:paraId="7298D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5541FCCC">
            <w:pPr>
              <w:spacing w:line="360" w:lineRule="auto"/>
              <w:jc w:val="center"/>
              <w:rPr>
                <w:rFonts w:ascii="Times New Roman" w:hAnsi="Times New Roman" w:eastAsia="宋体" w:cs="Times New Roman"/>
                <w:sz w:val="24"/>
                <w:szCs w:val="24"/>
              </w:rPr>
            </w:pPr>
          </w:p>
        </w:tc>
        <w:tc>
          <w:tcPr>
            <w:tcW w:w="572" w:type="pct"/>
            <w:vMerge w:val="continue"/>
            <w:vAlign w:val="center"/>
          </w:tcPr>
          <w:p w14:paraId="5F8C1146">
            <w:pPr>
              <w:spacing w:line="360" w:lineRule="auto"/>
              <w:jc w:val="center"/>
              <w:rPr>
                <w:rFonts w:ascii="Times New Roman" w:hAnsi="Times New Roman" w:eastAsia="宋体" w:cs="Times New Roman"/>
                <w:sz w:val="24"/>
                <w:szCs w:val="24"/>
              </w:rPr>
            </w:pPr>
          </w:p>
        </w:tc>
        <w:tc>
          <w:tcPr>
            <w:tcW w:w="1165" w:type="pct"/>
            <w:vAlign w:val="center"/>
          </w:tcPr>
          <w:p w14:paraId="1B7F8B3D">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施工废水</w:t>
            </w:r>
          </w:p>
        </w:tc>
        <w:tc>
          <w:tcPr>
            <w:tcW w:w="1116" w:type="pct"/>
            <w:vAlign w:val="center"/>
          </w:tcPr>
          <w:p w14:paraId="070D70B7">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0.5m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7" w:type="pct"/>
            <w:vAlign w:val="center"/>
          </w:tcPr>
          <w:p w14:paraId="29A9CFE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沉淀池收集处理后回用</w:t>
            </w:r>
          </w:p>
        </w:tc>
      </w:tr>
      <w:tr w14:paraId="1BC77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6D354B58">
            <w:pPr>
              <w:spacing w:line="360" w:lineRule="auto"/>
              <w:jc w:val="center"/>
              <w:rPr>
                <w:rFonts w:ascii="Times New Roman" w:hAnsi="Times New Roman" w:eastAsia="宋体" w:cs="Times New Roman"/>
                <w:sz w:val="24"/>
                <w:szCs w:val="24"/>
              </w:rPr>
            </w:pPr>
          </w:p>
        </w:tc>
        <w:tc>
          <w:tcPr>
            <w:tcW w:w="572" w:type="pct"/>
            <w:vMerge w:val="restart"/>
            <w:vAlign w:val="center"/>
          </w:tcPr>
          <w:p w14:paraId="3098632F">
            <w:pPr>
              <w:spacing w:line="360" w:lineRule="auto"/>
              <w:ind w:left="-3"/>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165" w:type="pct"/>
            <w:vAlign w:val="center"/>
          </w:tcPr>
          <w:p w14:paraId="6121D16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生活污水</w:t>
            </w:r>
          </w:p>
        </w:tc>
        <w:tc>
          <w:tcPr>
            <w:tcW w:w="1116" w:type="pct"/>
            <w:vAlign w:val="center"/>
          </w:tcPr>
          <w:p w14:paraId="696C03C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0.8m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7" w:type="pct"/>
            <w:vAlign w:val="center"/>
          </w:tcPr>
          <w:p w14:paraId="6FDA10E8">
            <w:pPr>
              <w:pStyle w:val="79"/>
              <w:adjustRightInd/>
              <w:spacing w:before="0" w:after="0" w:line="360" w:lineRule="auto"/>
              <w:jc w:val="center"/>
              <w:rPr>
                <w:rFonts w:ascii="Times New Roman" w:hAnsi="Times New Roman" w:eastAsia="宋体" w:cs="Times New Roman"/>
                <w:sz w:val="24"/>
                <w:szCs w:val="24"/>
                <w:lang w:val="zh-CN"/>
              </w:rPr>
            </w:pPr>
            <w:r>
              <w:rPr>
                <w:rFonts w:ascii="Times New Roman" w:hAnsi="Times New Roman" w:eastAsia="宋体" w:cs="Times New Roman"/>
                <w:sz w:val="24"/>
                <w:szCs w:val="24"/>
              </w:rPr>
              <w:t>0.64m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/d，依托现有设施处理后回用农肥</w:t>
            </w:r>
          </w:p>
        </w:tc>
      </w:tr>
      <w:tr w14:paraId="04DA3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4EBE3714">
            <w:pPr>
              <w:spacing w:line="360" w:lineRule="auto"/>
              <w:jc w:val="center"/>
              <w:rPr>
                <w:rFonts w:ascii="Times New Roman" w:hAnsi="Times New Roman" w:eastAsia="宋体" w:cs="Times New Roman"/>
                <w:sz w:val="24"/>
                <w:szCs w:val="24"/>
              </w:rPr>
            </w:pPr>
          </w:p>
        </w:tc>
        <w:tc>
          <w:tcPr>
            <w:tcW w:w="572" w:type="pct"/>
            <w:vMerge w:val="continue"/>
            <w:vAlign w:val="center"/>
          </w:tcPr>
          <w:p w14:paraId="7253CDBC">
            <w:pPr>
              <w:spacing w:line="360" w:lineRule="auto"/>
              <w:ind w:left="-3"/>
              <w:jc w:val="center"/>
              <w:rPr>
                <w:rFonts w:ascii="Times New Roman" w:hAnsi="Times New Roman" w:eastAsia="宋体" w:cs="Times New Roman"/>
                <w:sz w:val="24"/>
                <w:szCs w:val="24"/>
              </w:rPr>
            </w:pPr>
          </w:p>
        </w:tc>
        <w:tc>
          <w:tcPr>
            <w:tcW w:w="1165" w:type="pct"/>
            <w:vAlign w:val="center"/>
          </w:tcPr>
          <w:p w14:paraId="14088C7A">
            <w:pPr>
              <w:spacing w:line="360" w:lineRule="auto"/>
              <w:jc w:val="center"/>
              <w:rPr>
                <w:rFonts w:ascii="Times New Roman" w:hAnsi="Times New Roman" w:eastAsia="宋体" w:cs="Times New Roman"/>
                <w:sz w:val="24"/>
                <w:szCs w:val="24"/>
              </w:rPr>
            </w:pPr>
            <w:r>
              <w:rPr>
                <w:rFonts w:ascii="Times New Roman" w:hAnsi="Times New Roman" w:eastAsia="宋体" w:cs="Times New Roman"/>
                <w:bCs/>
                <w:sz w:val="24"/>
              </w:rPr>
              <w:t>轮胎冲洗水</w:t>
            </w:r>
          </w:p>
        </w:tc>
        <w:tc>
          <w:tcPr>
            <w:tcW w:w="1116" w:type="pct"/>
            <w:vAlign w:val="center"/>
          </w:tcPr>
          <w:p w14:paraId="2701DC7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1667" w:type="pct"/>
            <w:vAlign w:val="center"/>
          </w:tcPr>
          <w:p w14:paraId="0D72B6C4">
            <w:pPr>
              <w:pStyle w:val="79"/>
              <w:adjustRightInd/>
              <w:spacing w:before="0" w:after="0"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zh-CN"/>
              </w:rPr>
              <w:t>自然蒸发</w:t>
            </w:r>
          </w:p>
        </w:tc>
      </w:tr>
      <w:tr w14:paraId="24B34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436D3F28">
            <w:pPr>
              <w:spacing w:line="360" w:lineRule="auto"/>
              <w:jc w:val="center"/>
              <w:rPr>
                <w:rFonts w:ascii="Times New Roman" w:hAnsi="Times New Roman" w:eastAsia="宋体" w:cs="Times New Roman"/>
                <w:sz w:val="24"/>
                <w:szCs w:val="24"/>
              </w:rPr>
            </w:pPr>
          </w:p>
        </w:tc>
        <w:tc>
          <w:tcPr>
            <w:tcW w:w="572" w:type="pct"/>
            <w:vMerge w:val="continue"/>
            <w:vAlign w:val="center"/>
          </w:tcPr>
          <w:p w14:paraId="511CB91F">
            <w:pPr>
              <w:spacing w:line="360" w:lineRule="auto"/>
              <w:ind w:left="-3"/>
              <w:jc w:val="center"/>
              <w:rPr>
                <w:rFonts w:ascii="Times New Roman" w:hAnsi="Times New Roman" w:eastAsia="宋体" w:cs="Times New Roman"/>
                <w:sz w:val="24"/>
                <w:szCs w:val="24"/>
              </w:rPr>
            </w:pPr>
          </w:p>
        </w:tc>
        <w:tc>
          <w:tcPr>
            <w:tcW w:w="1165" w:type="pct"/>
            <w:vAlign w:val="center"/>
          </w:tcPr>
          <w:p w14:paraId="55F6C110">
            <w:pPr>
              <w:spacing w:line="360" w:lineRule="auto"/>
              <w:jc w:val="center"/>
              <w:rPr>
                <w:rFonts w:ascii="Times New Roman" w:hAnsi="Times New Roman" w:eastAsia="宋体" w:cs="Times New Roman"/>
                <w:sz w:val="24"/>
                <w:szCs w:val="24"/>
              </w:rPr>
            </w:pPr>
            <w:r>
              <w:rPr>
                <w:rFonts w:ascii="Times New Roman" w:hAnsi="Times New Roman" w:eastAsia="宋体" w:cs="Times New Roman"/>
                <w:bCs/>
                <w:sz w:val="24"/>
              </w:rPr>
              <w:t>雨水</w:t>
            </w:r>
          </w:p>
        </w:tc>
        <w:tc>
          <w:tcPr>
            <w:tcW w:w="1116" w:type="pct"/>
            <w:vAlign w:val="center"/>
          </w:tcPr>
          <w:p w14:paraId="765964B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1667" w:type="pct"/>
            <w:vAlign w:val="center"/>
          </w:tcPr>
          <w:p w14:paraId="5E7AB65F">
            <w:pPr>
              <w:pStyle w:val="79"/>
              <w:adjustRightInd/>
              <w:spacing w:before="0" w:after="0"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zh-CN"/>
              </w:rPr>
              <w:t>外排雨水管网</w:t>
            </w:r>
          </w:p>
        </w:tc>
      </w:tr>
      <w:tr w14:paraId="6731B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restart"/>
            <w:vAlign w:val="center"/>
          </w:tcPr>
          <w:p w14:paraId="0C2B1881">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固体</w:t>
            </w:r>
          </w:p>
          <w:p w14:paraId="6C57D3A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废弃物</w:t>
            </w:r>
          </w:p>
        </w:tc>
        <w:tc>
          <w:tcPr>
            <w:tcW w:w="572" w:type="pct"/>
            <w:vMerge w:val="restart"/>
            <w:vAlign w:val="center"/>
          </w:tcPr>
          <w:p w14:paraId="006039E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165" w:type="pct"/>
            <w:vAlign w:val="center"/>
          </w:tcPr>
          <w:p w14:paraId="069A83F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施工人员生活垃圾</w:t>
            </w:r>
          </w:p>
        </w:tc>
        <w:tc>
          <w:tcPr>
            <w:tcW w:w="1116" w:type="pct"/>
            <w:vAlign w:val="center"/>
          </w:tcPr>
          <w:p w14:paraId="70C5C99D">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10kg/d</w:t>
            </w:r>
          </w:p>
        </w:tc>
        <w:tc>
          <w:tcPr>
            <w:tcW w:w="1667" w:type="pct"/>
            <w:vAlign w:val="center"/>
          </w:tcPr>
          <w:p w14:paraId="6ED4724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由环卫部门清运</w:t>
            </w:r>
          </w:p>
        </w:tc>
      </w:tr>
      <w:tr w14:paraId="2B2E4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78EBA1C2">
            <w:pPr>
              <w:spacing w:line="360" w:lineRule="auto"/>
              <w:jc w:val="center"/>
              <w:rPr>
                <w:rFonts w:ascii="Times New Roman" w:hAnsi="Times New Roman" w:eastAsia="宋体" w:cs="Times New Roman"/>
                <w:sz w:val="24"/>
                <w:szCs w:val="24"/>
              </w:rPr>
            </w:pPr>
          </w:p>
        </w:tc>
        <w:tc>
          <w:tcPr>
            <w:tcW w:w="572" w:type="pct"/>
            <w:vMerge w:val="continue"/>
            <w:vAlign w:val="center"/>
          </w:tcPr>
          <w:p w14:paraId="02A999CC">
            <w:pPr>
              <w:spacing w:line="360" w:lineRule="auto"/>
              <w:jc w:val="center"/>
              <w:rPr>
                <w:rFonts w:ascii="Times New Roman" w:hAnsi="Times New Roman" w:eastAsia="宋体" w:cs="Times New Roman"/>
                <w:sz w:val="24"/>
                <w:szCs w:val="24"/>
              </w:rPr>
            </w:pPr>
          </w:p>
        </w:tc>
        <w:tc>
          <w:tcPr>
            <w:tcW w:w="1165" w:type="pct"/>
            <w:vAlign w:val="center"/>
          </w:tcPr>
          <w:p w14:paraId="3F7DE693">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建筑垃圾及弃渣</w:t>
            </w:r>
          </w:p>
        </w:tc>
        <w:tc>
          <w:tcPr>
            <w:tcW w:w="1116" w:type="pct"/>
            <w:vAlign w:val="center"/>
          </w:tcPr>
          <w:p w14:paraId="5C03697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少量</w:t>
            </w:r>
          </w:p>
        </w:tc>
        <w:tc>
          <w:tcPr>
            <w:tcW w:w="1667" w:type="pct"/>
            <w:vAlign w:val="center"/>
          </w:tcPr>
          <w:p w14:paraId="09F2302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运往政府</w:t>
            </w:r>
            <w:r>
              <w:rPr>
                <w:rFonts w:hint="eastAsia" w:ascii="Times New Roman" w:hAnsi="Times New Roman" w:eastAsia="宋体" w:cs="Times New Roman"/>
                <w:sz w:val="24"/>
                <w:szCs w:val="24"/>
                <w:lang w:eastAsia="zh-CN"/>
              </w:rPr>
              <w:t>指定</w:t>
            </w:r>
            <w:r>
              <w:rPr>
                <w:rFonts w:ascii="Times New Roman" w:hAnsi="Times New Roman" w:eastAsia="宋体" w:cs="Times New Roman"/>
                <w:sz w:val="24"/>
                <w:szCs w:val="24"/>
              </w:rPr>
              <w:t>地点</w:t>
            </w:r>
          </w:p>
        </w:tc>
      </w:tr>
      <w:tr w14:paraId="10794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29BDB4A2">
            <w:pPr>
              <w:spacing w:line="360" w:lineRule="auto"/>
              <w:jc w:val="center"/>
              <w:rPr>
                <w:rFonts w:ascii="Times New Roman" w:hAnsi="Times New Roman" w:eastAsia="宋体" w:cs="Times New Roman"/>
                <w:sz w:val="24"/>
                <w:szCs w:val="24"/>
              </w:rPr>
            </w:pPr>
          </w:p>
        </w:tc>
        <w:tc>
          <w:tcPr>
            <w:tcW w:w="572" w:type="pct"/>
            <w:vMerge w:val="continue"/>
            <w:vAlign w:val="center"/>
          </w:tcPr>
          <w:p w14:paraId="6DC77926">
            <w:pPr>
              <w:spacing w:line="360" w:lineRule="auto"/>
              <w:jc w:val="center"/>
              <w:rPr>
                <w:rFonts w:ascii="Times New Roman" w:hAnsi="Times New Roman" w:eastAsia="宋体" w:cs="Times New Roman"/>
                <w:sz w:val="24"/>
                <w:szCs w:val="24"/>
              </w:rPr>
            </w:pPr>
          </w:p>
        </w:tc>
        <w:tc>
          <w:tcPr>
            <w:tcW w:w="1165" w:type="pct"/>
            <w:vAlign w:val="center"/>
          </w:tcPr>
          <w:p w14:paraId="187F9FE4">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磁选废铁渣</w:t>
            </w:r>
          </w:p>
        </w:tc>
        <w:tc>
          <w:tcPr>
            <w:tcW w:w="1116" w:type="pct"/>
            <w:vAlign w:val="center"/>
          </w:tcPr>
          <w:p w14:paraId="7325B5A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5t/a</w:t>
            </w:r>
          </w:p>
        </w:tc>
        <w:tc>
          <w:tcPr>
            <w:tcW w:w="1667" w:type="pct"/>
            <w:vAlign w:val="center"/>
          </w:tcPr>
          <w:p w14:paraId="08B7DBD6">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r>
      <w:tr w14:paraId="77CD8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18534905">
            <w:pPr>
              <w:spacing w:line="360" w:lineRule="auto"/>
              <w:jc w:val="center"/>
              <w:rPr>
                <w:rFonts w:ascii="Times New Roman" w:hAnsi="Times New Roman" w:eastAsia="宋体" w:cs="Times New Roman"/>
                <w:sz w:val="24"/>
                <w:szCs w:val="24"/>
              </w:rPr>
            </w:pPr>
          </w:p>
        </w:tc>
        <w:tc>
          <w:tcPr>
            <w:tcW w:w="572" w:type="pct"/>
            <w:vMerge w:val="continue"/>
            <w:vAlign w:val="center"/>
          </w:tcPr>
          <w:p w14:paraId="4E250986">
            <w:pPr>
              <w:spacing w:line="360" w:lineRule="auto"/>
              <w:jc w:val="center"/>
              <w:rPr>
                <w:rFonts w:ascii="Times New Roman" w:hAnsi="Times New Roman" w:eastAsia="宋体" w:cs="Times New Roman"/>
                <w:sz w:val="24"/>
                <w:szCs w:val="24"/>
              </w:rPr>
            </w:pPr>
          </w:p>
        </w:tc>
        <w:tc>
          <w:tcPr>
            <w:tcW w:w="1165" w:type="pct"/>
            <w:vAlign w:val="center"/>
          </w:tcPr>
          <w:p w14:paraId="7DEB492B">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除尘粉尘</w:t>
            </w:r>
          </w:p>
        </w:tc>
        <w:tc>
          <w:tcPr>
            <w:tcW w:w="1116" w:type="pct"/>
            <w:vAlign w:val="center"/>
          </w:tcPr>
          <w:p w14:paraId="4663019D">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28.443t/a</w:t>
            </w:r>
          </w:p>
        </w:tc>
        <w:tc>
          <w:tcPr>
            <w:tcW w:w="1667" w:type="pct"/>
            <w:vAlign w:val="center"/>
          </w:tcPr>
          <w:p w14:paraId="5F41BBC6">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Cs w:val="21"/>
              </w:rPr>
              <w:t>作为产品外售</w:t>
            </w:r>
          </w:p>
        </w:tc>
      </w:tr>
      <w:tr w14:paraId="14D6C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240D6CD0">
            <w:pPr>
              <w:spacing w:line="360" w:lineRule="auto"/>
              <w:jc w:val="center"/>
              <w:rPr>
                <w:rFonts w:ascii="Times New Roman" w:hAnsi="Times New Roman" w:eastAsia="宋体" w:cs="Times New Roman"/>
                <w:sz w:val="24"/>
                <w:szCs w:val="24"/>
              </w:rPr>
            </w:pPr>
          </w:p>
        </w:tc>
        <w:tc>
          <w:tcPr>
            <w:tcW w:w="572" w:type="pct"/>
            <w:vMerge w:val="continue"/>
            <w:vAlign w:val="center"/>
          </w:tcPr>
          <w:p w14:paraId="32142B60">
            <w:pPr>
              <w:spacing w:line="360" w:lineRule="auto"/>
              <w:jc w:val="center"/>
              <w:rPr>
                <w:rFonts w:ascii="Times New Roman" w:hAnsi="Times New Roman" w:eastAsia="宋体" w:cs="Times New Roman"/>
                <w:sz w:val="24"/>
                <w:szCs w:val="24"/>
              </w:rPr>
            </w:pPr>
          </w:p>
        </w:tc>
        <w:tc>
          <w:tcPr>
            <w:tcW w:w="1165" w:type="pct"/>
            <w:vAlign w:val="center"/>
          </w:tcPr>
          <w:p w14:paraId="4AD0C41C">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二级生化处理设施污泥</w:t>
            </w:r>
          </w:p>
        </w:tc>
        <w:tc>
          <w:tcPr>
            <w:tcW w:w="1116" w:type="pct"/>
            <w:vAlign w:val="center"/>
          </w:tcPr>
          <w:p w14:paraId="460055E4">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0</w:t>
            </w:r>
            <w:r>
              <w:rPr>
                <w:rFonts w:ascii="Times New Roman" w:hAnsi="Times New Roman" w:eastAsia="宋体" w:cs="Times New Roman"/>
                <w:sz w:val="24"/>
                <w:szCs w:val="24"/>
              </w:rPr>
              <w:t>.5</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p>
        </w:tc>
        <w:tc>
          <w:tcPr>
            <w:tcW w:w="1667" w:type="pct"/>
            <w:vAlign w:val="center"/>
          </w:tcPr>
          <w:p w14:paraId="15EBDF00">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Cs w:val="21"/>
              </w:rPr>
              <w:t>回用农肥综合利用</w:t>
            </w:r>
          </w:p>
        </w:tc>
      </w:tr>
      <w:tr w14:paraId="1236A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0FB54EDF">
            <w:pPr>
              <w:spacing w:line="360" w:lineRule="auto"/>
              <w:jc w:val="center"/>
              <w:rPr>
                <w:rFonts w:ascii="Times New Roman" w:hAnsi="Times New Roman" w:eastAsia="宋体" w:cs="Times New Roman"/>
                <w:sz w:val="24"/>
                <w:szCs w:val="24"/>
              </w:rPr>
            </w:pPr>
          </w:p>
        </w:tc>
        <w:tc>
          <w:tcPr>
            <w:tcW w:w="572" w:type="pct"/>
            <w:vMerge w:val="continue"/>
            <w:vAlign w:val="center"/>
          </w:tcPr>
          <w:p w14:paraId="399F6DE5">
            <w:pPr>
              <w:spacing w:line="360" w:lineRule="auto"/>
              <w:jc w:val="center"/>
              <w:rPr>
                <w:rFonts w:ascii="Times New Roman" w:hAnsi="Times New Roman" w:eastAsia="宋体" w:cs="Times New Roman"/>
                <w:sz w:val="24"/>
                <w:szCs w:val="24"/>
              </w:rPr>
            </w:pPr>
          </w:p>
        </w:tc>
        <w:tc>
          <w:tcPr>
            <w:tcW w:w="1165" w:type="pct"/>
            <w:vAlign w:val="center"/>
          </w:tcPr>
          <w:p w14:paraId="3447BC77">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生活垃圾</w:t>
            </w:r>
          </w:p>
        </w:tc>
        <w:tc>
          <w:tcPr>
            <w:tcW w:w="1116" w:type="pct"/>
            <w:vAlign w:val="center"/>
          </w:tcPr>
          <w:p w14:paraId="3F15E5A4">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3t/a</w:t>
            </w:r>
          </w:p>
        </w:tc>
        <w:tc>
          <w:tcPr>
            <w:tcW w:w="1667" w:type="pct"/>
            <w:vAlign w:val="center"/>
          </w:tcPr>
          <w:p w14:paraId="46179833">
            <w:pPr>
              <w:spacing w:line="360" w:lineRule="auto"/>
              <w:jc w:val="center"/>
              <w:rPr>
                <w:rFonts w:ascii="Times New Roman" w:hAnsi="Times New Roman" w:eastAsia="宋体" w:cs="Times New Roman"/>
                <w:sz w:val="24"/>
                <w:szCs w:val="24"/>
              </w:rPr>
            </w:pPr>
            <w:r>
              <w:rPr>
                <w:rFonts w:ascii="Times New Roman" w:hAnsi="Times New Roman" w:eastAsia="宋体" w:cs="Times New Roman"/>
                <w:szCs w:val="21"/>
              </w:rPr>
              <w:t>环卫部门</w:t>
            </w:r>
            <w:r>
              <w:rPr>
                <w:rFonts w:hint="eastAsia" w:ascii="Times New Roman" w:hAnsi="Times New Roman" w:eastAsia="宋体" w:cs="Times New Roman"/>
                <w:szCs w:val="21"/>
              </w:rPr>
              <w:t>清运处理</w:t>
            </w:r>
          </w:p>
        </w:tc>
      </w:tr>
      <w:tr w14:paraId="662E2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565598F6">
            <w:pPr>
              <w:spacing w:line="360" w:lineRule="auto"/>
              <w:jc w:val="center"/>
              <w:rPr>
                <w:rFonts w:ascii="Times New Roman" w:hAnsi="Times New Roman" w:eastAsia="宋体" w:cs="Times New Roman"/>
                <w:sz w:val="24"/>
                <w:szCs w:val="24"/>
              </w:rPr>
            </w:pPr>
          </w:p>
        </w:tc>
        <w:tc>
          <w:tcPr>
            <w:tcW w:w="572" w:type="pct"/>
            <w:vMerge w:val="continue"/>
            <w:vAlign w:val="center"/>
          </w:tcPr>
          <w:p w14:paraId="2CD9EADD">
            <w:pPr>
              <w:spacing w:line="360" w:lineRule="auto"/>
              <w:jc w:val="center"/>
              <w:rPr>
                <w:rFonts w:ascii="Times New Roman" w:hAnsi="Times New Roman" w:eastAsia="宋体" w:cs="Times New Roman"/>
                <w:sz w:val="24"/>
                <w:szCs w:val="24"/>
              </w:rPr>
            </w:pPr>
          </w:p>
        </w:tc>
        <w:tc>
          <w:tcPr>
            <w:tcW w:w="1165" w:type="pct"/>
            <w:vAlign w:val="center"/>
          </w:tcPr>
          <w:p w14:paraId="3F13DD6D">
            <w:pPr>
              <w:spacing w:line="360" w:lineRule="auto"/>
              <w:jc w:val="center"/>
              <w:rPr>
                <w:rFonts w:ascii="Times New Roman" w:hAnsi="Times New Roman" w:eastAsia="宋体" w:cs="Times New Roman"/>
                <w:bCs/>
                <w:sz w:val="24"/>
                <w:szCs w:val="24"/>
              </w:rPr>
            </w:pPr>
            <w:r>
              <w:rPr>
                <w:rFonts w:hint="eastAsia" w:ascii="Times New Roman" w:hAnsi="Times New Roman" w:eastAsia="宋体" w:cs="Times New Roman"/>
                <w:sz w:val="24"/>
                <w:szCs w:val="24"/>
              </w:rPr>
              <w:t>废机油</w:t>
            </w:r>
          </w:p>
        </w:tc>
        <w:tc>
          <w:tcPr>
            <w:tcW w:w="1116" w:type="pct"/>
            <w:vAlign w:val="center"/>
          </w:tcPr>
          <w:p w14:paraId="782280D3">
            <w:pPr>
              <w:spacing w:line="360" w:lineRule="auto"/>
              <w:jc w:val="center"/>
              <w:rPr>
                <w:rFonts w:ascii="Times New Roman" w:hAnsi="Times New Roman" w:eastAsia="宋体" w:cs="Times New Roman"/>
                <w:caps/>
                <w:sz w:val="24"/>
                <w:szCs w:val="24"/>
              </w:rPr>
            </w:pPr>
            <w:r>
              <w:rPr>
                <w:rFonts w:ascii="Times New Roman" w:hAnsi="Times New Roman" w:eastAsia="宋体" w:cs="Times New Roman"/>
                <w:sz w:val="24"/>
                <w:szCs w:val="24"/>
              </w:rPr>
              <w:t>0.2t/a</w:t>
            </w:r>
          </w:p>
        </w:tc>
        <w:tc>
          <w:tcPr>
            <w:tcW w:w="1667" w:type="pct"/>
            <w:vAlign w:val="center"/>
          </w:tcPr>
          <w:p w14:paraId="5EB523E0">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收集暂存于危废暂存间，定期交由有资质单位处理</w:t>
            </w:r>
          </w:p>
        </w:tc>
      </w:tr>
      <w:tr w14:paraId="6796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restart"/>
            <w:vAlign w:val="center"/>
          </w:tcPr>
          <w:p w14:paraId="12A9EC3E">
            <w:pPr>
              <w:spacing w:line="360" w:lineRule="auto"/>
              <w:ind w:left="105" w:leftChars="50"/>
              <w:jc w:val="center"/>
              <w:rPr>
                <w:rFonts w:ascii="Times New Roman" w:hAnsi="Times New Roman" w:eastAsia="宋体" w:cs="Times New Roman"/>
                <w:sz w:val="24"/>
                <w:szCs w:val="24"/>
              </w:rPr>
            </w:pPr>
            <w:r>
              <w:rPr>
                <w:rFonts w:ascii="Times New Roman" w:hAnsi="Times New Roman" w:eastAsia="宋体" w:cs="Times New Roman"/>
                <w:sz w:val="24"/>
                <w:szCs w:val="24"/>
              </w:rPr>
              <w:t>噪声</w:t>
            </w:r>
          </w:p>
        </w:tc>
        <w:tc>
          <w:tcPr>
            <w:tcW w:w="572" w:type="pct"/>
            <w:vAlign w:val="center"/>
          </w:tcPr>
          <w:p w14:paraId="1BD8BF3F">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165" w:type="pct"/>
            <w:vAlign w:val="center"/>
          </w:tcPr>
          <w:p w14:paraId="652D9A9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施工噪声</w:t>
            </w:r>
          </w:p>
        </w:tc>
        <w:tc>
          <w:tcPr>
            <w:tcW w:w="2783" w:type="pct"/>
            <w:gridSpan w:val="2"/>
            <w:vAlign w:val="center"/>
          </w:tcPr>
          <w:p w14:paraId="21918B3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昼间≤70dB（A），夜间≤55dB（A）</w:t>
            </w:r>
          </w:p>
        </w:tc>
      </w:tr>
      <w:tr w14:paraId="21AE9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79" w:type="pct"/>
            <w:vMerge w:val="continue"/>
            <w:vAlign w:val="center"/>
          </w:tcPr>
          <w:p w14:paraId="1F150C88">
            <w:pPr>
              <w:spacing w:line="360" w:lineRule="auto"/>
              <w:ind w:left="105" w:leftChars="50"/>
              <w:jc w:val="center"/>
              <w:rPr>
                <w:rFonts w:ascii="Times New Roman" w:hAnsi="Times New Roman" w:eastAsia="宋体" w:cs="Times New Roman"/>
                <w:sz w:val="24"/>
                <w:szCs w:val="24"/>
              </w:rPr>
            </w:pPr>
          </w:p>
        </w:tc>
        <w:tc>
          <w:tcPr>
            <w:tcW w:w="572" w:type="pct"/>
            <w:vAlign w:val="center"/>
          </w:tcPr>
          <w:p w14:paraId="058E727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165" w:type="pct"/>
            <w:vAlign w:val="center"/>
          </w:tcPr>
          <w:p w14:paraId="44C9BD0F">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场界噪声</w:t>
            </w:r>
          </w:p>
        </w:tc>
        <w:tc>
          <w:tcPr>
            <w:tcW w:w="2783" w:type="pct"/>
            <w:gridSpan w:val="2"/>
            <w:vAlign w:val="center"/>
          </w:tcPr>
          <w:p w14:paraId="0A66B807">
            <w:pPr>
              <w:spacing w:line="360" w:lineRule="auto"/>
              <w:jc w:val="center"/>
              <w:rPr>
                <w:rFonts w:ascii="Times New Roman" w:hAnsi="Times New Roman" w:eastAsia="宋体" w:cs="Times New Roman"/>
                <w:spacing w:val="-6"/>
                <w:sz w:val="24"/>
                <w:szCs w:val="24"/>
              </w:rPr>
            </w:pPr>
            <w:r>
              <w:rPr>
                <w:rFonts w:ascii="Times New Roman" w:hAnsi="Times New Roman" w:eastAsia="宋体" w:cs="Times New Roman"/>
                <w:sz w:val="24"/>
                <w:szCs w:val="24"/>
              </w:rPr>
              <w:t>场界内：昼间≤65dB</w:t>
            </w:r>
            <w:r>
              <w:rPr>
                <w:rFonts w:ascii="Times New Roman" w:hAnsi="Times New Roman" w:eastAsia="宋体" w:cs="Times New Roman"/>
                <w:spacing w:val="-6"/>
                <w:sz w:val="24"/>
                <w:szCs w:val="24"/>
              </w:rPr>
              <w:t>（A）</w:t>
            </w:r>
            <w:r>
              <w:rPr>
                <w:rFonts w:ascii="Times New Roman" w:hAnsi="Times New Roman" w:eastAsia="宋体" w:cs="Times New Roman"/>
                <w:sz w:val="24"/>
                <w:szCs w:val="24"/>
              </w:rPr>
              <w:t>，夜间≤55dB</w:t>
            </w:r>
            <w:r>
              <w:rPr>
                <w:rFonts w:ascii="Times New Roman" w:hAnsi="Times New Roman" w:eastAsia="宋体" w:cs="Times New Roman"/>
                <w:spacing w:val="-6"/>
                <w:sz w:val="24"/>
                <w:szCs w:val="24"/>
              </w:rPr>
              <w:t>（A）</w:t>
            </w:r>
          </w:p>
        </w:tc>
      </w:tr>
      <w:tr w14:paraId="2087C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5"/>
            <w:vAlign w:val="center"/>
          </w:tcPr>
          <w:p w14:paraId="417B0FF4">
            <w:pPr>
              <w:spacing w:line="360" w:lineRule="auto"/>
              <w:ind w:firstLine="482" w:firstLineChars="200"/>
              <w:rPr>
                <w:rFonts w:ascii="Times New Roman" w:hAnsi="Times New Roman" w:eastAsia="宋体" w:cs="Times New Roman"/>
                <w:b/>
                <w:bCs/>
                <w:sz w:val="24"/>
                <w:szCs w:val="24"/>
              </w:rPr>
            </w:pPr>
            <w:r>
              <w:rPr>
                <w:rFonts w:ascii="Times New Roman" w:hAnsi="Times New Roman" w:eastAsia="宋体" w:cs="Times New Roman"/>
                <w:b/>
                <w:bCs/>
                <w:sz w:val="24"/>
                <w:szCs w:val="24"/>
              </w:rPr>
              <w:t>主要生态影响：</w:t>
            </w:r>
          </w:p>
          <w:p w14:paraId="291FEB45">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改建范围为原已租用厂区范围，该区域人类活动频繁，无珍稀保护动植物。本项目施工期主要影响为施工造成地面扰动引起的水土流失，项目用地范围较为平整，不需要进行大量土石方开挖，平整后立刻进行压实，水土流失影响较小。项目生产过程中产生的各类污染物均得到有效的处理，不会对周边环境造成污染；本工程对现有的生物群落及动物活动场所不会造成大的影响。区内的动物种类较少，没有珍稀动物的存在，项目的建设不会对动物的活动造成大影响。项目区内的植物也均为常见种类，附近分布很广，项目建设不会造成任何一个物种的灭绝。</w:t>
            </w:r>
          </w:p>
          <w:p w14:paraId="4891718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因此，项目的建设对生态环境不会产生较大影响。本项目在营运期对生态环境不会产生明显影响。</w:t>
            </w:r>
          </w:p>
          <w:p w14:paraId="0EBE5D55">
            <w:pPr>
              <w:spacing w:line="360" w:lineRule="auto"/>
              <w:rPr>
                <w:rFonts w:ascii="Times New Roman" w:hAnsi="Times New Roman" w:eastAsia="宋体" w:cs="Times New Roman"/>
                <w:sz w:val="24"/>
                <w:szCs w:val="24"/>
              </w:rPr>
            </w:pPr>
          </w:p>
          <w:p w14:paraId="380F4C50">
            <w:pPr>
              <w:spacing w:line="360" w:lineRule="auto"/>
              <w:rPr>
                <w:rFonts w:ascii="Times New Roman" w:hAnsi="Times New Roman" w:eastAsia="宋体" w:cs="Times New Roman"/>
                <w:sz w:val="24"/>
                <w:szCs w:val="24"/>
              </w:rPr>
            </w:pPr>
          </w:p>
          <w:p w14:paraId="3DEF6903">
            <w:pPr>
              <w:spacing w:line="360" w:lineRule="auto"/>
              <w:rPr>
                <w:rFonts w:ascii="Times New Roman" w:hAnsi="Times New Roman" w:eastAsia="宋体" w:cs="Times New Roman"/>
                <w:sz w:val="24"/>
                <w:szCs w:val="24"/>
              </w:rPr>
            </w:pPr>
          </w:p>
          <w:p w14:paraId="249C6AAA">
            <w:pPr>
              <w:spacing w:line="360" w:lineRule="auto"/>
              <w:rPr>
                <w:rFonts w:ascii="Times New Roman" w:hAnsi="Times New Roman" w:eastAsia="宋体" w:cs="Times New Roman"/>
                <w:sz w:val="24"/>
                <w:szCs w:val="24"/>
              </w:rPr>
            </w:pPr>
          </w:p>
          <w:p w14:paraId="1FB4B5AE">
            <w:pPr>
              <w:spacing w:line="360" w:lineRule="auto"/>
              <w:rPr>
                <w:rFonts w:ascii="Times New Roman" w:hAnsi="Times New Roman" w:eastAsia="宋体" w:cs="Times New Roman"/>
                <w:sz w:val="24"/>
                <w:szCs w:val="24"/>
              </w:rPr>
            </w:pPr>
          </w:p>
          <w:p w14:paraId="72AA9758">
            <w:pPr>
              <w:spacing w:line="360" w:lineRule="auto"/>
              <w:rPr>
                <w:rFonts w:ascii="Times New Roman" w:hAnsi="Times New Roman" w:eastAsia="宋体" w:cs="Times New Roman"/>
                <w:sz w:val="24"/>
                <w:szCs w:val="24"/>
              </w:rPr>
            </w:pPr>
          </w:p>
          <w:p w14:paraId="157D0195">
            <w:pPr>
              <w:spacing w:line="360" w:lineRule="auto"/>
              <w:rPr>
                <w:rFonts w:ascii="Times New Roman" w:hAnsi="Times New Roman" w:eastAsia="宋体" w:cs="Times New Roman"/>
                <w:sz w:val="24"/>
                <w:szCs w:val="24"/>
              </w:rPr>
            </w:pPr>
          </w:p>
          <w:p w14:paraId="77B27948">
            <w:pPr>
              <w:spacing w:line="360" w:lineRule="auto"/>
              <w:rPr>
                <w:rFonts w:ascii="Times New Roman" w:hAnsi="Times New Roman" w:eastAsia="宋体" w:cs="Times New Roman"/>
                <w:sz w:val="24"/>
                <w:szCs w:val="24"/>
              </w:rPr>
            </w:pPr>
          </w:p>
          <w:p w14:paraId="14E3BC4A">
            <w:pPr>
              <w:spacing w:line="360" w:lineRule="auto"/>
              <w:rPr>
                <w:rFonts w:ascii="Times New Roman" w:hAnsi="Times New Roman" w:eastAsia="宋体" w:cs="Times New Roman"/>
                <w:sz w:val="24"/>
                <w:szCs w:val="24"/>
              </w:rPr>
            </w:pPr>
          </w:p>
          <w:p w14:paraId="7FBB238B">
            <w:pPr>
              <w:spacing w:line="360" w:lineRule="auto"/>
              <w:rPr>
                <w:rFonts w:ascii="Times New Roman" w:hAnsi="Times New Roman" w:eastAsia="宋体" w:cs="Times New Roman"/>
                <w:sz w:val="24"/>
                <w:szCs w:val="24"/>
              </w:rPr>
            </w:pPr>
          </w:p>
          <w:p w14:paraId="277C0B6B">
            <w:pPr>
              <w:spacing w:line="360" w:lineRule="auto"/>
              <w:rPr>
                <w:rFonts w:ascii="Times New Roman" w:hAnsi="Times New Roman" w:eastAsia="宋体" w:cs="Times New Roman"/>
                <w:sz w:val="24"/>
                <w:szCs w:val="24"/>
              </w:rPr>
            </w:pPr>
          </w:p>
          <w:p w14:paraId="5CCEDF29">
            <w:pPr>
              <w:spacing w:line="360" w:lineRule="auto"/>
              <w:rPr>
                <w:rFonts w:ascii="Times New Roman" w:hAnsi="Times New Roman" w:eastAsia="宋体" w:cs="Times New Roman"/>
                <w:sz w:val="24"/>
                <w:szCs w:val="24"/>
              </w:rPr>
            </w:pPr>
          </w:p>
          <w:p w14:paraId="07541931">
            <w:pPr>
              <w:spacing w:line="360" w:lineRule="auto"/>
              <w:rPr>
                <w:rFonts w:ascii="Times New Roman" w:hAnsi="Times New Roman" w:eastAsia="宋体" w:cs="Times New Roman"/>
                <w:sz w:val="24"/>
                <w:szCs w:val="24"/>
              </w:rPr>
            </w:pPr>
          </w:p>
          <w:p w14:paraId="676D2D42">
            <w:pPr>
              <w:spacing w:line="360" w:lineRule="auto"/>
              <w:rPr>
                <w:rFonts w:ascii="Times New Roman" w:hAnsi="Times New Roman" w:eastAsia="宋体" w:cs="Times New Roman"/>
                <w:sz w:val="24"/>
                <w:szCs w:val="24"/>
              </w:rPr>
            </w:pPr>
          </w:p>
          <w:p w14:paraId="626E33BC">
            <w:pPr>
              <w:spacing w:line="360" w:lineRule="auto"/>
              <w:rPr>
                <w:rFonts w:ascii="Times New Roman" w:hAnsi="Times New Roman" w:eastAsia="宋体" w:cs="Times New Roman"/>
                <w:sz w:val="24"/>
                <w:szCs w:val="24"/>
              </w:rPr>
            </w:pPr>
          </w:p>
          <w:p w14:paraId="38C3AFAE">
            <w:pPr>
              <w:spacing w:line="360" w:lineRule="auto"/>
              <w:rPr>
                <w:rFonts w:ascii="Times New Roman" w:hAnsi="Times New Roman" w:eastAsia="宋体" w:cs="Times New Roman"/>
                <w:sz w:val="24"/>
                <w:szCs w:val="24"/>
              </w:rPr>
            </w:pPr>
          </w:p>
          <w:p w14:paraId="46376DC4">
            <w:pPr>
              <w:spacing w:line="360" w:lineRule="auto"/>
              <w:rPr>
                <w:rFonts w:ascii="Times New Roman" w:hAnsi="Times New Roman" w:eastAsia="宋体" w:cs="Times New Roman"/>
                <w:sz w:val="24"/>
                <w:szCs w:val="24"/>
              </w:rPr>
            </w:pPr>
          </w:p>
          <w:p w14:paraId="577AE3F3">
            <w:pPr>
              <w:spacing w:line="360" w:lineRule="auto"/>
              <w:rPr>
                <w:rFonts w:ascii="Times New Roman" w:hAnsi="Times New Roman" w:eastAsia="宋体" w:cs="Times New Roman"/>
                <w:sz w:val="24"/>
                <w:szCs w:val="24"/>
              </w:rPr>
            </w:pPr>
          </w:p>
        </w:tc>
      </w:tr>
    </w:tbl>
    <w:p w14:paraId="4400208E">
      <w:pPr>
        <w:outlineLvl w:val="0"/>
        <w:rPr>
          <w:rFonts w:ascii="Times New Roman" w:hAnsi="Times New Roman" w:eastAsia="宋体" w:cs="Times New Roman"/>
          <w:b/>
          <w:sz w:val="30"/>
          <w:szCs w:val="30"/>
        </w:rPr>
        <w:sectPr>
          <w:pgSz w:w="11906" w:h="16838"/>
          <w:pgMar w:top="1440" w:right="1797" w:bottom="1440" w:left="1797" w:header="851" w:footer="958" w:gutter="0"/>
          <w:cols w:space="720" w:num="1"/>
          <w:docGrid w:linePitch="312" w:charSpace="0"/>
        </w:sectPr>
      </w:pPr>
    </w:p>
    <w:p w14:paraId="36FBCE47">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环境影响分析（表七）</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06C1A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4" w:hRule="atLeast"/>
          <w:jc w:val="center"/>
        </w:trPr>
        <w:tc>
          <w:tcPr>
            <w:tcW w:w="5000" w:type="pct"/>
          </w:tcPr>
          <w:p w14:paraId="752547DE">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一、施工期环境影响分析</w:t>
            </w:r>
          </w:p>
          <w:p w14:paraId="3242F3D4">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（一）施工期大气环境影响分析</w:t>
            </w:r>
          </w:p>
          <w:p w14:paraId="4D90E04F">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本项目利用现有平整场地进行改建。施工期主要为厂房的建设、生产设备的安装、环保设施的安装</w:t>
            </w:r>
            <w:r>
              <w:rPr>
                <w:rFonts w:hint="eastAsia" w:ascii="Times New Roman" w:hAnsi="Times New Roman" w:eastAsia="宋体" w:cs="Times New Roman"/>
                <w:sz w:val="24"/>
              </w:rPr>
              <w:t>。施工期的环境污染主要来自施工机械的噪声、建筑扬尘、建筑垃圾及挖方产生的弃土、水土流失以及建筑施工人员产生的生活污水和生活垃圾。</w:t>
            </w:r>
            <w:r>
              <w:rPr>
                <w:rFonts w:ascii="Times New Roman" w:hAnsi="Times New Roman" w:eastAsia="宋体" w:cs="Times New Roman"/>
                <w:sz w:val="24"/>
              </w:rPr>
              <w:t>由于施工期较短，对周边环境影响较小。施工期对环境影响相对营运期而言是短期和暂时影响，施工期结束后影响即告停止。</w:t>
            </w:r>
            <w:r>
              <w:rPr>
                <w:rFonts w:hint="eastAsia" w:ascii="Times New Roman" w:hAnsi="Times New Roman" w:eastAsia="宋体" w:cs="Times New Roman"/>
                <w:sz w:val="24"/>
              </w:rPr>
              <w:t>各污染要素的环境影响分析如下：</w:t>
            </w:r>
          </w:p>
          <w:p w14:paraId="49FA1DC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（1）施工废气对环境影响分析</w:t>
            </w:r>
          </w:p>
          <w:p w14:paraId="1B5618EB">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施工扬尘</w:t>
            </w:r>
          </w:p>
          <w:p w14:paraId="5106A1DF">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①扬尘的产生</w:t>
            </w:r>
          </w:p>
          <w:p w14:paraId="067CD230">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施工期产生扬尘的作业有土地平整、基础开挖、回填、道路浇注、建材运输、堆放、装卸等过程。扬尘的主要来源是挖掘机施工时产生的扬尘，废弃土石堆放场地以及运输车辆进出时产生的扬尘。</w:t>
            </w:r>
          </w:p>
          <w:p w14:paraId="7D983DAC">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扬尘的起尘量与许多因素有关，挖土机、推土机等在工作时的起尘量与挖坑深度、挖土机抓斗与地面的相对高度、风速、土壤的颗粒度、土壤含水量等因素有关。对于渣土堆场而言，起尘量还与堆放方式、起动风速及堆场有无防护措施等有关。国内外的研究结果和类比调查表明，在起动风速以上，影响起尘量的主要因素分别为：防护措施、风速、土壤湿度、挖土方式或土堆的堆放方式等。</w:t>
            </w:r>
          </w:p>
          <w:p w14:paraId="2B54A68E">
            <w:pPr>
              <w:spacing w:line="360" w:lineRule="auto"/>
              <w:ind w:firstLine="48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据有关调查显示，施工工地的扬尘主要是由运输车辆行驶产生，与道路路面及车辆行驶速度有关，约占扬尘总量的60%。在完全干燥情况下，可按经验公式计算：</w:t>
            </w:r>
          </w:p>
          <w:p w14:paraId="5482DF34">
            <w:pPr>
              <w:spacing w:line="360" w:lineRule="auto"/>
              <w:ind w:firstLine="480"/>
              <w:jc w:val="center"/>
              <w:rPr>
                <w:rFonts w:ascii="Times New Roman" w:hAnsi="Times New Roman" w:eastAsia="宋体" w:cs="Times New Roman"/>
                <w:sz w:val="24"/>
                <w:szCs w:val="24"/>
              </w:rPr>
            </w:pPr>
            <w:r>
              <w:rPr>
                <w:rFonts w:ascii="Times New Roman" w:hAnsi="Times New Roman" w:eastAsia="宋体" w:cs="Times New Roman"/>
                <w:sz w:val="24"/>
                <w:szCs w:val="24"/>
              </w:rPr>
              <w:cr/>
            </w:r>
            <w:r>
              <w:drawing>
                <wp:inline distT="0" distB="0" distL="0" distR="0">
                  <wp:extent cx="3927475" cy="179387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927475" cy="1793875"/>
                          </a:xfrm>
                          <a:prstGeom prst="rect">
                            <a:avLst/>
                          </a:prstGeom>
                          <a:noFill/>
                          <a:ln>
                            <a:noFill/>
                          </a:ln>
                        </pic:spPr>
                      </pic:pic>
                    </a:graphicData>
                  </a:graphic>
                </wp:inline>
              </w:drawing>
            </w:r>
          </w:p>
          <w:p w14:paraId="3BB9A123">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一辆载重5t的卡车，通过一段长度为500m的路面时，不同表面清洁程度，不同行驶速度情况下产生的扬尘量见表7-1所示。</w:t>
            </w:r>
          </w:p>
          <w:p w14:paraId="5B678DFC">
            <w:pPr>
              <w:spacing w:line="360" w:lineRule="auto"/>
              <w:ind w:firstLine="480"/>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表7-1 不同车速和地面清洁程度时的汽车扬尘 单位:kg/km·辆</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1"/>
              <w:gridCol w:w="984"/>
              <w:gridCol w:w="1175"/>
              <w:gridCol w:w="1175"/>
              <w:gridCol w:w="1175"/>
              <w:gridCol w:w="1176"/>
              <w:gridCol w:w="1176"/>
            </w:tblGrid>
            <w:tr w14:paraId="28C74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top w:val="single" w:color="auto" w:sz="12" w:space="0"/>
                    <w:left w:val="single" w:color="auto" w:sz="12" w:space="0"/>
                    <w:tl2br w:val="single" w:color="auto" w:sz="2" w:space="0"/>
                  </w:tcBorders>
                  <w:shd w:val="clear" w:color="auto" w:fill="auto"/>
                  <w:vAlign w:val="center"/>
                </w:tcPr>
                <w:p w14:paraId="2EBEE752">
                  <w:pPr>
                    <w:spacing w:line="360" w:lineRule="auto"/>
                    <w:jc w:val="right"/>
                    <w:rPr>
                      <w:rFonts w:ascii="Times New Roman" w:hAnsi="Times New Roman" w:eastAsia="宋体" w:cs="Times New Roman"/>
                      <w:szCs w:val="21"/>
                    </w:rPr>
                  </w:pPr>
                  <w:r>
                    <w:rPr>
                      <w:rFonts w:ascii="Times New Roman" w:hAnsi="Times New Roman" w:eastAsia="宋体" w:cs="Times New Roman"/>
                      <w:szCs w:val="21"/>
                    </w:rPr>
                    <w:t>P(kg/m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p w14:paraId="6CBD0868">
                  <w:pPr>
                    <w:spacing w:line="360" w:lineRule="auto"/>
                    <w:jc w:val="left"/>
                    <w:rPr>
                      <w:rFonts w:ascii="Times New Roman" w:hAnsi="Times New Roman" w:eastAsia="宋体" w:cs="Times New Roman"/>
                      <w:szCs w:val="21"/>
                    </w:rPr>
                  </w:pPr>
                  <w:r>
                    <w:rPr>
                      <w:rFonts w:ascii="Times New Roman" w:hAnsi="Times New Roman" w:eastAsia="宋体" w:cs="Times New Roman"/>
                      <w:szCs w:val="21"/>
                    </w:rPr>
                    <w:t>车速（km/h）</w:t>
                  </w:r>
                </w:p>
              </w:tc>
              <w:tc>
                <w:tcPr>
                  <w:tcW w:w="985" w:type="dxa"/>
                  <w:tcBorders>
                    <w:top w:val="single" w:color="auto" w:sz="12" w:space="0"/>
                  </w:tcBorders>
                  <w:shd w:val="clear" w:color="auto" w:fill="auto"/>
                  <w:vAlign w:val="center"/>
                </w:tcPr>
                <w:p w14:paraId="2AF872E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w:t>
                  </w:r>
                </w:p>
              </w:tc>
              <w:tc>
                <w:tcPr>
                  <w:tcW w:w="1177" w:type="dxa"/>
                  <w:tcBorders>
                    <w:top w:val="single" w:color="auto" w:sz="12" w:space="0"/>
                  </w:tcBorders>
                  <w:shd w:val="clear" w:color="auto" w:fill="auto"/>
                  <w:vAlign w:val="center"/>
                </w:tcPr>
                <w:p w14:paraId="185C917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w:t>
                  </w:r>
                </w:p>
              </w:tc>
              <w:tc>
                <w:tcPr>
                  <w:tcW w:w="1177" w:type="dxa"/>
                  <w:tcBorders>
                    <w:top w:val="single" w:color="auto" w:sz="12" w:space="0"/>
                  </w:tcBorders>
                  <w:shd w:val="clear" w:color="auto" w:fill="auto"/>
                  <w:vAlign w:val="center"/>
                </w:tcPr>
                <w:p w14:paraId="32442BC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w:t>
                  </w:r>
                </w:p>
              </w:tc>
              <w:tc>
                <w:tcPr>
                  <w:tcW w:w="1177" w:type="dxa"/>
                  <w:tcBorders>
                    <w:top w:val="single" w:color="auto" w:sz="12" w:space="0"/>
                  </w:tcBorders>
                  <w:shd w:val="clear" w:color="auto" w:fill="auto"/>
                  <w:vAlign w:val="center"/>
                </w:tcPr>
                <w:p w14:paraId="7C509D6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0.4</w:t>
                  </w:r>
                </w:p>
              </w:tc>
              <w:tc>
                <w:tcPr>
                  <w:tcW w:w="1177" w:type="dxa"/>
                  <w:tcBorders>
                    <w:top w:val="single" w:color="auto" w:sz="12" w:space="0"/>
                  </w:tcBorders>
                  <w:shd w:val="clear" w:color="auto" w:fill="auto"/>
                  <w:vAlign w:val="center"/>
                </w:tcPr>
                <w:p w14:paraId="3BB35B0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w:t>
                  </w:r>
                </w:p>
              </w:tc>
              <w:tc>
                <w:tcPr>
                  <w:tcW w:w="1177" w:type="dxa"/>
                  <w:tcBorders>
                    <w:top w:val="single" w:color="auto" w:sz="12" w:space="0"/>
                    <w:right w:val="single" w:color="auto" w:sz="12" w:space="0"/>
                  </w:tcBorders>
                  <w:shd w:val="clear" w:color="auto" w:fill="auto"/>
                  <w:vAlign w:val="center"/>
                </w:tcPr>
                <w:p w14:paraId="6AB7D08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w:t>
                  </w:r>
                </w:p>
              </w:tc>
            </w:tr>
            <w:tr w14:paraId="7FEC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7F380E9C">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w:t>
                  </w:r>
                </w:p>
              </w:tc>
              <w:tc>
                <w:tcPr>
                  <w:tcW w:w="985" w:type="dxa"/>
                  <w:shd w:val="clear" w:color="auto" w:fill="auto"/>
                  <w:vAlign w:val="center"/>
                </w:tcPr>
                <w:p w14:paraId="249572C1">
                  <w:pPr>
                    <w:spacing w:line="360" w:lineRule="auto"/>
                    <w:jc w:val="center"/>
                    <w:rPr>
                      <w:rFonts w:ascii="Times New Roman" w:hAnsi="Times New Roman" w:eastAsia="宋体" w:cs="Times New Roman"/>
                      <w:szCs w:val="21"/>
                    </w:rPr>
                  </w:pPr>
                  <w:r>
                    <w:rPr>
                      <w:rFonts w:ascii="Times New Roman" w:hAnsi="Times New Roman" w:cs="Times New Roman"/>
                      <w:szCs w:val="21"/>
                    </w:rPr>
                    <w:t>0.0283</w:t>
                  </w:r>
                </w:p>
              </w:tc>
              <w:tc>
                <w:tcPr>
                  <w:tcW w:w="1177" w:type="dxa"/>
                  <w:shd w:val="clear" w:color="auto" w:fill="auto"/>
                  <w:vAlign w:val="center"/>
                </w:tcPr>
                <w:p w14:paraId="1460282A">
                  <w:pPr>
                    <w:spacing w:line="360" w:lineRule="auto"/>
                    <w:jc w:val="center"/>
                    <w:rPr>
                      <w:rFonts w:ascii="Times New Roman" w:hAnsi="Times New Roman" w:eastAsia="宋体" w:cs="Times New Roman"/>
                      <w:szCs w:val="21"/>
                    </w:rPr>
                  </w:pPr>
                  <w:r>
                    <w:rPr>
                      <w:rFonts w:ascii="Times New Roman" w:hAnsi="Times New Roman" w:cs="Times New Roman"/>
                      <w:szCs w:val="21"/>
                    </w:rPr>
                    <w:t>0.0476</w:t>
                  </w:r>
                </w:p>
              </w:tc>
              <w:tc>
                <w:tcPr>
                  <w:tcW w:w="1177" w:type="dxa"/>
                  <w:shd w:val="clear" w:color="auto" w:fill="auto"/>
                  <w:vAlign w:val="center"/>
                </w:tcPr>
                <w:p w14:paraId="47F182C3">
                  <w:pPr>
                    <w:spacing w:line="360" w:lineRule="auto"/>
                    <w:jc w:val="center"/>
                    <w:rPr>
                      <w:rFonts w:ascii="Times New Roman" w:hAnsi="Times New Roman" w:eastAsia="宋体" w:cs="Times New Roman"/>
                      <w:szCs w:val="21"/>
                    </w:rPr>
                  </w:pPr>
                  <w:r>
                    <w:rPr>
                      <w:rFonts w:ascii="Times New Roman" w:hAnsi="Times New Roman" w:cs="Times New Roman"/>
                      <w:szCs w:val="21"/>
                    </w:rPr>
                    <w:t>0.0646</w:t>
                  </w:r>
                </w:p>
              </w:tc>
              <w:tc>
                <w:tcPr>
                  <w:tcW w:w="1177" w:type="dxa"/>
                  <w:shd w:val="clear" w:color="auto" w:fill="auto"/>
                  <w:vAlign w:val="center"/>
                </w:tcPr>
                <w:p w14:paraId="173252D3">
                  <w:pPr>
                    <w:spacing w:line="360" w:lineRule="auto"/>
                    <w:jc w:val="center"/>
                    <w:rPr>
                      <w:rFonts w:ascii="Times New Roman" w:hAnsi="Times New Roman" w:eastAsia="宋体" w:cs="Times New Roman"/>
                      <w:szCs w:val="21"/>
                    </w:rPr>
                  </w:pPr>
                  <w:r>
                    <w:rPr>
                      <w:rFonts w:ascii="Times New Roman" w:hAnsi="Times New Roman" w:cs="Times New Roman"/>
                      <w:szCs w:val="21"/>
                    </w:rPr>
                    <w:t>0.0801</w:t>
                  </w:r>
                </w:p>
              </w:tc>
              <w:tc>
                <w:tcPr>
                  <w:tcW w:w="1177" w:type="dxa"/>
                  <w:shd w:val="clear" w:color="auto" w:fill="auto"/>
                  <w:vAlign w:val="center"/>
                </w:tcPr>
                <w:p w14:paraId="00A03648">
                  <w:pPr>
                    <w:spacing w:line="360" w:lineRule="auto"/>
                    <w:jc w:val="center"/>
                    <w:rPr>
                      <w:rFonts w:ascii="Times New Roman" w:hAnsi="Times New Roman" w:eastAsia="宋体" w:cs="Times New Roman"/>
                      <w:szCs w:val="21"/>
                    </w:rPr>
                  </w:pPr>
                  <w:r>
                    <w:rPr>
                      <w:rFonts w:ascii="Times New Roman" w:hAnsi="Times New Roman" w:cs="Times New Roman"/>
                      <w:szCs w:val="21"/>
                    </w:rPr>
                    <w:t>0.0947</w:t>
                  </w:r>
                </w:p>
              </w:tc>
              <w:tc>
                <w:tcPr>
                  <w:tcW w:w="1177" w:type="dxa"/>
                  <w:tcBorders>
                    <w:right w:val="single" w:color="auto" w:sz="12" w:space="0"/>
                  </w:tcBorders>
                  <w:shd w:val="clear" w:color="auto" w:fill="auto"/>
                  <w:vAlign w:val="center"/>
                </w:tcPr>
                <w:p w14:paraId="1D4F2287">
                  <w:pPr>
                    <w:spacing w:line="360" w:lineRule="auto"/>
                    <w:jc w:val="center"/>
                    <w:rPr>
                      <w:rFonts w:ascii="Times New Roman" w:hAnsi="Times New Roman" w:eastAsia="宋体" w:cs="Times New Roman"/>
                      <w:szCs w:val="21"/>
                    </w:rPr>
                  </w:pPr>
                  <w:r>
                    <w:rPr>
                      <w:rFonts w:ascii="Times New Roman" w:hAnsi="Times New Roman" w:cs="Times New Roman"/>
                      <w:szCs w:val="21"/>
                    </w:rPr>
                    <w:t>0.1593</w:t>
                  </w:r>
                </w:p>
              </w:tc>
            </w:tr>
            <w:tr w14:paraId="4F1FC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2983F28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w:t>
                  </w:r>
                </w:p>
              </w:tc>
              <w:tc>
                <w:tcPr>
                  <w:tcW w:w="985" w:type="dxa"/>
                  <w:shd w:val="clear" w:color="auto" w:fill="auto"/>
                </w:tcPr>
                <w:p w14:paraId="45FB64AE">
                  <w:pPr>
                    <w:spacing w:line="360" w:lineRule="auto"/>
                    <w:jc w:val="center"/>
                    <w:rPr>
                      <w:rFonts w:ascii="Times New Roman" w:hAnsi="Times New Roman" w:eastAsia="宋体" w:cs="Times New Roman"/>
                      <w:szCs w:val="21"/>
                    </w:rPr>
                  </w:pPr>
                  <w:r>
                    <w:rPr>
                      <w:rFonts w:ascii="Times New Roman" w:hAnsi="Times New Roman" w:cs="Times New Roman"/>
                      <w:szCs w:val="21"/>
                    </w:rPr>
                    <w:t>0.0566</w:t>
                  </w:r>
                </w:p>
              </w:tc>
              <w:tc>
                <w:tcPr>
                  <w:tcW w:w="1177" w:type="dxa"/>
                  <w:shd w:val="clear" w:color="auto" w:fill="auto"/>
                </w:tcPr>
                <w:p w14:paraId="58523FED">
                  <w:pPr>
                    <w:spacing w:line="360" w:lineRule="auto"/>
                    <w:jc w:val="center"/>
                    <w:rPr>
                      <w:rFonts w:ascii="Times New Roman" w:hAnsi="Times New Roman" w:eastAsia="宋体" w:cs="Times New Roman"/>
                      <w:szCs w:val="21"/>
                    </w:rPr>
                  </w:pPr>
                  <w:r>
                    <w:rPr>
                      <w:rFonts w:ascii="Times New Roman" w:hAnsi="Times New Roman" w:cs="Times New Roman"/>
                      <w:szCs w:val="21"/>
                    </w:rPr>
                    <w:t>0.0953</w:t>
                  </w:r>
                </w:p>
              </w:tc>
              <w:tc>
                <w:tcPr>
                  <w:tcW w:w="1177" w:type="dxa"/>
                  <w:shd w:val="clear" w:color="auto" w:fill="auto"/>
                </w:tcPr>
                <w:p w14:paraId="666B4355">
                  <w:pPr>
                    <w:spacing w:line="360" w:lineRule="auto"/>
                    <w:jc w:val="center"/>
                    <w:rPr>
                      <w:rFonts w:ascii="Times New Roman" w:hAnsi="Times New Roman" w:eastAsia="宋体" w:cs="Times New Roman"/>
                      <w:szCs w:val="21"/>
                    </w:rPr>
                  </w:pPr>
                  <w:r>
                    <w:rPr>
                      <w:rFonts w:ascii="Times New Roman" w:hAnsi="Times New Roman" w:cs="Times New Roman"/>
                      <w:szCs w:val="21"/>
                    </w:rPr>
                    <w:t>0.1291</w:t>
                  </w:r>
                </w:p>
              </w:tc>
              <w:tc>
                <w:tcPr>
                  <w:tcW w:w="1177" w:type="dxa"/>
                  <w:shd w:val="clear" w:color="auto" w:fill="auto"/>
                </w:tcPr>
                <w:p w14:paraId="3C0304B9">
                  <w:pPr>
                    <w:spacing w:line="360" w:lineRule="auto"/>
                    <w:jc w:val="center"/>
                    <w:rPr>
                      <w:rFonts w:ascii="Times New Roman" w:hAnsi="Times New Roman" w:eastAsia="宋体" w:cs="Times New Roman"/>
                      <w:szCs w:val="21"/>
                    </w:rPr>
                  </w:pPr>
                  <w:r>
                    <w:rPr>
                      <w:rFonts w:ascii="Times New Roman" w:hAnsi="Times New Roman" w:cs="Times New Roman"/>
                      <w:szCs w:val="21"/>
                    </w:rPr>
                    <w:t>0.1602</w:t>
                  </w:r>
                </w:p>
              </w:tc>
              <w:tc>
                <w:tcPr>
                  <w:tcW w:w="1177" w:type="dxa"/>
                  <w:shd w:val="clear" w:color="auto" w:fill="auto"/>
                </w:tcPr>
                <w:p w14:paraId="5AD8F5D0">
                  <w:pPr>
                    <w:spacing w:line="360" w:lineRule="auto"/>
                    <w:jc w:val="center"/>
                    <w:rPr>
                      <w:rFonts w:ascii="Times New Roman" w:hAnsi="Times New Roman" w:eastAsia="宋体" w:cs="Times New Roman"/>
                      <w:szCs w:val="21"/>
                    </w:rPr>
                  </w:pPr>
                  <w:r>
                    <w:rPr>
                      <w:rFonts w:ascii="Times New Roman" w:hAnsi="Times New Roman" w:cs="Times New Roman"/>
                      <w:szCs w:val="21"/>
                    </w:rPr>
                    <w:t>0.1894</w:t>
                  </w:r>
                </w:p>
              </w:tc>
              <w:tc>
                <w:tcPr>
                  <w:tcW w:w="1177" w:type="dxa"/>
                  <w:tcBorders>
                    <w:right w:val="single" w:color="auto" w:sz="12" w:space="0"/>
                  </w:tcBorders>
                  <w:shd w:val="clear" w:color="auto" w:fill="auto"/>
                </w:tcPr>
                <w:p w14:paraId="505B06C7">
                  <w:pPr>
                    <w:spacing w:line="360" w:lineRule="auto"/>
                    <w:jc w:val="center"/>
                    <w:rPr>
                      <w:rFonts w:ascii="Times New Roman" w:hAnsi="Times New Roman" w:eastAsia="宋体" w:cs="Times New Roman"/>
                      <w:szCs w:val="21"/>
                    </w:rPr>
                  </w:pPr>
                  <w:r>
                    <w:rPr>
                      <w:rFonts w:ascii="Times New Roman" w:hAnsi="Times New Roman" w:cs="Times New Roman"/>
                      <w:szCs w:val="21"/>
                    </w:rPr>
                    <w:t>0.3186</w:t>
                  </w:r>
                </w:p>
              </w:tc>
            </w:tr>
            <w:tr w14:paraId="2C55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123FB03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w:t>
                  </w:r>
                </w:p>
              </w:tc>
              <w:tc>
                <w:tcPr>
                  <w:tcW w:w="985" w:type="dxa"/>
                  <w:shd w:val="clear" w:color="auto" w:fill="auto"/>
                  <w:vAlign w:val="center"/>
                </w:tcPr>
                <w:p w14:paraId="305764A1">
                  <w:pPr>
                    <w:spacing w:line="360" w:lineRule="auto"/>
                    <w:jc w:val="center"/>
                    <w:rPr>
                      <w:rFonts w:ascii="Times New Roman" w:hAnsi="Times New Roman" w:eastAsia="宋体" w:cs="Times New Roman"/>
                      <w:szCs w:val="21"/>
                    </w:rPr>
                  </w:pPr>
                  <w:r>
                    <w:rPr>
                      <w:rFonts w:ascii="Times New Roman" w:hAnsi="Times New Roman" w:cs="Times New Roman"/>
                      <w:szCs w:val="21"/>
                    </w:rPr>
                    <w:t>0.0850</w:t>
                  </w:r>
                </w:p>
              </w:tc>
              <w:tc>
                <w:tcPr>
                  <w:tcW w:w="1177" w:type="dxa"/>
                  <w:shd w:val="clear" w:color="auto" w:fill="auto"/>
                  <w:vAlign w:val="center"/>
                </w:tcPr>
                <w:p w14:paraId="23BC2EA2">
                  <w:pPr>
                    <w:spacing w:line="360" w:lineRule="auto"/>
                    <w:jc w:val="center"/>
                    <w:rPr>
                      <w:rFonts w:ascii="Times New Roman" w:hAnsi="Times New Roman" w:eastAsia="宋体" w:cs="Times New Roman"/>
                      <w:szCs w:val="21"/>
                    </w:rPr>
                  </w:pPr>
                  <w:r>
                    <w:rPr>
                      <w:rFonts w:ascii="Times New Roman" w:hAnsi="Times New Roman" w:cs="Times New Roman"/>
                      <w:szCs w:val="21"/>
                    </w:rPr>
                    <w:t>0.1429</w:t>
                  </w:r>
                </w:p>
              </w:tc>
              <w:tc>
                <w:tcPr>
                  <w:tcW w:w="1177" w:type="dxa"/>
                  <w:shd w:val="clear" w:color="auto" w:fill="auto"/>
                  <w:vAlign w:val="center"/>
                </w:tcPr>
                <w:p w14:paraId="0555D4E5">
                  <w:pPr>
                    <w:spacing w:line="360" w:lineRule="auto"/>
                    <w:jc w:val="center"/>
                    <w:rPr>
                      <w:rFonts w:ascii="Times New Roman" w:hAnsi="Times New Roman" w:eastAsia="宋体" w:cs="Times New Roman"/>
                      <w:szCs w:val="21"/>
                    </w:rPr>
                  </w:pPr>
                  <w:r>
                    <w:rPr>
                      <w:rFonts w:ascii="Times New Roman" w:hAnsi="Times New Roman" w:cs="Times New Roman"/>
                      <w:szCs w:val="21"/>
                    </w:rPr>
                    <w:t>0.1937</w:t>
                  </w:r>
                </w:p>
              </w:tc>
              <w:tc>
                <w:tcPr>
                  <w:tcW w:w="1177" w:type="dxa"/>
                  <w:shd w:val="clear" w:color="auto" w:fill="auto"/>
                  <w:vAlign w:val="center"/>
                </w:tcPr>
                <w:p w14:paraId="48D51914">
                  <w:pPr>
                    <w:spacing w:line="360" w:lineRule="auto"/>
                    <w:jc w:val="center"/>
                    <w:rPr>
                      <w:rFonts w:ascii="Times New Roman" w:hAnsi="Times New Roman" w:eastAsia="宋体" w:cs="Times New Roman"/>
                      <w:szCs w:val="21"/>
                    </w:rPr>
                  </w:pPr>
                  <w:r>
                    <w:rPr>
                      <w:rFonts w:ascii="Times New Roman" w:hAnsi="Times New Roman" w:cs="Times New Roman"/>
                      <w:szCs w:val="21"/>
                    </w:rPr>
                    <w:t>0.2403</w:t>
                  </w:r>
                </w:p>
              </w:tc>
              <w:tc>
                <w:tcPr>
                  <w:tcW w:w="1177" w:type="dxa"/>
                  <w:shd w:val="clear" w:color="auto" w:fill="auto"/>
                  <w:vAlign w:val="center"/>
                </w:tcPr>
                <w:p w14:paraId="322FDD79">
                  <w:pPr>
                    <w:spacing w:line="360" w:lineRule="auto"/>
                    <w:jc w:val="center"/>
                    <w:rPr>
                      <w:rFonts w:ascii="Times New Roman" w:hAnsi="Times New Roman" w:eastAsia="宋体" w:cs="Times New Roman"/>
                      <w:szCs w:val="21"/>
                    </w:rPr>
                  </w:pPr>
                  <w:r>
                    <w:rPr>
                      <w:rFonts w:ascii="Times New Roman" w:hAnsi="Times New Roman" w:cs="Times New Roman"/>
                      <w:szCs w:val="21"/>
                    </w:rPr>
                    <w:t>0.2841</w:t>
                  </w:r>
                </w:p>
              </w:tc>
              <w:tc>
                <w:tcPr>
                  <w:tcW w:w="1177" w:type="dxa"/>
                  <w:tcBorders>
                    <w:right w:val="single" w:color="auto" w:sz="12" w:space="0"/>
                  </w:tcBorders>
                  <w:shd w:val="clear" w:color="auto" w:fill="auto"/>
                  <w:vAlign w:val="center"/>
                </w:tcPr>
                <w:p w14:paraId="71503030">
                  <w:pPr>
                    <w:spacing w:line="360" w:lineRule="auto"/>
                    <w:jc w:val="center"/>
                    <w:rPr>
                      <w:rFonts w:ascii="Times New Roman" w:hAnsi="Times New Roman" w:eastAsia="宋体" w:cs="Times New Roman"/>
                      <w:szCs w:val="21"/>
                    </w:rPr>
                  </w:pPr>
                  <w:r>
                    <w:rPr>
                      <w:rFonts w:ascii="Times New Roman" w:hAnsi="Times New Roman" w:cs="Times New Roman"/>
                      <w:szCs w:val="21"/>
                    </w:rPr>
                    <w:t>0.4778</w:t>
                  </w:r>
                </w:p>
              </w:tc>
            </w:tr>
            <w:tr w14:paraId="05BF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bottom w:val="single" w:color="auto" w:sz="12" w:space="0"/>
                  </w:tcBorders>
                  <w:shd w:val="clear" w:color="auto" w:fill="auto"/>
                  <w:vAlign w:val="center"/>
                </w:tcPr>
                <w:p w14:paraId="6B356D3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w:t>
                  </w:r>
                </w:p>
              </w:tc>
              <w:tc>
                <w:tcPr>
                  <w:tcW w:w="985" w:type="dxa"/>
                  <w:tcBorders>
                    <w:bottom w:val="single" w:color="auto" w:sz="12" w:space="0"/>
                  </w:tcBorders>
                  <w:shd w:val="clear" w:color="auto" w:fill="auto"/>
                  <w:vAlign w:val="center"/>
                </w:tcPr>
                <w:p w14:paraId="7BAAABB1">
                  <w:pPr>
                    <w:spacing w:line="360" w:lineRule="auto"/>
                    <w:jc w:val="center"/>
                    <w:rPr>
                      <w:rFonts w:ascii="Times New Roman" w:hAnsi="Times New Roman" w:eastAsia="宋体" w:cs="Times New Roman"/>
                      <w:szCs w:val="21"/>
                    </w:rPr>
                  </w:pPr>
                  <w:r>
                    <w:rPr>
                      <w:rFonts w:ascii="Times New Roman" w:hAnsi="Times New Roman" w:cs="Times New Roman"/>
                      <w:szCs w:val="21"/>
                    </w:rPr>
                    <w:t>0.1133</w:t>
                  </w:r>
                </w:p>
              </w:tc>
              <w:tc>
                <w:tcPr>
                  <w:tcW w:w="1177" w:type="dxa"/>
                  <w:tcBorders>
                    <w:bottom w:val="single" w:color="auto" w:sz="12" w:space="0"/>
                  </w:tcBorders>
                  <w:shd w:val="clear" w:color="auto" w:fill="auto"/>
                  <w:vAlign w:val="center"/>
                </w:tcPr>
                <w:p w14:paraId="5D899CCF">
                  <w:pPr>
                    <w:spacing w:line="360" w:lineRule="auto"/>
                    <w:jc w:val="center"/>
                    <w:rPr>
                      <w:rFonts w:ascii="Times New Roman" w:hAnsi="Times New Roman" w:eastAsia="宋体" w:cs="Times New Roman"/>
                      <w:szCs w:val="21"/>
                    </w:rPr>
                  </w:pPr>
                  <w:r>
                    <w:rPr>
                      <w:rFonts w:ascii="Times New Roman" w:hAnsi="Times New Roman" w:cs="Times New Roman"/>
                      <w:szCs w:val="21"/>
                    </w:rPr>
                    <w:t>0.1905</w:t>
                  </w:r>
                </w:p>
              </w:tc>
              <w:tc>
                <w:tcPr>
                  <w:tcW w:w="1177" w:type="dxa"/>
                  <w:tcBorders>
                    <w:bottom w:val="single" w:color="auto" w:sz="12" w:space="0"/>
                  </w:tcBorders>
                  <w:shd w:val="clear" w:color="auto" w:fill="auto"/>
                  <w:vAlign w:val="center"/>
                </w:tcPr>
                <w:p w14:paraId="0351A69E">
                  <w:pPr>
                    <w:spacing w:line="360" w:lineRule="auto"/>
                    <w:jc w:val="center"/>
                    <w:rPr>
                      <w:rFonts w:ascii="Times New Roman" w:hAnsi="Times New Roman" w:eastAsia="宋体" w:cs="Times New Roman"/>
                      <w:szCs w:val="21"/>
                    </w:rPr>
                  </w:pPr>
                  <w:r>
                    <w:rPr>
                      <w:rFonts w:ascii="Times New Roman" w:hAnsi="Times New Roman" w:cs="Times New Roman"/>
                      <w:szCs w:val="21"/>
                    </w:rPr>
                    <w:t>0.2583</w:t>
                  </w:r>
                </w:p>
              </w:tc>
              <w:tc>
                <w:tcPr>
                  <w:tcW w:w="1177" w:type="dxa"/>
                  <w:tcBorders>
                    <w:bottom w:val="single" w:color="auto" w:sz="12" w:space="0"/>
                  </w:tcBorders>
                  <w:shd w:val="clear" w:color="auto" w:fill="auto"/>
                  <w:vAlign w:val="center"/>
                </w:tcPr>
                <w:p w14:paraId="6E71A0B6">
                  <w:pPr>
                    <w:spacing w:line="360" w:lineRule="auto"/>
                    <w:jc w:val="center"/>
                    <w:rPr>
                      <w:rFonts w:ascii="Times New Roman" w:hAnsi="Times New Roman" w:eastAsia="宋体" w:cs="Times New Roman"/>
                      <w:szCs w:val="21"/>
                    </w:rPr>
                  </w:pPr>
                  <w:r>
                    <w:rPr>
                      <w:rFonts w:ascii="Times New Roman" w:hAnsi="Times New Roman" w:cs="Times New Roman"/>
                      <w:szCs w:val="21"/>
                    </w:rPr>
                    <w:t>0.3204</w:t>
                  </w:r>
                </w:p>
              </w:tc>
              <w:tc>
                <w:tcPr>
                  <w:tcW w:w="1177" w:type="dxa"/>
                  <w:tcBorders>
                    <w:bottom w:val="single" w:color="auto" w:sz="12" w:space="0"/>
                  </w:tcBorders>
                  <w:shd w:val="clear" w:color="auto" w:fill="auto"/>
                  <w:vAlign w:val="center"/>
                </w:tcPr>
                <w:p w14:paraId="182F517F">
                  <w:pPr>
                    <w:spacing w:line="360" w:lineRule="auto"/>
                    <w:jc w:val="center"/>
                    <w:rPr>
                      <w:rFonts w:ascii="Times New Roman" w:hAnsi="Times New Roman" w:eastAsia="宋体" w:cs="Times New Roman"/>
                      <w:szCs w:val="21"/>
                    </w:rPr>
                  </w:pPr>
                  <w:r>
                    <w:rPr>
                      <w:rFonts w:ascii="Times New Roman" w:hAnsi="Times New Roman" w:cs="Times New Roman"/>
                      <w:szCs w:val="21"/>
                    </w:rPr>
                    <w:t>0.3788</w:t>
                  </w:r>
                </w:p>
              </w:tc>
              <w:tc>
                <w:tcPr>
                  <w:tcW w:w="1177" w:type="dxa"/>
                  <w:tcBorders>
                    <w:bottom w:val="single" w:color="auto" w:sz="12" w:space="0"/>
                    <w:right w:val="single" w:color="auto" w:sz="12" w:space="0"/>
                  </w:tcBorders>
                  <w:shd w:val="clear" w:color="auto" w:fill="auto"/>
                  <w:vAlign w:val="center"/>
                </w:tcPr>
                <w:p w14:paraId="6A56246A">
                  <w:pPr>
                    <w:spacing w:line="360" w:lineRule="auto"/>
                    <w:jc w:val="center"/>
                    <w:rPr>
                      <w:rFonts w:ascii="Times New Roman" w:hAnsi="Times New Roman" w:eastAsia="宋体" w:cs="Times New Roman"/>
                      <w:szCs w:val="21"/>
                    </w:rPr>
                  </w:pPr>
                  <w:r>
                    <w:rPr>
                      <w:rFonts w:ascii="Times New Roman" w:hAnsi="Times New Roman" w:cs="Times New Roman"/>
                      <w:szCs w:val="21"/>
                    </w:rPr>
                    <w:t>0.6371</w:t>
                  </w:r>
                </w:p>
              </w:tc>
            </w:tr>
          </w:tbl>
          <w:p w14:paraId="2E322F45">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由表7-1可见，在同样路面清洁情况下，车速越快，扬尘量越大；而在同样车速情况下，路面清洁度越差，则扬尘量越大。因此，限制车速及保持路面清洁是减少汽车扬尘的有效手段。</w:t>
            </w:r>
          </w:p>
          <w:p w14:paraId="564C2350">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期扬尘的另一个主要原因是露天堆场和裸露场地的风力扬尘。由于施工的需要，一些建材需露天堆放，在气候干燥又有风的情况下，也会产生扬尘。扬尘量与距地面50m处风速、起尘风速、尘粒的含水率有关，因此，减少露天堆放和保证一定的含水率及减少裸露地面是减少风力起尘的有效手段。</w:t>
            </w:r>
          </w:p>
          <w:p w14:paraId="41F38536">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项目在建设施工过程中产生扬尘的作业有建材运输、露天堆放、装卸等过程，经分析项目施工量较小，产生施工期建筑扬尘产生量较小。项目严格按照</w:t>
            </w:r>
            <w:r>
              <w:rPr>
                <w:rFonts w:ascii="Times New Roman" w:hAnsi="Times New Roman" w:eastAsia="宋体" w:cs="Times New Roman"/>
                <w:sz w:val="24"/>
              </w:rPr>
              <w:t>乐山市打赢蓝天保卫战实施方案要求，</w:t>
            </w:r>
            <w:r>
              <w:rPr>
                <w:rFonts w:ascii="Times New Roman" w:hAnsi="Times New Roman" w:eastAsia="宋体" w:cs="Times New Roman"/>
                <w:bCs/>
                <w:sz w:val="24"/>
              </w:rPr>
              <w:t>建筑施工工地全部做到</w:t>
            </w:r>
            <w:r>
              <w:rPr>
                <w:rFonts w:ascii="Times New Roman" w:hAnsi="Times New Roman" w:eastAsia="宋体" w:cs="Times New Roman"/>
                <w:sz w:val="24"/>
                <w:szCs w:val="24"/>
              </w:rPr>
              <w:t>工地周边围挡、物料堆放覆盖、土方开挖湿法作业、路面硬化、出入车辆清洗、渣土车辆密闭运输“六个百分之百”等方面作出防治措施，故项目施工扬尘在采取环评提出的防护措施后，可以实现达标排放，加之项目所在区域环境空气质量现状良好，扩散条件好，则施工扬尘对区域的大气环境影响较小，且随施工期结束而消亡。</w:t>
            </w:r>
          </w:p>
          <w:p w14:paraId="364A3798">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其他废气</w:t>
            </w:r>
          </w:p>
          <w:p w14:paraId="584386E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本项目施工过程用到的施工机械，包括主要有电焊机及一些小型运输设备，它们以柴油为燃料，都可以产生一定量废气，包括CO、NO</w:t>
            </w:r>
            <w:r>
              <w:rPr>
                <w:rFonts w:ascii="Times New Roman" w:hAnsi="Times New Roman" w:eastAsia="宋体" w:cs="Times New Roman"/>
                <w:sz w:val="24"/>
                <w:szCs w:val="24"/>
                <w:vertAlign w:val="subscript"/>
              </w:rPr>
              <w:t>x</w:t>
            </w:r>
            <w:r>
              <w:rPr>
                <w:rFonts w:ascii="Times New Roman" w:hAnsi="Times New Roman" w:eastAsia="宋体" w:cs="Times New Roman"/>
                <w:sz w:val="24"/>
                <w:szCs w:val="24"/>
              </w:rPr>
              <w:t>、SO</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等，施工期间各类施工机械流动性强，所产生的废气较为分散且为间断无组织排放，在易于扩散的气象条件下，施工机械尾气对周围环境影响甚微。</w:t>
            </w:r>
          </w:p>
          <w:p w14:paraId="319C2198">
            <w:pPr>
              <w:pStyle w:val="66"/>
              <w:adjustRightInd w:val="0"/>
              <w:snapToGrid w:val="0"/>
              <w:spacing w:before="0" w:beforeLines="0" w:line="360" w:lineRule="auto"/>
              <w:ind w:firstLine="480"/>
              <w:jc w:val="both"/>
              <w:rPr>
                <w:rFonts w:ascii="Times New Roman" w:hAnsi="Times New Roman" w:eastAsia="宋体" w:cs="Times New Roman"/>
                <w:sz w:val="24"/>
                <w:szCs w:val="24"/>
              </w:rPr>
            </w:pPr>
            <w:r>
              <w:rPr>
                <w:rFonts w:ascii="Times New Roman" w:hAnsi="Times New Roman" w:eastAsia="宋体" w:cs="Times New Roman"/>
                <w:sz w:val="24"/>
                <w:szCs w:val="24"/>
              </w:rPr>
              <w:t>综上，</w:t>
            </w:r>
            <w:r>
              <w:rPr>
                <w:rFonts w:ascii="Times New Roman" w:hAnsi="Times New Roman" w:eastAsia="宋体" w:cs="Times New Roman"/>
                <w:sz w:val="24"/>
                <w:szCs w:val="24"/>
                <w:u w:val="single"/>
              </w:rPr>
              <w:t>项目施工期将会对施工场地周围的环境空气质量造成一定影响，但这些影响随着施工期的结束也会结束。因此，项目施工期不会造成项目所在地环境空气质量明显恶化，不会对各敏感点造成不良影响。</w:t>
            </w:r>
          </w:p>
          <w:p w14:paraId="4DC1827C">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（二）施工废水对环境影响分析</w:t>
            </w:r>
          </w:p>
          <w:p w14:paraId="13B7A6B7">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项目施工期废污水主要为施工废水和生活污水。</w:t>
            </w:r>
          </w:p>
          <w:p w14:paraId="078381E4">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施工人员生活废水</w:t>
            </w:r>
          </w:p>
          <w:p w14:paraId="5B1ABF46">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项目施工人员产生生活废水约0.8m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/d，不在施工场所内食宿，产生的生活废水依托厂区现有生产废水处理系统处理</w:t>
            </w:r>
            <w:r>
              <w:rPr>
                <w:rFonts w:ascii="Times New Roman" w:hAnsi="Times New Roman" w:eastAsia="宋体" w:cs="Times New Roman"/>
                <w:sz w:val="24"/>
              </w:rPr>
              <w:t>回用农灌。</w:t>
            </w:r>
          </w:p>
          <w:p w14:paraId="2C28CA28">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施工作业废水</w:t>
            </w:r>
          </w:p>
          <w:p w14:paraId="33E01F52">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施工废水主要施工作业废水，施工作业废水包括机械设备运转的冷却水和运输车辆冲洗废水；此外，降雨时雨水冲刷浮土、建筑砂石等，产生的地表径流会夹带泥沙、油类等。</w:t>
            </w:r>
          </w:p>
          <w:p w14:paraId="381E6EDF">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施工单位应在施工场地</w:t>
            </w:r>
            <w:r>
              <w:rPr>
                <w:rFonts w:hint="eastAsia" w:ascii="Times New Roman" w:hAnsi="Times New Roman" w:eastAsia="宋体" w:cs="Times New Roman"/>
                <w:sz w:val="24"/>
                <w:szCs w:val="24"/>
              </w:rPr>
              <w:t>修建</w:t>
            </w:r>
            <w:r>
              <w:rPr>
                <w:rFonts w:ascii="Times New Roman" w:hAnsi="Times New Roman" w:eastAsia="宋体" w:cs="Times New Roman"/>
                <w:sz w:val="24"/>
              </w:rPr>
              <w:t>沉淀池收集处理后回用</w:t>
            </w:r>
            <w:r>
              <w:rPr>
                <w:rFonts w:ascii="Times New Roman" w:hAnsi="Times New Roman" w:eastAsia="宋体" w:cs="Times New Roman"/>
                <w:sz w:val="24"/>
                <w:szCs w:val="24"/>
              </w:rPr>
              <w:t>，使土路面保持湿润，减少扬尘。</w:t>
            </w:r>
          </w:p>
          <w:p w14:paraId="029031F0">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sz w:val="24"/>
                <w:szCs w:val="24"/>
                <w:u w:val="single"/>
              </w:rPr>
              <w:t>通过采取上述措施后，项目施工期产生的废水可以得到妥善处理，不会对项目所在区域地表水环境产生影响。</w:t>
            </w:r>
          </w:p>
          <w:p w14:paraId="70D87E41">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（三）施工噪声的影响分析</w:t>
            </w:r>
          </w:p>
          <w:p w14:paraId="3C707B0D">
            <w:pPr>
              <w:spacing w:line="360" w:lineRule="auto"/>
              <w:ind w:firstLine="480"/>
              <w:rPr>
                <w:rFonts w:ascii="Times New Roman" w:hAnsi="Times New Roman" w:eastAsia="宋体" w:cs="Times New Roman"/>
                <w:sz w:val="24"/>
              </w:rPr>
            </w:pPr>
            <w:r>
              <w:rPr>
                <w:rFonts w:ascii="Times New Roman" w:hAnsi="Times New Roman" w:eastAsia="宋体" w:cs="Times New Roman"/>
                <w:sz w:val="24"/>
              </w:rPr>
              <w:t>项目施工期间，不同施工阶段使用不同的施工机械设备，因而产生不同施工阶段噪声。施工现场噪声源主要是施工机械的设备噪声、物料装卸碰撞噪声以及施工人员的人为噪声。噪声源声级按自由声场衰减方式传播，主要考虑距离衰减，忽略大气吸收、声屏障等因素，其衰减模式为：</w:t>
            </w:r>
          </w:p>
          <w:p w14:paraId="422D80CF">
            <w:pPr>
              <w:pStyle w:val="106"/>
              <w:spacing w:line="360" w:lineRule="auto"/>
              <w:ind w:left="0" w:firstLine="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51075" cy="45720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251075" cy="457200"/>
                          </a:xfrm>
                          <a:prstGeom prst="rect">
                            <a:avLst/>
                          </a:prstGeom>
                          <a:noFill/>
                          <a:ln>
                            <a:noFill/>
                          </a:ln>
                        </pic:spPr>
                      </pic:pic>
                    </a:graphicData>
                  </a:graphic>
                </wp:inline>
              </w:drawing>
            </w:r>
          </w:p>
          <w:p w14:paraId="66B34BEE">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式中：LA（r）—距声源r米处的声级值，dB(A)；</w:t>
            </w:r>
          </w:p>
          <w:p w14:paraId="0774D549">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LA（r0）—距声源r0米处的声级值，dB(A)；</w:t>
            </w:r>
          </w:p>
          <w:p w14:paraId="2827139C">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r—距声源的距离，m。</w:t>
            </w:r>
          </w:p>
          <w:p w14:paraId="7E280316">
            <w:pPr>
              <w:pStyle w:val="106"/>
              <w:spacing w:line="360" w:lineRule="auto"/>
              <w:ind w:left="0" w:firstLine="480" w:firstLineChars="200"/>
              <w:jc w:val="both"/>
              <w:rPr>
                <w:rFonts w:ascii="Times New Roman" w:hAnsi="Times New Roman" w:eastAsia="宋体" w:cs="Times New Roman"/>
                <w:szCs w:val="24"/>
              </w:rPr>
            </w:pPr>
            <w:r>
              <w:rPr>
                <w:rFonts w:ascii="Times New Roman" w:hAnsi="Times New Roman" w:eastAsia="宋体" w:cs="Times New Roman"/>
                <w:szCs w:val="24"/>
              </w:rPr>
              <w:t>由上式预测单个噪声源在评价点的贡献值，再将不同声源在该点的贡献值用对数法叠加，得出多个噪声源对该点噪声的贡献值，叠加模式为：</w:t>
            </w:r>
          </w:p>
          <w:p w14:paraId="600B64C4">
            <w:pPr>
              <w:pStyle w:val="106"/>
              <w:spacing w:line="360" w:lineRule="auto"/>
              <w:ind w:left="0" w:firstLine="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70990" cy="468630"/>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570990" cy="468630"/>
                          </a:xfrm>
                          <a:prstGeom prst="rect">
                            <a:avLst/>
                          </a:prstGeom>
                          <a:noFill/>
                          <a:ln>
                            <a:noFill/>
                          </a:ln>
                        </pic:spPr>
                      </pic:pic>
                    </a:graphicData>
                  </a:graphic>
                </wp:inline>
              </w:drawing>
            </w:r>
          </w:p>
          <w:p w14:paraId="3025A41F">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式中：L——叠加后总声压级[dB(A)]；</w:t>
            </w:r>
          </w:p>
          <w:p w14:paraId="2F1608D6">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Li——各声源的噪声值[dB(A)]；</w:t>
            </w:r>
          </w:p>
          <w:p w14:paraId="7B5DCFD5">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n——声源个数。</w:t>
            </w:r>
          </w:p>
          <w:p w14:paraId="58FB1344">
            <w:pPr>
              <w:autoSpaceDE w:val="0"/>
              <w:autoSpaceDN w:val="0"/>
              <w:adjustRightInd w:val="0"/>
              <w:jc w:val="center"/>
              <w:rPr>
                <w:rFonts w:ascii="Times New Roman" w:hAnsi="Times New Roman" w:eastAsia="宋体" w:cs="Times New Roman"/>
                <w:kern w:val="0"/>
                <w:sz w:val="24"/>
                <w:szCs w:val="24"/>
              </w:rPr>
            </w:pPr>
            <w:r>
              <w:rPr>
                <w:rFonts w:ascii="Times New Roman" w:hAnsi="Times New Roman" w:eastAsia="宋体" w:cs="Times New Roman"/>
                <w:kern w:val="0"/>
                <w:sz w:val="24"/>
                <w:szCs w:val="24"/>
              </w:rPr>
              <w:t>表7-2  常用单台施工机械噪声随距离衰减情况表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01"/>
              <w:gridCol w:w="914"/>
              <w:gridCol w:w="914"/>
              <w:gridCol w:w="914"/>
              <w:gridCol w:w="930"/>
              <w:gridCol w:w="939"/>
              <w:gridCol w:w="931"/>
              <w:gridCol w:w="939"/>
            </w:tblGrid>
            <w:tr w14:paraId="01C4ED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vMerge w:val="restart"/>
                  <w:shd w:val="clear" w:color="auto" w:fill="auto"/>
                  <w:vAlign w:val="center"/>
                </w:tcPr>
                <w:p w14:paraId="331EFF54">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噪声源强dB（A）</w:t>
                  </w:r>
                </w:p>
              </w:tc>
              <w:tc>
                <w:tcPr>
                  <w:tcW w:w="6491" w:type="dxa"/>
                  <w:gridSpan w:val="7"/>
                  <w:shd w:val="clear" w:color="auto" w:fill="auto"/>
                  <w:vAlign w:val="center"/>
                </w:tcPr>
                <w:p w14:paraId="47361B5F">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预测距离（m）</w:t>
                  </w:r>
                </w:p>
              </w:tc>
            </w:tr>
            <w:tr w14:paraId="6D941F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vMerge w:val="continue"/>
                  <w:shd w:val="clear" w:color="auto" w:fill="auto"/>
                  <w:vAlign w:val="center"/>
                </w:tcPr>
                <w:p w14:paraId="7AE7309F">
                  <w:pPr>
                    <w:pStyle w:val="106"/>
                    <w:spacing w:line="240" w:lineRule="auto"/>
                    <w:ind w:left="0" w:firstLine="0"/>
                    <w:jc w:val="center"/>
                    <w:rPr>
                      <w:rFonts w:ascii="Times New Roman" w:hAnsi="Times New Roman" w:eastAsia="宋体" w:cs="Times New Roman"/>
                      <w:sz w:val="21"/>
                      <w:szCs w:val="21"/>
                    </w:rPr>
                  </w:pPr>
                </w:p>
              </w:tc>
              <w:tc>
                <w:tcPr>
                  <w:tcW w:w="916" w:type="dxa"/>
                  <w:shd w:val="clear" w:color="auto" w:fill="auto"/>
                  <w:vAlign w:val="center"/>
                </w:tcPr>
                <w:p w14:paraId="12413A14">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916" w:type="dxa"/>
                  <w:shd w:val="clear" w:color="auto" w:fill="auto"/>
                  <w:vAlign w:val="center"/>
                </w:tcPr>
                <w:p w14:paraId="6B5DD479">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20</w:t>
                  </w:r>
                </w:p>
              </w:tc>
              <w:tc>
                <w:tcPr>
                  <w:tcW w:w="916" w:type="dxa"/>
                  <w:shd w:val="clear" w:color="auto" w:fill="auto"/>
                  <w:vAlign w:val="center"/>
                </w:tcPr>
                <w:p w14:paraId="09AD238A">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50</w:t>
                  </w:r>
                </w:p>
              </w:tc>
              <w:tc>
                <w:tcPr>
                  <w:tcW w:w="931" w:type="dxa"/>
                  <w:shd w:val="clear" w:color="auto" w:fill="auto"/>
                  <w:vAlign w:val="center"/>
                </w:tcPr>
                <w:p w14:paraId="52392918">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100</w:t>
                  </w:r>
                </w:p>
              </w:tc>
              <w:tc>
                <w:tcPr>
                  <w:tcW w:w="940" w:type="dxa"/>
                  <w:shd w:val="clear" w:color="auto" w:fill="auto"/>
                  <w:vAlign w:val="center"/>
                </w:tcPr>
                <w:p w14:paraId="75EA4DE4">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150</w:t>
                  </w:r>
                </w:p>
              </w:tc>
              <w:tc>
                <w:tcPr>
                  <w:tcW w:w="932" w:type="dxa"/>
                  <w:shd w:val="clear" w:color="auto" w:fill="auto"/>
                  <w:vAlign w:val="center"/>
                </w:tcPr>
                <w:p w14:paraId="38BB0B4E">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200</w:t>
                  </w:r>
                </w:p>
              </w:tc>
              <w:tc>
                <w:tcPr>
                  <w:tcW w:w="940" w:type="dxa"/>
                  <w:shd w:val="clear" w:color="auto" w:fill="auto"/>
                  <w:vAlign w:val="center"/>
                </w:tcPr>
                <w:p w14:paraId="7AAD8354">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300</w:t>
                  </w:r>
                </w:p>
              </w:tc>
            </w:tr>
            <w:tr w14:paraId="6EF559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shd w:val="clear" w:color="auto" w:fill="auto"/>
                  <w:vAlign w:val="center"/>
                </w:tcPr>
                <w:p w14:paraId="667A36BB">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105</w:t>
                  </w:r>
                </w:p>
              </w:tc>
              <w:tc>
                <w:tcPr>
                  <w:tcW w:w="916" w:type="dxa"/>
                  <w:shd w:val="clear" w:color="auto" w:fill="auto"/>
                  <w:vAlign w:val="center"/>
                </w:tcPr>
                <w:p w14:paraId="7992A1BC">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85</w:t>
                  </w:r>
                </w:p>
              </w:tc>
              <w:tc>
                <w:tcPr>
                  <w:tcW w:w="916" w:type="dxa"/>
                  <w:shd w:val="clear" w:color="auto" w:fill="auto"/>
                  <w:vAlign w:val="center"/>
                </w:tcPr>
                <w:p w14:paraId="0953A887">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79</w:t>
                  </w:r>
                </w:p>
              </w:tc>
              <w:tc>
                <w:tcPr>
                  <w:tcW w:w="916" w:type="dxa"/>
                  <w:shd w:val="clear" w:color="auto" w:fill="auto"/>
                  <w:vAlign w:val="center"/>
                </w:tcPr>
                <w:p w14:paraId="69750700">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71</w:t>
                  </w:r>
                </w:p>
              </w:tc>
              <w:tc>
                <w:tcPr>
                  <w:tcW w:w="931" w:type="dxa"/>
                  <w:shd w:val="clear" w:color="auto" w:fill="auto"/>
                  <w:vAlign w:val="center"/>
                </w:tcPr>
                <w:p w14:paraId="499A8189">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65</w:t>
                  </w:r>
                </w:p>
              </w:tc>
              <w:tc>
                <w:tcPr>
                  <w:tcW w:w="940" w:type="dxa"/>
                  <w:shd w:val="clear" w:color="auto" w:fill="auto"/>
                  <w:vAlign w:val="center"/>
                </w:tcPr>
                <w:p w14:paraId="47684C3F">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61.5</w:t>
                  </w:r>
                </w:p>
              </w:tc>
              <w:tc>
                <w:tcPr>
                  <w:tcW w:w="932" w:type="dxa"/>
                  <w:shd w:val="clear" w:color="auto" w:fill="auto"/>
                  <w:vAlign w:val="center"/>
                </w:tcPr>
                <w:p w14:paraId="0741E0CF">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59</w:t>
                  </w:r>
                </w:p>
              </w:tc>
              <w:tc>
                <w:tcPr>
                  <w:tcW w:w="940" w:type="dxa"/>
                  <w:shd w:val="clear" w:color="auto" w:fill="auto"/>
                  <w:vAlign w:val="center"/>
                </w:tcPr>
                <w:p w14:paraId="055A2976">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55.5</w:t>
                  </w:r>
                </w:p>
              </w:tc>
            </w:tr>
          </w:tbl>
          <w:p w14:paraId="55794D37">
            <w:pPr>
              <w:spacing w:line="360" w:lineRule="auto"/>
              <w:ind w:firstLine="480"/>
              <w:rPr>
                <w:rFonts w:ascii="Times New Roman" w:hAnsi="Times New Roman" w:eastAsia="宋体" w:cs="Times New Roman"/>
                <w:sz w:val="24"/>
              </w:rPr>
            </w:pPr>
            <w:r>
              <w:rPr>
                <w:rFonts w:ascii="Times New Roman" w:hAnsi="Times New Roman" w:eastAsia="宋体" w:cs="Times New Roman"/>
                <w:sz w:val="24"/>
              </w:rPr>
              <w:t>从上表可以看出，施工机械噪声由于声级较高，在空旷地带声传播距离较远，昼间60m外噪声值才能达标，夜间至315m外噪声值才能达标。届时施工会对其产生较大影响，因此环评要求：</w:t>
            </w:r>
            <w:r>
              <w:rPr>
                <w:rFonts w:hint="eastAsia" w:ascii="宋体" w:hAnsi="宋体" w:eastAsia="宋体" w:cs="宋体"/>
                <w:sz w:val="24"/>
              </w:rPr>
              <w:t>①</w:t>
            </w:r>
            <w:r>
              <w:rPr>
                <w:rFonts w:ascii="Times New Roman" w:hAnsi="Times New Roman" w:eastAsia="宋体" w:cs="Times New Roman"/>
                <w:sz w:val="24"/>
              </w:rPr>
              <w:t>项目仅在白天施工，并尽量使各高噪声设备不同时使用。</w:t>
            </w:r>
          </w:p>
          <w:p w14:paraId="29940C7A">
            <w:pPr>
              <w:spacing w:line="360" w:lineRule="auto"/>
              <w:ind w:firstLine="480"/>
              <w:rPr>
                <w:rFonts w:ascii="Times New Roman" w:hAnsi="Times New Roman" w:eastAsia="宋体" w:cs="Times New Roman"/>
                <w:sz w:val="24"/>
              </w:rPr>
            </w:pPr>
            <w:r>
              <w:rPr>
                <w:rFonts w:ascii="Times New Roman" w:hAnsi="Times New Roman" w:eastAsia="宋体" w:cs="Times New Roman"/>
                <w:sz w:val="24"/>
                <w:u w:val="single"/>
              </w:rPr>
              <w:t>项目施工期间声级较强的噪声为暂时的短期行为，随施工结束，项目施工噪声影响就消失，不会对区域声环境产生影响。</w:t>
            </w:r>
          </w:p>
          <w:p w14:paraId="2FAF6177">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（四）施工期固废影响分析</w:t>
            </w:r>
          </w:p>
          <w:p w14:paraId="763ACE18">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项目施工期固体废弃物主要为施工人员的生活垃圾产生的建筑废渣以及其他建筑垃圾等。</w:t>
            </w:r>
            <w:r>
              <w:rPr>
                <w:rFonts w:ascii="Times New Roman" w:hAnsi="Times New Roman" w:eastAsia="宋体" w:cs="Times New Roman"/>
                <w:sz w:val="24"/>
              </w:rPr>
              <w:t>项目地块地面平整，无需挖填方，无弃方产生；</w:t>
            </w:r>
            <w:r>
              <w:rPr>
                <w:rFonts w:ascii="Times New Roman" w:hAnsi="Times New Roman" w:eastAsia="宋体" w:cs="Times New Roman"/>
                <w:sz w:val="24"/>
                <w:szCs w:val="24"/>
              </w:rPr>
              <w:t>施工期产生的固体废弃物主要生活垃圾、少量建筑废物等固体废弃物。生活垃圾主要来自于施工人员的生活，本项目施工固废</w:t>
            </w:r>
            <w:r>
              <w:rPr>
                <w:rFonts w:ascii="Times New Roman" w:hAnsi="Times New Roman" w:eastAsia="宋体" w:cs="Times New Roman"/>
                <w:sz w:val="24"/>
              </w:rPr>
              <w:t>依托现有收集设施收集后</w:t>
            </w:r>
            <w:r>
              <w:rPr>
                <w:rFonts w:ascii="Times New Roman" w:hAnsi="Times New Roman" w:eastAsia="宋体" w:cs="Times New Roman"/>
                <w:sz w:val="24"/>
                <w:szCs w:val="24"/>
              </w:rPr>
              <w:t>由环卫部门清运。</w:t>
            </w:r>
          </w:p>
          <w:p w14:paraId="490173F1">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sz w:val="24"/>
                <w:szCs w:val="24"/>
                <w:u w:val="single"/>
              </w:rPr>
              <w:t>采取以上措施后，固体废物对周围环境影响较小，不会造成二次污染。</w:t>
            </w:r>
          </w:p>
          <w:p w14:paraId="57C9BCE4">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（五）施工期水土流失环境影响分析</w:t>
            </w:r>
          </w:p>
          <w:p w14:paraId="71605695">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项目施工不涉及大开挖，水土流失较小，项目优化施工工序，待基座做好及时夯实回填，可以有效防止水土流失。</w:t>
            </w:r>
          </w:p>
          <w:p w14:paraId="17E69794">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施工期比较短暂，对周围生态环境的影响相对轻微，且该影响是可逆的。随着施工期结束，建设场地被水泥、建筑物及植被覆盖，有利于消除水土流失的不利影响。</w:t>
            </w:r>
          </w:p>
          <w:p w14:paraId="0451CF94">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因此，</w:t>
            </w:r>
            <w:r>
              <w:rPr>
                <w:rFonts w:ascii="Times New Roman" w:hAnsi="Times New Roman" w:eastAsia="宋体" w:cs="Times New Roman"/>
                <w:sz w:val="24"/>
                <w:szCs w:val="24"/>
                <w:u w:val="single"/>
              </w:rPr>
              <w:t>施工期对项目区的生态影响是可以接受的。</w:t>
            </w:r>
          </w:p>
          <w:p w14:paraId="519506D4">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b/>
                <w:sz w:val="24"/>
                <w:szCs w:val="24"/>
              </w:rPr>
              <w:t>综上所述</w:t>
            </w:r>
            <w:r>
              <w:rPr>
                <w:rFonts w:ascii="Times New Roman" w:hAnsi="Times New Roman" w:eastAsia="宋体" w:cs="Times New Roman"/>
                <w:sz w:val="24"/>
                <w:szCs w:val="24"/>
              </w:rPr>
              <w:t>，</w:t>
            </w:r>
            <w:r>
              <w:rPr>
                <w:rFonts w:ascii="Times New Roman" w:hAnsi="Times New Roman" w:eastAsia="宋体" w:cs="Times New Roman"/>
                <w:sz w:val="24"/>
                <w:szCs w:val="24"/>
                <w:u w:val="single"/>
              </w:rPr>
              <w:t>施工期对环境产生的上述影响，均为可逆的、短期的。建设单位和施工单位在施工过程中只要切实强化扬尘、噪声、固体废物的管理和控制措施的落实，施工期环境影响将得到有效控制。</w:t>
            </w:r>
          </w:p>
          <w:p w14:paraId="5D33D758">
            <w:pPr>
              <w:adjustRightInd w:val="0"/>
              <w:snapToGrid w:val="0"/>
              <w:spacing w:line="480" w:lineRule="exact"/>
              <w:ind w:firstLine="562" w:firstLineChars="200"/>
              <w:rPr>
                <w:rFonts w:ascii="Times New Roman" w:hAnsi="Times New Roman" w:eastAsia="宋体" w:cs="Times New Roman"/>
                <w:b/>
                <w:sz w:val="28"/>
                <w:szCs w:val="28"/>
              </w:rPr>
            </w:pPr>
            <w:r>
              <w:rPr>
                <w:rFonts w:ascii="Times New Roman" w:hAnsi="Times New Roman" w:eastAsia="宋体" w:cs="Times New Roman"/>
                <w:b/>
                <w:sz w:val="28"/>
                <w:szCs w:val="28"/>
              </w:rPr>
              <w:t>二、营运期环境影响分析</w:t>
            </w:r>
          </w:p>
          <w:p w14:paraId="28D92D20">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本项目投入运行后主要环境问题表现为废水、废气、噪声、固废等影响，详细影响分析见下：</w:t>
            </w:r>
          </w:p>
          <w:p w14:paraId="2EA4FC84">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1、营运期废气环境影响分析</w:t>
            </w:r>
          </w:p>
          <w:p w14:paraId="0A783045">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本项目营运期间废气主要为粉尘。</w:t>
            </w:r>
          </w:p>
          <w:p w14:paraId="3FE0722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依据《环境影响评价技术导则-大气环境》(HJ2.2-2018</w:t>
            </w:r>
            <w:r>
              <w:rPr>
                <w:rFonts w:hint="eastAsia" w:ascii="Times New Roman" w:hAnsi="Times New Roman" w:eastAsia="宋体" w:cs="Times New Roman"/>
                <w:sz w:val="24"/>
                <w:lang w:eastAsia="zh-CN"/>
              </w:rPr>
              <w:t>）</w:t>
            </w:r>
            <w:r>
              <w:rPr>
                <w:rFonts w:ascii="Times New Roman" w:hAnsi="Times New Roman" w:eastAsia="宋体" w:cs="Times New Roman"/>
                <w:sz w:val="24"/>
              </w:rPr>
              <w:t>中5.3节工作等级的确定方法，结合项目工程分析结果，选择正常排放的主要污染物及排放参数，采用附录A推荐模型中的AERSCREEN模式计算项目污染源的最大环境影响，然后按评价工作分级判据进行分级。</w:t>
            </w:r>
          </w:p>
          <w:p w14:paraId="208806A8">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（1）P</w:t>
            </w:r>
            <w:r>
              <w:rPr>
                <w:rFonts w:ascii="Times New Roman" w:hAnsi="Times New Roman" w:eastAsia="宋体" w:cs="Times New Roman"/>
                <w:sz w:val="24"/>
                <w:szCs w:val="24"/>
                <w:vertAlign w:val="subscript"/>
              </w:rPr>
              <w:t>max</w:t>
            </w:r>
            <w:r>
              <w:rPr>
                <w:rFonts w:ascii="Times New Roman" w:hAnsi="Times New Roman" w:eastAsia="宋体" w:cs="Times New Roman"/>
                <w:sz w:val="24"/>
                <w:szCs w:val="24"/>
              </w:rPr>
              <w:t>及D</w:t>
            </w:r>
            <w:r>
              <w:rPr>
                <w:rFonts w:ascii="Times New Roman" w:hAnsi="Times New Roman" w:eastAsia="宋体" w:cs="Times New Roman"/>
                <w:sz w:val="24"/>
                <w:szCs w:val="24"/>
                <w:vertAlign w:val="subscript"/>
              </w:rPr>
              <w:t>10%</w:t>
            </w:r>
            <w:r>
              <w:rPr>
                <w:rFonts w:ascii="Times New Roman" w:hAnsi="Times New Roman" w:eastAsia="宋体" w:cs="Times New Roman"/>
                <w:sz w:val="24"/>
                <w:szCs w:val="24"/>
              </w:rPr>
              <w:t>的确定</w:t>
            </w:r>
          </w:p>
          <w:p w14:paraId="1D740F42">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依据《环境影响评价技术导则大气环境》(HJ2.2-2018</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中最大地面浓度占标率P</w:t>
            </w:r>
            <w:r>
              <w:rPr>
                <w:rFonts w:ascii="Times New Roman" w:hAnsi="Times New Roman" w:eastAsia="宋体" w:cs="Times New Roman"/>
                <w:i/>
                <w:sz w:val="24"/>
                <w:szCs w:val="24"/>
              </w:rPr>
              <w:t>i</w:t>
            </w:r>
            <w:r>
              <w:rPr>
                <w:rFonts w:ascii="Times New Roman" w:hAnsi="Times New Roman" w:eastAsia="宋体" w:cs="Times New Roman"/>
                <w:sz w:val="24"/>
                <w:szCs w:val="24"/>
              </w:rPr>
              <w:t>定义如下：</w:t>
            </w:r>
          </w:p>
          <w:p w14:paraId="087A219C">
            <w:pPr>
              <w:spacing w:line="276" w:lineRule="auto"/>
              <w:ind w:firstLine="422" w:firstLineChars="176"/>
              <w:jc w:val="center"/>
              <w:rPr>
                <w:rFonts w:ascii="Times New Roman" w:hAnsi="Times New Roman" w:eastAsia="宋体" w:cs="Times New Roman"/>
                <w:sz w:val="24"/>
                <w:szCs w:val="24"/>
              </w:rPr>
            </w:pPr>
            <m:oMathPara>
              <m:oMath>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num>
                  <m:den>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0i</m:t>
                        </m:r>
                        <m:ctrlPr>
                          <w:rPr>
                            <w:rFonts w:ascii="Cambria Math" w:hAnsi="Cambria Math"/>
                            <w:i/>
                            <w:sz w:val="24"/>
                            <w:szCs w:val="24"/>
                          </w:rPr>
                        </m:ctrlPr>
                      </m:sub>
                    </m:sSub>
                    <m:ctrlPr>
                      <w:rPr>
                        <w:rFonts w:ascii="Cambria Math" w:hAnsi="Cambria Math"/>
                        <w:sz w:val="24"/>
                        <w:szCs w:val="24"/>
                      </w:rPr>
                    </m:ctrlPr>
                  </m:den>
                </m:f>
                <m:r>
                  <m:rPr/>
                  <w:rPr>
                    <w:rFonts w:ascii="Cambria Math" w:hAnsi="Cambria Math"/>
                    <w:sz w:val="24"/>
                    <w:szCs w:val="24"/>
                  </w:rPr>
                  <m:t>×100%</m:t>
                </m:r>
              </m:oMath>
            </m:oMathPara>
          </w:p>
          <w:p w14:paraId="50680DDA">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oMath>
            <w:r>
              <w:rPr>
                <w:rFonts w:ascii="Times New Roman" w:hAnsi="Times New Roman" w:eastAsia="宋体" w:cs="Times New Roman"/>
                <w:sz w:val="24"/>
                <w:szCs w:val="24"/>
              </w:rPr>
              <w:t xml:space="preserve"> ——第i个污染物的最大地面空气质量浓度占标率，%；</w:t>
            </w:r>
          </w:p>
          <w:p w14:paraId="42E8362B">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oMath>
            <w:r>
              <w:rPr>
                <w:rFonts w:ascii="Times New Roman" w:hAnsi="Times New Roman" w:eastAsia="宋体" w:cs="Times New Roman"/>
                <w:sz w:val="24"/>
                <w:szCs w:val="24"/>
              </w:rPr>
              <w:t>——采用估算模型计算出的第i个污染物的最大1h地面空气质量浓度，μg/m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p w14:paraId="6172DE85">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0i</m:t>
                  </m:r>
                  <m:ctrlPr>
                    <w:rPr>
                      <w:rFonts w:ascii="Cambria Math" w:hAnsi="Cambria Math"/>
                      <w:i/>
                      <w:sz w:val="24"/>
                      <w:szCs w:val="24"/>
                    </w:rPr>
                  </m:ctrlPr>
                </m:sub>
              </m:sSub>
            </m:oMath>
            <w:r>
              <w:rPr>
                <w:rFonts w:ascii="Times New Roman" w:hAnsi="Times New Roman" w:eastAsia="宋体" w:cs="Times New Roman"/>
                <w:sz w:val="24"/>
                <w:szCs w:val="24"/>
              </w:rPr>
              <w:t>——第i个污染物的环境空气质量浓度标准，μg/m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p w14:paraId="0ECF786D">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（2）评价等级判别表</w:t>
            </w:r>
          </w:p>
          <w:p w14:paraId="484B947C">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评价等级按下表的分级判据进行划分</w:t>
            </w:r>
          </w:p>
          <w:p w14:paraId="168C3D4E">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表7-3  评价等级判别表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141"/>
              <w:gridCol w:w="4141"/>
            </w:tblGrid>
            <w:tr w14:paraId="2E341E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1D188E2A">
                  <w:pPr>
                    <w:jc w:val="center"/>
                    <w:rPr>
                      <w:rFonts w:ascii="Times New Roman" w:hAnsi="Times New Roman" w:eastAsia="宋体" w:cs="Times New Roman"/>
                      <w:szCs w:val="21"/>
                    </w:rPr>
                  </w:pPr>
                  <w:r>
                    <w:rPr>
                      <w:rFonts w:ascii="Times New Roman" w:hAnsi="Times New Roman" w:eastAsia="宋体" w:cs="Times New Roman"/>
                      <w:szCs w:val="21"/>
                    </w:rPr>
                    <w:t>评价工作等级</w:t>
                  </w:r>
                </w:p>
              </w:tc>
              <w:tc>
                <w:tcPr>
                  <w:tcW w:w="2500" w:type="pct"/>
                  <w:vAlign w:val="center"/>
                </w:tcPr>
                <w:p w14:paraId="521296E8">
                  <w:pPr>
                    <w:jc w:val="center"/>
                    <w:rPr>
                      <w:rFonts w:ascii="Times New Roman" w:hAnsi="Times New Roman" w:eastAsia="宋体" w:cs="Times New Roman"/>
                      <w:szCs w:val="21"/>
                    </w:rPr>
                  </w:pPr>
                  <w:r>
                    <w:rPr>
                      <w:rFonts w:ascii="Times New Roman" w:hAnsi="Times New Roman" w:eastAsia="宋体" w:cs="Times New Roman"/>
                      <w:szCs w:val="21"/>
                    </w:rPr>
                    <w:t>评价工作分级判据</w:t>
                  </w:r>
                </w:p>
              </w:tc>
            </w:tr>
            <w:tr w14:paraId="710FC5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20781F51">
                  <w:pPr>
                    <w:jc w:val="center"/>
                    <w:rPr>
                      <w:rFonts w:ascii="Times New Roman" w:hAnsi="Times New Roman" w:eastAsia="宋体" w:cs="Times New Roman"/>
                      <w:szCs w:val="21"/>
                    </w:rPr>
                  </w:pPr>
                  <w:r>
                    <w:rPr>
                      <w:rFonts w:ascii="Times New Roman" w:hAnsi="Times New Roman" w:eastAsia="宋体" w:cs="Times New Roman"/>
                      <w:szCs w:val="21"/>
                    </w:rPr>
                    <w:t>一级评价</w:t>
                  </w:r>
                </w:p>
              </w:tc>
              <w:tc>
                <w:tcPr>
                  <w:tcW w:w="2500" w:type="pct"/>
                  <w:vAlign w:val="center"/>
                </w:tcPr>
                <w:p w14:paraId="3B561927">
                  <w:pPr>
                    <w:jc w:val="center"/>
                    <w:rPr>
                      <w:rFonts w:ascii="Times New Roman" w:hAnsi="Times New Roman" w:eastAsia="宋体" w:cs="Times New Roman"/>
                      <w:szCs w:val="21"/>
                    </w:rPr>
                  </w:pPr>
                  <w:r>
                    <w:rPr>
                      <w:rFonts w:ascii="Times New Roman" w:hAnsi="Times New Roman" w:eastAsia="宋体" w:cs="Times New Roman"/>
                      <w:szCs w:val="21"/>
                    </w:rPr>
                    <w:t>Pmax</w:t>
                  </w:r>
                  <w:r>
                    <w:rPr>
                      <w:rFonts w:hint="eastAsia" w:ascii="宋体" w:hAnsi="宋体" w:eastAsia="宋体" w:cs="宋体"/>
                      <w:szCs w:val="21"/>
                    </w:rPr>
                    <w:t>≧</w:t>
                  </w:r>
                  <w:r>
                    <w:rPr>
                      <w:rFonts w:ascii="Times New Roman" w:hAnsi="Times New Roman" w:eastAsia="宋体" w:cs="Times New Roman"/>
                      <w:szCs w:val="21"/>
                    </w:rPr>
                    <w:t>10%</w:t>
                  </w:r>
                </w:p>
              </w:tc>
            </w:tr>
            <w:tr w14:paraId="4C25DB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05274B58">
                  <w:pPr>
                    <w:jc w:val="center"/>
                    <w:rPr>
                      <w:rFonts w:ascii="Times New Roman" w:hAnsi="Times New Roman" w:eastAsia="宋体" w:cs="Times New Roman"/>
                      <w:szCs w:val="21"/>
                    </w:rPr>
                  </w:pPr>
                  <w:r>
                    <w:rPr>
                      <w:rFonts w:ascii="Times New Roman" w:hAnsi="Times New Roman" w:eastAsia="宋体" w:cs="Times New Roman"/>
                      <w:szCs w:val="21"/>
                    </w:rPr>
                    <w:t>二级评价</w:t>
                  </w:r>
                </w:p>
              </w:tc>
              <w:tc>
                <w:tcPr>
                  <w:tcW w:w="2500" w:type="pct"/>
                  <w:vAlign w:val="center"/>
                </w:tcPr>
                <w:p w14:paraId="4F821329">
                  <w:pPr>
                    <w:jc w:val="center"/>
                    <w:rPr>
                      <w:rFonts w:ascii="Times New Roman" w:hAnsi="Times New Roman" w:eastAsia="宋体" w:cs="Times New Roman"/>
                      <w:szCs w:val="21"/>
                    </w:rPr>
                  </w:pPr>
                  <w:r>
                    <w:rPr>
                      <w:rFonts w:ascii="Times New Roman" w:hAnsi="Times New Roman" w:eastAsia="宋体" w:cs="Times New Roman"/>
                      <w:szCs w:val="21"/>
                    </w:rPr>
                    <w:t>1%</w:t>
                  </w:r>
                  <w:r>
                    <w:rPr>
                      <w:rFonts w:hint="eastAsia" w:ascii="宋体" w:hAnsi="宋体" w:eastAsia="宋体" w:cs="宋体"/>
                      <w:szCs w:val="21"/>
                    </w:rPr>
                    <w:t>≦</w:t>
                  </w:r>
                  <w:r>
                    <w:rPr>
                      <w:rFonts w:ascii="Times New Roman" w:hAnsi="Times New Roman" w:eastAsia="宋体" w:cs="Times New Roman"/>
                      <w:szCs w:val="21"/>
                    </w:rPr>
                    <w:t>Pmax&lt;10%</w:t>
                  </w:r>
                </w:p>
              </w:tc>
            </w:tr>
            <w:tr w14:paraId="5482AC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636160AF">
                  <w:pPr>
                    <w:jc w:val="center"/>
                    <w:rPr>
                      <w:rFonts w:ascii="Times New Roman" w:hAnsi="Times New Roman" w:eastAsia="宋体" w:cs="Times New Roman"/>
                      <w:szCs w:val="21"/>
                    </w:rPr>
                  </w:pPr>
                  <w:r>
                    <w:rPr>
                      <w:rFonts w:ascii="Times New Roman" w:hAnsi="Times New Roman" w:eastAsia="宋体" w:cs="Times New Roman"/>
                      <w:szCs w:val="21"/>
                    </w:rPr>
                    <w:t>三级评价</w:t>
                  </w:r>
                </w:p>
              </w:tc>
              <w:tc>
                <w:tcPr>
                  <w:tcW w:w="2500" w:type="pct"/>
                  <w:vAlign w:val="center"/>
                </w:tcPr>
                <w:p w14:paraId="29C70E77">
                  <w:pPr>
                    <w:jc w:val="center"/>
                    <w:rPr>
                      <w:rFonts w:ascii="Times New Roman" w:hAnsi="Times New Roman" w:eastAsia="宋体" w:cs="Times New Roman"/>
                      <w:szCs w:val="21"/>
                    </w:rPr>
                  </w:pPr>
                  <w:r>
                    <w:rPr>
                      <w:rFonts w:ascii="Times New Roman" w:hAnsi="Times New Roman" w:eastAsia="宋体" w:cs="Times New Roman"/>
                      <w:szCs w:val="21"/>
                    </w:rPr>
                    <w:t>Pmax&lt;1%</w:t>
                  </w:r>
                </w:p>
              </w:tc>
            </w:tr>
          </w:tbl>
          <w:p w14:paraId="34203FA1">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（3）污染物评价标准</w:t>
            </w:r>
          </w:p>
          <w:p w14:paraId="5435E5DE">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污染物评价标准和来源见下表。</w:t>
            </w:r>
          </w:p>
          <w:p w14:paraId="32C06272">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表7-4  污染物评价标准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134"/>
              <w:gridCol w:w="1153"/>
              <w:gridCol w:w="984"/>
              <w:gridCol w:w="1697"/>
              <w:gridCol w:w="3314"/>
            </w:tblGrid>
            <w:tr w14:paraId="6CA3428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34" w:type="dxa"/>
                  <w:vAlign w:val="center"/>
                </w:tcPr>
                <w:p w14:paraId="198D7F5D">
                  <w:pPr>
                    <w:jc w:val="center"/>
                    <w:rPr>
                      <w:rFonts w:ascii="Times New Roman" w:hAnsi="Times New Roman" w:eastAsia="宋体" w:cs="Times New Roman"/>
                      <w:szCs w:val="21"/>
                    </w:rPr>
                  </w:pPr>
                  <w:r>
                    <w:rPr>
                      <w:rFonts w:ascii="Times New Roman" w:hAnsi="Times New Roman" w:eastAsia="宋体" w:cs="Times New Roman"/>
                      <w:szCs w:val="21"/>
                    </w:rPr>
                    <w:t>污染物名称</w:t>
                  </w:r>
                </w:p>
              </w:tc>
              <w:tc>
                <w:tcPr>
                  <w:tcW w:w="1154" w:type="dxa"/>
                  <w:vAlign w:val="center"/>
                </w:tcPr>
                <w:p w14:paraId="645BE55B">
                  <w:pPr>
                    <w:jc w:val="center"/>
                    <w:rPr>
                      <w:rFonts w:ascii="Times New Roman" w:hAnsi="Times New Roman" w:eastAsia="宋体" w:cs="Times New Roman"/>
                      <w:szCs w:val="21"/>
                    </w:rPr>
                  </w:pPr>
                  <w:r>
                    <w:rPr>
                      <w:rFonts w:ascii="Times New Roman" w:hAnsi="Times New Roman" w:eastAsia="宋体" w:cs="Times New Roman"/>
                      <w:szCs w:val="21"/>
                    </w:rPr>
                    <w:t>功能区</w:t>
                  </w:r>
                </w:p>
              </w:tc>
              <w:tc>
                <w:tcPr>
                  <w:tcW w:w="0" w:type="auto"/>
                  <w:vAlign w:val="center"/>
                </w:tcPr>
                <w:p w14:paraId="347AB458">
                  <w:pPr>
                    <w:jc w:val="center"/>
                    <w:rPr>
                      <w:rFonts w:ascii="Times New Roman" w:hAnsi="Times New Roman" w:eastAsia="宋体" w:cs="Times New Roman"/>
                      <w:szCs w:val="21"/>
                    </w:rPr>
                  </w:pPr>
                  <w:r>
                    <w:rPr>
                      <w:rFonts w:ascii="Times New Roman" w:hAnsi="Times New Roman" w:eastAsia="宋体" w:cs="Times New Roman"/>
                      <w:szCs w:val="21"/>
                    </w:rPr>
                    <w:t>取值时间</w:t>
                  </w:r>
                </w:p>
              </w:tc>
              <w:tc>
                <w:tcPr>
                  <w:tcW w:w="0" w:type="auto"/>
                  <w:vAlign w:val="center"/>
                </w:tcPr>
                <w:p w14:paraId="6265571A">
                  <w:pPr>
                    <w:jc w:val="center"/>
                    <w:rPr>
                      <w:rFonts w:ascii="Times New Roman" w:hAnsi="Times New Roman" w:eastAsia="宋体" w:cs="Times New Roman"/>
                      <w:szCs w:val="21"/>
                    </w:rPr>
                  </w:pPr>
                  <w:r>
                    <w:rPr>
                      <w:rFonts w:ascii="Times New Roman" w:hAnsi="Times New Roman" w:eastAsia="宋体" w:cs="Times New Roman"/>
                      <w:szCs w:val="21"/>
                    </w:rPr>
                    <w:t>标准值</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0" w:type="auto"/>
                  <w:vAlign w:val="center"/>
                </w:tcPr>
                <w:p w14:paraId="64CB770E">
                  <w:pPr>
                    <w:jc w:val="center"/>
                    <w:rPr>
                      <w:rFonts w:ascii="Times New Roman" w:hAnsi="Times New Roman" w:eastAsia="宋体" w:cs="Times New Roman"/>
                      <w:szCs w:val="21"/>
                    </w:rPr>
                  </w:pPr>
                  <w:r>
                    <w:rPr>
                      <w:rFonts w:ascii="Times New Roman" w:hAnsi="Times New Roman" w:eastAsia="宋体" w:cs="Times New Roman"/>
                      <w:szCs w:val="21"/>
                    </w:rPr>
                    <w:t>标准来源</w:t>
                  </w:r>
                </w:p>
              </w:tc>
            </w:tr>
            <w:tr w14:paraId="5322362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34" w:type="dxa"/>
                  <w:vAlign w:val="center"/>
                </w:tcPr>
                <w:p w14:paraId="4E3C2B34">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154" w:type="dxa"/>
                  <w:vAlign w:val="center"/>
                </w:tcPr>
                <w:p w14:paraId="755254F6">
                  <w:pPr>
                    <w:jc w:val="center"/>
                    <w:rPr>
                      <w:rFonts w:ascii="Times New Roman" w:hAnsi="Times New Roman" w:eastAsia="宋体" w:cs="Times New Roman"/>
                      <w:szCs w:val="21"/>
                    </w:rPr>
                  </w:pPr>
                  <w:r>
                    <w:rPr>
                      <w:rFonts w:ascii="Times New Roman" w:hAnsi="Times New Roman" w:eastAsia="宋体" w:cs="Times New Roman"/>
                      <w:szCs w:val="21"/>
                    </w:rPr>
                    <w:t>二类限区</w:t>
                  </w:r>
                </w:p>
              </w:tc>
              <w:tc>
                <w:tcPr>
                  <w:tcW w:w="0" w:type="auto"/>
                  <w:vAlign w:val="center"/>
                </w:tcPr>
                <w:p w14:paraId="729250DC">
                  <w:pPr>
                    <w:jc w:val="center"/>
                    <w:rPr>
                      <w:rFonts w:ascii="Times New Roman" w:hAnsi="Times New Roman" w:eastAsia="宋体" w:cs="Times New Roman"/>
                      <w:szCs w:val="21"/>
                    </w:rPr>
                  </w:pPr>
                  <w:r>
                    <w:rPr>
                      <w:rFonts w:ascii="Times New Roman" w:hAnsi="Times New Roman" w:eastAsia="宋体" w:cs="Times New Roman"/>
                      <w:szCs w:val="21"/>
                    </w:rPr>
                    <w:t>日均</w:t>
                  </w:r>
                </w:p>
              </w:tc>
              <w:tc>
                <w:tcPr>
                  <w:tcW w:w="0" w:type="auto"/>
                  <w:vAlign w:val="center"/>
                </w:tcPr>
                <w:p w14:paraId="7234EC8C">
                  <w:pPr>
                    <w:jc w:val="center"/>
                    <w:rPr>
                      <w:rFonts w:ascii="Times New Roman" w:hAnsi="Times New Roman" w:eastAsia="宋体" w:cs="Times New Roman"/>
                      <w:szCs w:val="21"/>
                    </w:rPr>
                  </w:pPr>
                  <w:r>
                    <w:rPr>
                      <w:rFonts w:ascii="Times New Roman" w:hAnsi="Times New Roman" w:eastAsia="宋体" w:cs="Times New Roman"/>
                      <w:szCs w:val="21"/>
                    </w:rPr>
                    <w:t>300.0</w:t>
                  </w:r>
                </w:p>
              </w:tc>
              <w:tc>
                <w:tcPr>
                  <w:tcW w:w="0" w:type="auto"/>
                  <w:vAlign w:val="center"/>
                </w:tcPr>
                <w:p w14:paraId="7363B4F6">
                  <w:pPr>
                    <w:jc w:val="center"/>
                    <w:rPr>
                      <w:rFonts w:ascii="Times New Roman" w:hAnsi="Times New Roman" w:eastAsia="宋体" w:cs="Times New Roman"/>
                      <w:szCs w:val="21"/>
                    </w:rPr>
                  </w:pPr>
                  <w:r>
                    <w:rPr>
                      <w:rFonts w:ascii="Times New Roman" w:hAnsi="Times New Roman" w:eastAsia="宋体" w:cs="Times New Roman"/>
                      <w:szCs w:val="21"/>
                    </w:rPr>
                    <w:t>环境空气质量标准</w:t>
                  </w:r>
                  <w:r>
                    <w:rPr>
                      <w:rFonts w:hint="eastAsia" w:ascii="Times New Roman" w:hAnsi="Times New Roman" w:eastAsia="宋体" w:cs="Times New Roman"/>
                      <w:szCs w:val="21"/>
                      <w:lang w:eastAsia="zh-CN"/>
                    </w:rPr>
                    <w:t>（</w:t>
                  </w:r>
                  <w:r>
                    <w:rPr>
                      <w:rFonts w:ascii="Times New Roman" w:hAnsi="Times New Roman" w:eastAsia="宋体" w:cs="Times New Roman"/>
                      <w:szCs w:val="21"/>
                    </w:rPr>
                    <w:t>GB 3095-2012</w:t>
                  </w:r>
                  <w:r>
                    <w:rPr>
                      <w:rFonts w:hint="eastAsia" w:ascii="Times New Roman" w:hAnsi="Times New Roman" w:eastAsia="宋体" w:cs="Times New Roman"/>
                      <w:szCs w:val="21"/>
                      <w:lang w:eastAsia="zh-CN"/>
                    </w:rPr>
                    <w:t>）</w:t>
                  </w:r>
                </w:p>
              </w:tc>
            </w:tr>
          </w:tbl>
          <w:p w14:paraId="62856371">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（4）污染源参数</w:t>
            </w:r>
          </w:p>
          <w:p w14:paraId="3244D2FF">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表7-5  主要废气污染源参数一览表</w:t>
            </w:r>
            <w:r>
              <w:rPr>
                <w:rFonts w:hint="eastAsia" w:ascii="Times New Roman" w:hAnsi="Times New Roman" w:eastAsia="宋体" w:cs="Times New Roman"/>
                <w:bCs/>
                <w:sz w:val="24"/>
                <w:lang w:eastAsia="zh-CN"/>
              </w:rPr>
              <w:t>（</w:t>
            </w:r>
            <w:r>
              <w:rPr>
                <w:rFonts w:hint="eastAsia" w:ascii="Times New Roman" w:hAnsi="Times New Roman" w:eastAsia="宋体" w:cs="Times New Roman"/>
                <w:bCs/>
                <w:sz w:val="24"/>
              </w:rPr>
              <w:t>点</w:t>
            </w:r>
            <w:r>
              <w:rPr>
                <w:rFonts w:ascii="Times New Roman" w:hAnsi="Times New Roman" w:eastAsia="宋体" w:cs="Times New Roman"/>
                <w:bCs/>
                <w:sz w:val="24"/>
              </w:rPr>
              <w:t>源</w:t>
            </w:r>
            <w:r>
              <w:rPr>
                <w:rFonts w:hint="eastAsia" w:ascii="Times New Roman" w:hAnsi="Times New Roman" w:eastAsia="宋体" w:cs="Times New Roman"/>
                <w:bCs/>
                <w:sz w:val="24"/>
                <w:lang w:eastAsia="zh-CN"/>
              </w:rPr>
              <w:t>）</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62"/>
              <w:gridCol w:w="1214"/>
              <w:gridCol w:w="1110"/>
              <w:gridCol w:w="800"/>
              <w:gridCol w:w="800"/>
              <w:gridCol w:w="800"/>
              <w:gridCol w:w="846"/>
              <w:gridCol w:w="940"/>
              <w:gridCol w:w="1010"/>
            </w:tblGrid>
            <w:tr w14:paraId="6B926CE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63" w:type="dxa"/>
                  <w:vMerge w:val="restart"/>
                  <w:vAlign w:val="center"/>
                </w:tcPr>
                <w:p w14:paraId="155F5E86">
                  <w:pPr>
                    <w:jc w:val="center"/>
                    <w:rPr>
                      <w:rFonts w:ascii="Times New Roman" w:hAnsi="Times New Roman" w:cs="Times New Roman"/>
                      <w:szCs w:val="21"/>
                    </w:rPr>
                  </w:pPr>
                  <w:r>
                    <w:rPr>
                      <w:rFonts w:ascii="Times New Roman" w:hAnsi="Times New Roman" w:eastAsia="宋体" w:cs="Times New Roman"/>
                      <w:szCs w:val="21"/>
                    </w:rPr>
                    <w:t>污染源名称</w:t>
                  </w:r>
                </w:p>
              </w:tc>
              <w:tc>
                <w:tcPr>
                  <w:tcW w:w="2211" w:type="dxa"/>
                  <w:gridSpan w:val="2"/>
                  <w:vAlign w:val="center"/>
                </w:tcPr>
                <w:p w14:paraId="06BA0503">
                  <w:pPr>
                    <w:jc w:val="center"/>
                    <w:rPr>
                      <w:rFonts w:ascii="Times New Roman" w:hAnsi="Times New Roman" w:cs="Times New Roman"/>
                      <w:szCs w:val="21"/>
                    </w:rPr>
                  </w:pPr>
                  <w:r>
                    <w:rPr>
                      <w:rFonts w:ascii="Times New Roman" w:hAnsi="Times New Roman" w:eastAsia="宋体" w:cs="Times New Roman"/>
                      <w:szCs w:val="21"/>
                    </w:rPr>
                    <w:t>排气筒底部中心坐标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c>
                <w:tcPr>
                  <w:tcW w:w="0" w:type="auto"/>
                  <w:vMerge w:val="restart"/>
                  <w:vAlign w:val="center"/>
                </w:tcPr>
                <w:p w14:paraId="295EFEC3">
                  <w:pPr>
                    <w:jc w:val="center"/>
                    <w:rPr>
                      <w:rFonts w:ascii="Times New Roman" w:hAnsi="Times New Roman" w:cs="Times New Roman"/>
                      <w:szCs w:val="21"/>
                    </w:rPr>
                  </w:pPr>
                  <w:r>
                    <w:rPr>
                      <w:rFonts w:ascii="Times New Roman" w:hAnsi="Times New Roman" w:eastAsia="宋体" w:cs="Times New Roman"/>
                      <w:szCs w:val="21"/>
                    </w:rPr>
                    <w:t>排气筒底部</w:t>
                  </w:r>
                  <w:r>
                    <w:rPr>
                      <w:rFonts w:hint="eastAsia" w:ascii="Times New Roman" w:hAnsi="Times New Roman" w:eastAsia="宋体" w:cs="Times New Roman"/>
                      <w:szCs w:val="21"/>
                      <w:lang w:eastAsia="zh-CN"/>
                    </w:rPr>
                    <w:t>海拔（</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gridSpan w:val="4"/>
                  <w:vAlign w:val="center"/>
                </w:tcPr>
                <w:p w14:paraId="3C603AEF">
                  <w:pPr>
                    <w:jc w:val="center"/>
                    <w:rPr>
                      <w:rFonts w:ascii="Times New Roman" w:hAnsi="Times New Roman" w:cs="Times New Roman"/>
                      <w:szCs w:val="21"/>
                    </w:rPr>
                  </w:pPr>
                  <w:r>
                    <w:rPr>
                      <w:rFonts w:ascii="Times New Roman" w:hAnsi="Times New Roman" w:eastAsia="宋体" w:cs="Times New Roman"/>
                      <w:szCs w:val="21"/>
                    </w:rPr>
                    <w:t>排气筒参数</w:t>
                  </w:r>
                </w:p>
              </w:tc>
              <w:tc>
                <w:tcPr>
                  <w:tcW w:w="0" w:type="auto"/>
                  <w:vAlign w:val="center"/>
                </w:tcPr>
                <w:p w14:paraId="52C1B039">
                  <w:pPr>
                    <w:jc w:val="center"/>
                    <w:rPr>
                      <w:rFonts w:ascii="Times New Roman" w:hAnsi="Times New Roman" w:cs="Times New Roman"/>
                      <w:szCs w:val="21"/>
                    </w:rPr>
                  </w:pPr>
                  <w:r>
                    <w:rPr>
                      <w:rFonts w:ascii="Times New Roman" w:hAnsi="Times New Roman" w:eastAsia="宋体" w:cs="Times New Roman"/>
                      <w:szCs w:val="21"/>
                    </w:rPr>
                    <w:t>污染物排放速率</w:t>
                  </w:r>
                  <w:r>
                    <w:rPr>
                      <w:rFonts w:hint="eastAsia" w:ascii="Times New Roman" w:hAnsi="Times New Roman" w:eastAsia="宋体" w:cs="Times New Roman"/>
                      <w:szCs w:val="21"/>
                      <w:lang w:eastAsia="zh-CN"/>
                    </w:rPr>
                    <w:t>（</w:t>
                  </w:r>
                  <w:r>
                    <w:rPr>
                      <w:rFonts w:ascii="Times New Roman" w:hAnsi="Times New Roman" w:eastAsia="宋体" w:cs="Times New Roman"/>
                      <w:szCs w:val="21"/>
                    </w:rPr>
                    <w:t>kg/h</w:t>
                  </w:r>
                  <w:r>
                    <w:rPr>
                      <w:rFonts w:hint="eastAsia" w:ascii="Times New Roman" w:hAnsi="Times New Roman" w:eastAsia="宋体" w:cs="Times New Roman"/>
                      <w:szCs w:val="21"/>
                      <w:lang w:eastAsia="zh-CN"/>
                    </w:rPr>
                    <w:t>）</w:t>
                  </w:r>
                </w:p>
              </w:tc>
            </w:tr>
            <w:tr w14:paraId="50A56DF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63" w:type="dxa"/>
                  <w:vMerge w:val="continue"/>
                  <w:vAlign w:val="center"/>
                </w:tcPr>
                <w:p w14:paraId="6B68867F">
                  <w:pPr>
                    <w:jc w:val="center"/>
                    <w:rPr>
                      <w:rFonts w:ascii="Times New Roman" w:hAnsi="Times New Roman" w:cs="Times New Roman"/>
                      <w:szCs w:val="21"/>
                    </w:rPr>
                  </w:pPr>
                </w:p>
              </w:tc>
              <w:tc>
                <w:tcPr>
                  <w:tcW w:w="1101" w:type="dxa"/>
                  <w:vAlign w:val="center"/>
                </w:tcPr>
                <w:p w14:paraId="23FCB957">
                  <w:pPr>
                    <w:jc w:val="center"/>
                    <w:rPr>
                      <w:rFonts w:ascii="Times New Roman" w:hAnsi="Times New Roman" w:cs="Times New Roman"/>
                      <w:szCs w:val="21"/>
                    </w:rPr>
                  </w:pPr>
                  <w:r>
                    <w:rPr>
                      <w:rFonts w:ascii="Times New Roman" w:hAnsi="Times New Roman" w:eastAsia="宋体" w:cs="Times New Roman"/>
                      <w:szCs w:val="21"/>
                    </w:rPr>
                    <w:t>经度</w:t>
                  </w:r>
                </w:p>
              </w:tc>
              <w:tc>
                <w:tcPr>
                  <w:tcW w:w="0" w:type="auto"/>
                  <w:vAlign w:val="center"/>
                </w:tcPr>
                <w:p w14:paraId="315EF42E">
                  <w:pPr>
                    <w:jc w:val="center"/>
                    <w:rPr>
                      <w:rFonts w:ascii="Times New Roman" w:hAnsi="Times New Roman" w:cs="Times New Roman"/>
                      <w:szCs w:val="21"/>
                    </w:rPr>
                  </w:pPr>
                  <w:r>
                    <w:rPr>
                      <w:rFonts w:ascii="Times New Roman" w:hAnsi="Times New Roman" w:eastAsia="宋体" w:cs="Times New Roman"/>
                      <w:szCs w:val="21"/>
                    </w:rPr>
                    <w:t>纬度</w:t>
                  </w:r>
                </w:p>
              </w:tc>
              <w:tc>
                <w:tcPr>
                  <w:tcW w:w="0" w:type="auto"/>
                  <w:vMerge w:val="continue"/>
                  <w:vAlign w:val="center"/>
                </w:tcPr>
                <w:p w14:paraId="22CA5DAF">
                  <w:pPr>
                    <w:jc w:val="center"/>
                    <w:rPr>
                      <w:rFonts w:ascii="Times New Roman" w:hAnsi="Times New Roman" w:cs="Times New Roman"/>
                      <w:szCs w:val="21"/>
                    </w:rPr>
                  </w:pPr>
                </w:p>
              </w:tc>
              <w:tc>
                <w:tcPr>
                  <w:tcW w:w="0" w:type="auto"/>
                  <w:vAlign w:val="center"/>
                </w:tcPr>
                <w:p w14:paraId="4878B54D">
                  <w:pPr>
                    <w:jc w:val="center"/>
                    <w:rPr>
                      <w:rFonts w:ascii="Times New Roman" w:hAnsi="Times New Roman" w:cs="Times New Roman"/>
                      <w:szCs w:val="21"/>
                    </w:rPr>
                  </w:pPr>
                  <w:r>
                    <w:rPr>
                      <w:rFonts w:ascii="Times New Roman" w:hAnsi="Times New Roman" w:eastAsia="宋体" w:cs="Times New Roman"/>
                      <w:szCs w:val="21"/>
                    </w:rPr>
                    <w:t>高度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59D023B0">
                  <w:pPr>
                    <w:jc w:val="center"/>
                    <w:rPr>
                      <w:rFonts w:ascii="Times New Roman" w:hAnsi="Times New Roman" w:cs="Times New Roman"/>
                      <w:szCs w:val="21"/>
                    </w:rPr>
                  </w:pPr>
                  <w:r>
                    <w:rPr>
                      <w:rFonts w:ascii="Times New Roman" w:hAnsi="Times New Roman" w:eastAsia="宋体" w:cs="Times New Roman"/>
                      <w:szCs w:val="21"/>
                    </w:rPr>
                    <w:t>内径</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20F5F32D">
                  <w:pPr>
                    <w:jc w:val="center"/>
                    <w:rPr>
                      <w:rFonts w:ascii="Times New Roman" w:hAnsi="Times New Roman" w:cs="Times New Roman"/>
                      <w:szCs w:val="21"/>
                    </w:rPr>
                  </w:pPr>
                  <w:r>
                    <w:rPr>
                      <w:rFonts w:ascii="Times New Roman" w:hAnsi="Times New Roman" w:eastAsia="宋体" w:cs="Times New Roman"/>
                      <w:szCs w:val="21"/>
                    </w:rPr>
                    <w:t>温度</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c>
                <w:tcPr>
                  <w:tcW w:w="0" w:type="auto"/>
                  <w:vAlign w:val="center"/>
                </w:tcPr>
                <w:p w14:paraId="167ECFD4">
                  <w:pPr>
                    <w:jc w:val="center"/>
                    <w:rPr>
                      <w:rFonts w:ascii="Times New Roman" w:hAnsi="Times New Roman" w:cs="Times New Roman"/>
                      <w:szCs w:val="21"/>
                    </w:rPr>
                  </w:pPr>
                  <w:r>
                    <w:rPr>
                      <w:rFonts w:ascii="Times New Roman" w:hAnsi="Times New Roman" w:eastAsia="宋体" w:cs="Times New Roman"/>
                      <w:szCs w:val="21"/>
                    </w:rPr>
                    <w:t>流速</w:t>
                  </w:r>
                  <w:r>
                    <w:rPr>
                      <w:rFonts w:hint="eastAsia" w:ascii="Times New Roman" w:hAnsi="Times New Roman" w:eastAsia="宋体" w:cs="Times New Roman"/>
                      <w:szCs w:val="21"/>
                      <w:lang w:eastAsia="zh-CN"/>
                    </w:rPr>
                    <w:t>（</w:t>
                  </w:r>
                  <w:r>
                    <w:rPr>
                      <w:rFonts w:ascii="Times New Roman" w:hAnsi="Times New Roman" w:eastAsia="宋体" w:cs="Times New Roman"/>
                      <w:szCs w:val="21"/>
                    </w:rPr>
                    <w:t>m/s</w:t>
                  </w:r>
                  <w:r>
                    <w:rPr>
                      <w:rFonts w:hint="eastAsia" w:ascii="Times New Roman" w:hAnsi="Times New Roman" w:eastAsia="宋体" w:cs="Times New Roman"/>
                      <w:szCs w:val="21"/>
                      <w:lang w:eastAsia="zh-CN"/>
                    </w:rPr>
                    <w:t>）</w:t>
                  </w:r>
                </w:p>
              </w:tc>
              <w:tc>
                <w:tcPr>
                  <w:tcW w:w="0" w:type="auto"/>
                  <w:vAlign w:val="center"/>
                </w:tcPr>
                <w:p w14:paraId="19F7C0A0">
                  <w:pPr>
                    <w:jc w:val="center"/>
                    <w:rPr>
                      <w:rFonts w:ascii="Times New Roman" w:hAnsi="Times New Roman" w:cs="Times New Roman"/>
                      <w:szCs w:val="21"/>
                    </w:rPr>
                  </w:pPr>
                  <w:r>
                    <w:rPr>
                      <w:rFonts w:ascii="Times New Roman" w:hAnsi="Times New Roman" w:eastAsia="宋体" w:cs="Times New Roman"/>
                      <w:szCs w:val="21"/>
                    </w:rPr>
                    <w:t>TSP</w:t>
                  </w:r>
                </w:p>
              </w:tc>
            </w:tr>
            <w:tr w14:paraId="7B1C439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63" w:type="dxa"/>
                  <w:vAlign w:val="center"/>
                </w:tcPr>
                <w:p w14:paraId="7578DDF8">
                  <w:pPr>
                    <w:jc w:val="center"/>
                    <w:rPr>
                      <w:rFonts w:ascii="Times New Roman" w:hAnsi="Times New Roman" w:cs="Times New Roman"/>
                      <w:szCs w:val="21"/>
                    </w:rPr>
                  </w:pPr>
                  <w:r>
                    <w:rPr>
                      <w:rFonts w:ascii="Times New Roman" w:hAnsi="Times New Roman" w:eastAsia="宋体" w:cs="Times New Roman"/>
                      <w:szCs w:val="21"/>
                    </w:rPr>
                    <w:t>15m排气筒</w:t>
                  </w:r>
                </w:p>
              </w:tc>
              <w:tc>
                <w:tcPr>
                  <w:tcW w:w="1101" w:type="dxa"/>
                  <w:vAlign w:val="center"/>
                </w:tcPr>
                <w:p w14:paraId="38E85E3E">
                  <w:pPr>
                    <w:jc w:val="center"/>
                    <w:rPr>
                      <w:rFonts w:ascii="Times New Roman" w:hAnsi="Times New Roman" w:cs="Times New Roman"/>
                      <w:szCs w:val="21"/>
                    </w:rPr>
                  </w:pPr>
                  <w:r>
                    <w:rPr>
                      <w:rFonts w:ascii="Times New Roman" w:hAnsi="Times New Roman" w:eastAsia="宋体" w:cs="Times New Roman"/>
                      <w:szCs w:val="21"/>
                    </w:rPr>
                    <w:t>103.273386</w:t>
                  </w:r>
                </w:p>
              </w:tc>
              <w:tc>
                <w:tcPr>
                  <w:tcW w:w="0" w:type="auto"/>
                  <w:vAlign w:val="center"/>
                </w:tcPr>
                <w:p w14:paraId="457440C6">
                  <w:pPr>
                    <w:jc w:val="center"/>
                    <w:rPr>
                      <w:rFonts w:ascii="Times New Roman" w:hAnsi="Times New Roman" w:cs="Times New Roman"/>
                      <w:szCs w:val="21"/>
                    </w:rPr>
                  </w:pPr>
                  <w:r>
                    <w:rPr>
                      <w:rFonts w:ascii="Times New Roman" w:hAnsi="Times New Roman" w:eastAsia="宋体" w:cs="Times New Roman"/>
                      <w:szCs w:val="21"/>
                    </w:rPr>
                    <w:t>29.307869</w:t>
                  </w:r>
                </w:p>
              </w:tc>
              <w:tc>
                <w:tcPr>
                  <w:tcW w:w="0" w:type="auto"/>
                  <w:vAlign w:val="center"/>
                </w:tcPr>
                <w:p w14:paraId="17E5B403">
                  <w:pPr>
                    <w:jc w:val="center"/>
                    <w:rPr>
                      <w:rFonts w:ascii="Times New Roman" w:hAnsi="Times New Roman" w:cs="Times New Roman"/>
                      <w:szCs w:val="21"/>
                    </w:rPr>
                  </w:pPr>
                  <w:r>
                    <w:rPr>
                      <w:rFonts w:ascii="Times New Roman" w:hAnsi="Times New Roman" w:eastAsia="宋体" w:cs="Times New Roman"/>
                      <w:szCs w:val="21"/>
                    </w:rPr>
                    <w:t>878.00</w:t>
                  </w:r>
                </w:p>
              </w:tc>
              <w:tc>
                <w:tcPr>
                  <w:tcW w:w="0" w:type="auto"/>
                  <w:vAlign w:val="center"/>
                </w:tcPr>
                <w:p w14:paraId="6237A6E3">
                  <w:pPr>
                    <w:jc w:val="center"/>
                    <w:rPr>
                      <w:rFonts w:ascii="Times New Roman" w:hAnsi="Times New Roman" w:cs="Times New Roman"/>
                      <w:szCs w:val="21"/>
                    </w:rPr>
                  </w:pPr>
                  <w:r>
                    <w:rPr>
                      <w:rFonts w:ascii="Times New Roman" w:hAnsi="Times New Roman" w:eastAsia="宋体" w:cs="Times New Roman"/>
                      <w:szCs w:val="21"/>
                    </w:rPr>
                    <w:t>60.00</w:t>
                  </w:r>
                </w:p>
              </w:tc>
              <w:tc>
                <w:tcPr>
                  <w:tcW w:w="0" w:type="auto"/>
                  <w:vAlign w:val="center"/>
                </w:tcPr>
                <w:p w14:paraId="0C0A3D77">
                  <w:pPr>
                    <w:jc w:val="center"/>
                    <w:rPr>
                      <w:rFonts w:ascii="Times New Roman" w:hAnsi="Times New Roman" w:cs="Times New Roman"/>
                      <w:szCs w:val="21"/>
                    </w:rPr>
                  </w:pPr>
                  <w:r>
                    <w:rPr>
                      <w:rFonts w:ascii="Times New Roman" w:hAnsi="Times New Roman" w:eastAsia="宋体" w:cs="Times New Roman"/>
                      <w:szCs w:val="21"/>
                    </w:rPr>
                    <w:t>0.20</w:t>
                  </w:r>
                </w:p>
              </w:tc>
              <w:tc>
                <w:tcPr>
                  <w:tcW w:w="0" w:type="auto"/>
                  <w:vAlign w:val="center"/>
                </w:tcPr>
                <w:p w14:paraId="7FE4C063">
                  <w:pPr>
                    <w:jc w:val="center"/>
                    <w:rPr>
                      <w:rFonts w:ascii="Times New Roman" w:hAnsi="Times New Roman" w:cs="Times New Roman"/>
                      <w:szCs w:val="21"/>
                    </w:rPr>
                  </w:pPr>
                  <w:r>
                    <w:rPr>
                      <w:rFonts w:ascii="Times New Roman" w:hAnsi="Times New Roman" w:eastAsia="宋体" w:cs="Times New Roman"/>
                      <w:szCs w:val="21"/>
                    </w:rPr>
                    <w:t>19.85</w:t>
                  </w:r>
                </w:p>
              </w:tc>
              <w:tc>
                <w:tcPr>
                  <w:tcW w:w="0" w:type="auto"/>
                  <w:vAlign w:val="center"/>
                </w:tcPr>
                <w:p w14:paraId="05B5A515">
                  <w:pPr>
                    <w:jc w:val="center"/>
                    <w:rPr>
                      <w:rFonts w:ascii="Times New Roman" w:hAnsi="Times New Roman" w:cs="Times New Roman"/>
                      <w:szCs w:val="21"/>
                    </w:rPr>
                  </w:pPr>
                  <w:r>
                    <w:rPr>
                      <w:rFonts w:ascii="Times New Roman" w:hAnsi="Times New Roman" w:eastAsia="宋体" w:cs="Times New Roman"/>
                      <w:szCs w:val="21"/>
                    </w:rPr>
                    <w:t>11.00</w:t>
                  </w:r>
                </w:p>
              </w:tc>
              <w:tc>
                <w:tcPr>
                  <w:tcW w:w="0" w:type="auto"/>
                  <w:vAlign w:val="center"/>
                </w:tcPr>
                <w:p w14:paraId="248AC7B5">
                  <w:pPr>
                    <w:jc w:val="center"/>
                    <w:rPr>
                      <w:rFonts w:ascii="Times New Roman" w:hAnsi="Times New Roman" w:cs="Times New Roman"/>
                      <w:szCs w:val="21"/>
                    </w:rPr>
                  </w:pPr>
                  <w:r>
                    <w:rPr>
                      <w:rFonts w:ascii="Times New Roman" w:hAnsi="Times New Roman" w:eastAsia="宋体" w:cs="Times New Roman"/>
                      <w:szCs w:val="21"/>
                    </w:rPr>
                    <w:t>0.0240</w:t>
                  </w:r>
                </w:p>
              </w:tc>
            </w:tr>
          </w:tbl>
          <w:p w14:paraId="065AEE93">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表7-6  主要废气污染源参数一览表</w:t>
            </w:r>
            <w:r>
              <w:rPr>
                <w:rFonts w:hint="eastAsia" w:ascii="Times New Roman" w:hAnsi="Times New Roman" w:eastAsia="宋体" w:cs="Times New Roman"/>
                <w:bCs/>
                <w:sz w:val="24"/>
                <w:lang w:eastAsia="zh-CN"/>
              </w:rPr>
              <w:t>（</w:t>
            </w:r>
            <w:r>
              <w:rPr>
                <w:rFonts w:hint="eastAsia" w:ascii="Times New Roman" w:hAnsi="Times New Roman" w:eastAsia="宋体" w:cs="Times New Roman"/>
                <w:bCs/>
                <w:sz w:val="24"/>
              </w:rPr>
              <w:t>矩形面源</w:t>
            </w:r>
            <w:r>
              <w:rPr>
                <w:rFonts w:hint="eastAsia" w:ascii="Times New Roman" w:hAnsi="Times New Roman" w:eastAsia="宋体" w:cs="Times New Roman"/>
                <w:bCs/>
                <w:sz w:val="24"/>
                <w:lang w:eastAsia="zh-CN"/>
              </w:rPr>
              <w:t>）</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78"/>
              <w:gridCol w:w="1214"/>
              <w:gridCol w:w="1109"/>
              <w:gridCol w:w="926"/>
              <w:gridCol w:w="926"/>
              <w:gridCol w:w="926"/>
              <w:gridCol w:w="1052"/>
              <w:gridCol w:w="1451"/>
            </w:tblGrid>
            <w:tr w14:paraId="490730C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Merge w:val="restart"/>
                  <w:vAlign w:val="center"/>
                </w:tcPr>
                <w:p w14:paraId="697F3FB6">
                  <w:pPr>
                    <w:jc w:val="center"/>
                    <w:rPr>
                      <w:rFonts w:ascii="Times New Roman" w:hAnsi="Times New Roman" w:cs="Times New Roman"/>
                      <w:szCs w:val="21"/>
                    </w:rPr>
                  </w:pPr>
                  <w:r>
                    <w:rPr>
                      <w:rFonts w:ascii="Times New Roman" w:hAnsi="Times New Roman" w:eastAsia="宋体" w:cs="Times New Roman"/>
                      <w:szCs w:val="21"/>
                    </w:rPr>
                    <w:t>污染源名称</w:t>
                  </w:r>
                </w:p>
              </w:tc>
              <w:tc>
                <w:tcPr>
                  <w:tcW w:w="0" w:type="auto"/>
                  <w:gridSpan w:val="2"/>
                  <w:vAlign w:val="center"/>
                </w:tcPr>
                <w:p w14:paraId="51BC1FCE">
                  <w:pPr>
                    <w:jc w:val="center"/>
                    <w:rPr>
                      <w:rFonts w:ascii="Times New Roman" w:hAnsi="Times New Roman" w:cs="Times New Roman"/>
                      <w:szCs w:val="21"/>
                    </w:rPr>
                  </w:pPr>
                  <w:r>
                    <w:rPr>
                      <w:rFonts w:ascii="Times New Roman" w:hAnsi="Times New Roman" w:eastAsia="宋体" w:cs="Times New Roman"/>
                      <w:szCs w:val="21"/>
                    </w:rPr>
                    <w:t>坐标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c>
                <w:tcPr>
                  <w:tcW w:w="0" w:type="auto"/>
                  <w:vMerge w:val="restart"/>
                  <w:vAlign w:val="center"/>
                </w:tcPr>
                <w:p w14:paraId="391CF0E3">
                  <w:pPr>
                    <w:jc w:val="center"/>
                    <w:rPr>
                      <w:rFonts w:ascii="Times New Roman" w:hAnsi="Times New Roman" w:cs="Times New Roman"/>
                      <w:szCs w:val="21"/>
                    </w:rPr>
                  </w:pPr>
                  <w:r>
                    <w:rPr>
                      <w:rFonts w:hint="eastAsia" w:ascii="Times New Roman" w:hAnsi="Times New Roman" w:eastAsia="宋体" w:cs="Times New Roman"/>
                      <w:szCs w:val="21"/>
                      <w:lang w:eastAsia="zh-CN"/>
                    </w:rPr>
                    <w:t>海拔（</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gridSpan w:val="3"/>
                  <w:vAlign w:val="center"/>
                </w:tcPr>
                <w:p w14:paraId="26520025">
                  <w:pPr>
                    <w:jc w:val="center"/>
                    <w:rPr>
                      <w:rFonts w:ascii="Times New Roman" w:hAnsi="Times New Roman" w:cs="Times New Roman"/>
                      <w:szCs w:val="21"/>
                    </w:rPr>
                  </w:pPr>
                  <w:r>
                    <w:rPr>
                      <w:rFonts w:ascii="Times New Roman" w:hAnsi="Times New Roman" w:eastAsia="宋体" w:cs="Times New Roman"/>
                      <w:szCs w:val="21"/>
                    </w:rPr>
                    <w:t>矩形面源</w:t>
                  </w:r>
                </w:p>
              </w:tc>
              <w:tc>
                <w:tcPr>
                  <w:tcW w:w="0" w:type="auto"/>
                  <w:vAlign w:val="center"/>
                </w:tcPr>
                <w:p w14:paraId="32DC5074">
                  <w:pPr>
                    <w:jc w:val="center"/>
                    <w:rPr>
                      <w:rFonts w:ascii="Times New Roman" w:hAnsi="Times New Roman" w:cs="Times New Roman"/>
                      <w:szCs w:val="21"/>
                    </w:rPr>
                  </w:pPr>
                  <w:r>
                    <w:rPr>
                      <w:rFonts w:ascii="Times New Roman" w:hAnsi="Times New Roman" w:eastAsia="宋体" w:cs="Times New Roman"/>
                      <w:szCs w:val="21"/>
                    </w:rPr>
                    <w:t>污染物排放速率</w:t>
                  </w:r>
                  <w:r>
                    <w:rPr>
                      <w:rFonts w:hint="eastAsia" w:ascii="Times New Roman" w:hAnsi="Times New Roman" w:eastAsia="宋体" w:cs="Times New Roman"/>
                      <w:szCs w:val="21"/>
                      <w:lang w:eastAsia="zh-CN"/>
                    </w:rPr>
                    <w:t>（</w:t>
                  </w:r>
                  <w:r>
                    <w:rPr>
                      <w:rFonts w:ascii="Times New Roman" w:hAnsi="Times New Roman" w:eastAsia="宋体" w:cs="Times New Roman"/>
                      <w:szCs w:val="21"/>
                    </w:rPr>
                    <w:t>kg/h</w:t>
                  </w:r>
                  <w:r>
                    <w:rPr>
                      <w:rFonts w:hint="eastAsia" w:ascii="Times New Roman" w:hAnsi="Times New Roman" w:eastAsia="宋体" w:cs="Times New Roman"/>
                      <w:szCs w:val="21"/>
                      <w:lang w:eastAsia="zh-CN"/>
                    </w:rPr>
                    <w:t>）</w:t>
                  </w:r>
                </w:p>
              </w:tc>
            </w:tr>
            <w:tr w14:paraId="762985A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Merge w:val="continue"/>
                  <w:vAlign w:val="center"/>
                </w:tcPr>
                <w:p w14:paraId="33E73CCD">
                  <w:pPr>
                    <w:jc w:val="center"/>
                    <w:rPr>
                      <w:rFonts w:ascii="Times New Roman" w:hAnsi="Times New Roman" w:cs="Times New Roman"/>
                      <w:szCs w:val="21"/>
                    </w:rPr>
                  </w:pPr>
                </w:p>
              </w:tc>
              <w:tc>
                <w:tcPr>
                  <w:tcW w:w="0" w:type="auto"/>
                  <w:vAlign w:val="center"/>
                </w:tcPr>
                <w:p w14:paraId="49145DA3">
                  <w:pPr>
                    <w:jc w:val="center"/>
                    <w:rPr>
                      <w:rFonts w:ascii="Times New Roman" w:hAnsi="Times New Roman" w:cs="Times New Roman"/>
                      <w:szCs w:val="21"/>
                    </w:rPr>
                  </w:pPr>
                  <w:r>
                    <w:rPr>
                      <w:rFonts w:ascii="Times New Roman" w:hAnsi="Times New Roman" w:eastAsia="宋体" w:cs="Times New Roman"/>
                      <w:szCs w:val="21"/>
                    </w:rPr>
                    <w:t>经度</w:t>
                  </w:r>
                </w:p>
              </w:tc>
              <w:tc>
                <w:tcPr>
                  <w:tcW w:w="0" w:type="auto"/>
                  <w:vAlign w:val="center"/>
                </w:tcPr>
                <w:p w14:paraId="2D5915E6">
                  <w:pPr>
                    <w:jc w:val="center"/>
                    <w:rPr>
                      <w:rFonts w:ascii="Times New Roman" w:hAnsi="Times New Roman" w:cs="Times New Roman"/>
                      <w:szCs w:val="21"/>
                    </w:rPr>
                  </w:pPr>
                  <w:r>
                    <w:rPr>
                      <w:rFonts w:ascii="Times New Roman" w:hAnsi="Times New Roman" w:eastAsia="宋体" w:cs="Times New Roman"/>
                      <w:szCs w:val="21"/>
                    </w:rPr>
                    <w:t>纬度</w:t>
                  </w:r>
                </w:p>
              </w:tc>
              <w:tc>
                <w:tcPr>
                  <w:tcW w:w="0" w:type="auto"/>
                  <w:vMerge w:val="continue"/>
                  <w:vAlign w:val="center"/>
                </w:tcPr>
                <w:p w14:paraId="4DA9F0AB">
                  <w:pPr>
                    <w:jc w:val="center"/>
                    <w:rPr>
                      <w:rFonts w:ascii="Times New Roman" w:hAnsi="Times New Roman" w:cs="Times New Roman"/>
                      <w:szCs w:val="21"/>
                    </w:rPr>
                  </w:pPr>
                </w:p>
              </w:tc>
              <w:tc>
                <w:tcPr>
                  <w:tcW w:w="0" w:type="auto"/>
                  <w:vAlign w:val="center"/>
                </w:tcPr>
                <w:p w14:paraId="0B82C157">
                  <w:pPr>
                    <w:jc w:val="center"/>
                    <w:rPr>
                      <w:rFonts w:ascii="Times New Roman" w:hAnsi="Times New Roman" w:cs="Times New Roman"/>
                      <w:szCs w:val="21"/>
                    </w:rPr>
                  </w:pPr>
                  <w:r>
                    <w:rPr>
                      <w:rFonts w:ascii="Times New Roman" w:hAnsi="Times New Roman" w:eastAsia="宋体" w:cs="Times New Roman"/>
                      <w:szCs w:val="21"/>
                    </w:rPr>
                    <w:t>长度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323FEBB1">
                  <w:pPr>
                    <w:jc w:val="center"/>
                    <w:rPr>
                      <w:rFonts w:ascii="Times New Roman" w:hAnsi="Times New Roman" w:cs="Times New Roman"/>
                      <w:szCs w:val="21"/>
                    </w:rPr>
                  </w:pPr>
                  <w:r>
                    <w:rPr>
                      <w:rFonts w:ascii="Times New Roman" w:hAnsi="Times New Roman" w:eastAsia="宋体" w:cs="Times New Roman"/>
                      <w:szCs w:val="21"/>
                    </w:rPr>
                    <w:t>宽度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5941AAE8">
                  <w:pPr>
                    <w:jc w:val="center"/>
                    <w:rPr>
                      <w:rFonts w:ascii="Times New Roman" w:hAnsi="Times New Roman" w:cs="Times New Roman"/>
                      <w:szCs w:val="21"/>
                    </w:rPr>
                  </w:pPr>
                  <w:r>
                    <w:rPr>
                      <w:rFonts w:ascii="Times New Roman" w:hAnsi="Times New Roman" w:eastAsia="宋体" w:cs="Times New Roman"/>
                      <w:szCs w:val="21"/>
                    </w:rPr>
                    <w:t>有效高度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47467CAB">
                  <w:pPr>
                    <w:jc w:val="center"/>
                    <w:rPr>
                      <w:rFonts w:ascii="Times New Roman" w:hAnsi="Times New Roman" w:cs="Times New Roman"/>
                      <w:szCs w:val="21"/>
                    </w:rPr>
                  </w:pPr>
                  <w:r>
                    <w:rPr>
                      <w:rFonts w:ascii="Times New Roman" w:hAnsi="Times New Roman" w:eastAsia="宋体" w:cs="Times New Roman"/>
                      <w:szCs w:val="21"/>
                    </w:rPr>
                    <w:t>TSP</w:t>
                  </w:r>
                </w:p>
              </w:tc>
            </w:tr>
            <w:tr w14:paraId="1551CD1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Align w:val="center"/>
                </w:tcPr>
                <w:p w14:paraId="31F9808F">
                  <w:pPr>
                    <w:jc w:val="center"/>
                    <w:rPr>
                      <w:rFonts w:ascii="Times New Roman" w:hAnsi="Times New Roman" w:cs="Times New Roman"/>
                      <w:szCs w:val="21"/>
                    </w:rPr>
                  </w:pPr>
                  <w:r>
                    <w:rPr>
                      <w:rFonts w:ascii="Times New Roman" w:hAnsi="Times New Roman" w:eastAsia="宋体" w:cs="Times New Roman"/>
                      <w:szCs w:val="21"/>
                    </w:rPr>
                    <w:t>矩形面源</w:t>
                  </w:r>
                </w:p>
              </w:tc>
              <w:tc>
                <w:tcPr>
                  <w:tcW w:w="0" w:type="auto"/>
                  <w:vAlign w:val="center"/>
                </w:tcPr>
                <w:p w14:paraId="4BC5B19C">
                  <w:pPr>
                    <w:jc w:val="center"/>
                    <w:rPr>
                      <w:rFonts w:ascii="Times New Roman" w:hAnsi="Times New Roman" w:cs="Times New Roman"/>
                      <w:szCs w:val="21"/>
                    </w:rPr>
                  </w:pPr>
                  <w:r>
                    <w:rPr>
                      <w:rFonts w:ascii="Times New Roman" w:hAnsi="Times New Roman" w:eastAsia="宋体" w:cs="Times New Roman"/>
                      <w:szCs w:val="21"/>
                    </w:rPr>
                    <w:t>103.273278</w:t>
                  </w:r>
                </w:p>
              </w:tc>
              <w:tc>
                <w:tcPr>
                  <w:tcW w:w="0" w:type="auto"/>
                  <w:vAlign w:val="center"/>
                </w:tcPr>
                <w:p w14:paraId="7A3B8855">
                  <w:pPr>
                    <w:jc w:val="center"/>
                    <w:rPr>
                      <w:rFonts w:ascii="Times New Roman" w:hAnsi="Times New Roman" w:cs="Times New Roman"/>
                      <w:szCs w:val="21"/>
                    </w:rPr>
                  </w:pPr>
                  <w:r>
                    <w:rPr>
                      <w:rFonts w:ascii="Times New Roman" w:hAnsi="Times New Roman" w:eastAsia="宋体" w:cs="Times New Roman"/>
                      <w:szCs w:val="21"/>
                    </w:rPr>
                    <w:t>29.308022</w:t>
                  </w:r>
                </w:p>
              </w:tc>
              <w:tc>
                <w:tcPr>
                  <w:tcW w:w="0" w:type="auto"/>
                  <w:vAlign w:val="center"/>
                </w:tcPr>
                <w:p w14:paraId="58EA1CD7">
                  <w:pPr>
                    <w:jc w:val="center"/>
                    <w:rPr>
                      <w:rFonts w:ascii="Times New Roman" w:hAnsi="Times New Roman" w:cs="Times New Roman"/>
                      <w:szCs w:val="21"/>
                    </w:rPr>
                  </w:pPr>
                  <w:r>
                    <w:rPr>
                      <w:rFonts w:ascii="Times New Roman" w:hAnsi="Times New Roman" w:eastAsia="宋体" w:cs="Times New Roman"/>
                      <w:szCs w:val="21"/>
                    </w:rPr>
                    <w:t>878.00</w:t>
                  </w:r>
                </w:p>
              </w:tc>
              <w:tc>
                <w:tcPr>
                  <w:tcW w:w="0" w:type="auto"/>
                  <w:vAlign w:val="center"/>
                </w:tcPr>
                <w:p w14:paraId="2861369A">
                  <w:pPr>
                    <w:jc w:val="center"/>
                    <w:rPr>
                      <w:rFonts w:ascii="Times New Roman" w:hAnsi="Times New Roman" w:cs="Times New Roman"/>
                      <w:szCs w:val="21"/>
                    </w:rPr>
                  </w:pPr>
                  <w:r>
                    <w:rPr>
                      <w:rFonts w:ascii="Times New Roman" w:hAnsi="Times New Roman" w:eastAsia="宋体" w:cs="Times New Roman"/>
                      <w:szCs w:val="21"/>
                    </w:rPr>
                    <w:t>50.00</w:t>
                  </w:r>
                </w:p>
              </w:tc>
              <w:tc>
                <w:tcPr>
                  <w:tcW w:w="0" w:type="auto"/>
                  <w:vAlign w:val="center"/>
                </w:tcPr>
                <w:p w14:paraId="34788B43">
                  <w:pPr>
                    <w:jc w:val="center"/>
                    <w:rPr>
                      <w:rFonts w:ascii="Times New Roman" w:hAnsi="Times New Roman" w:cs="Times New Roman"/>
                      <w:szCs w:val="21"/>
                    </w:rPr>
                  </w:pPr>
                  <w:r>
                    <w:rPr>
                      <w:rFonts w:ascii="Times New Roman" w:hAnsi="Times New Roman" w:eastAsia="宋体" w:cs="Times New Roman"/>
                      <w:szCs w:val="21"/>
                    </w:rPr>
                    <w:t>60.00</w:t>
                  </w:r>
                </w:p>
              </w:tc>
              <w:tc>
                <w:tcPr>
                  <w:tcW w:w="0" w:type="auto"/>
                  <w:vAlign w:val="center"/>
                </w:tcPr>
                <w:p w14:paraId="0F83509A">
                  <w:pPr>
                    <w:jc w:val="center"/>
                    <w:rPr>
                      <w:rFonts w:ascii="Times New Roman" w:hAnsi="Times New Roman" w:cs="Times New Roman"/>
                      <w:szCs w:val="21"/>
                    </w:rPr>
                  </w:pPr>
                  <w:r>
                    <w:rPr>
                      <w:rFonts w:ascii="Times New Roman" w:hAnsi="Times New Roman" w:eastAsia="宋体" w:cs="Times New Roman"/>
                      <w:szCs w:val="21"/>
                    </w:rPr>
                    <w:t>10.00</w:t>
                  </w:r>
                </w:p>
              </w:tc>
              <w:tc>
                <w:tcPr>
                  <w:tcW w:w="0" w:type="auto"/>
                  <w:vAlign w:val="center"/>
                </w:tcPr>
                <w:p w14:paraId="3BB7CD75">
                  <w:pPr>
                    <w:jc w:val="center"/>
                    <w:rPr>
                      <w:rFonts w:ascii="Times New Roman" w:hAnsi="Times New Roman" w:cs="Times New Roman"/>
                      <w:szCs w:val="21"/>
                    </w:rPr>
                  </w:pPr>
                  <w:r>
                    <w:rPr>
                      <w:rFonts w:ascii="Times New Roman" w:hAnsi="Times New Roman" w:eastAsia="宋体" w:cs="Times New Roman"/>
                      <w:szCs w:val="21"/>
                    </w:rPr>
                    <w:t>0.1250</w:t>
                  </w:r>
                </w:p>
              </w:tc>
            </w:tr>
          </w:tbl>
          <w:p w14:paraId="7E366936">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（5）估算模式所用参数见表。</w:t>
            </w:r>
          </w:p>
          <w:p w14:paraId="086F25BF">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表7-7  估算模型参数表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761"/>
              <w:gridCol w:w="2761"/>
              <w:gridCol w:w="2760"/>
            </w:tblGrid>
            <w:tr w14:paraId="576967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2B07BDDF">
                  <w:pPr>
                    <w:jc w:val="center"/>
                    <w:rPr>
                      <w:rFonts w:ascii="Times New Roman" w:hAnsi="Times New Roman" w:eastAsia="宋体" w:cs="Times New Roman"/>
                      <w:szCs w:val="21"/>
                    </w:rPr>
                  </w:pPr>
                  <w:r>
                    <w:rPr>
                      <w:rFonts w:ascii="Times New Roman" w:hAnsi="Times New Roman" w:eastAsia="宋体" w:cs="Times New Roman"/>
                      <w:szCs w:val="21"/>
                    </w:rPr>
                    <w:t>参数</w:t>
                  </w:r>
                </w:p>
              </w:tc>
              <w:tc>
                <w:tcPr>
                  <w:tcW w:w="1666" w:type="pct"/>
                  <w:vAlign w:val="center"/>
                </w:tcPr>
                <w:p w14:paraId="630BD14D">
                  <w:pPr>
                    <w:jc w:val="center"/>
                    <w:rPr>
                      <w:rFonts w:ascii="Times New Roman" w:hAnsi="Times New Roman" w:eastAsia="宋体" w:cs="Times New Roman"/>
                      <w:szCs w:val="21"/>
                    </w:rPr>
                  </w:pPr>
                  <w:r>
                    <w:rPr>
                      <w:rFonts w:ascii="Times New Roman" w:hAnsi="Times New Roman" w:eastAsia="宋体" w:cs="Times New Roman"/>
                      <w:szCs w:val="21"/>
                    </w:rPr>
                    <w:t>取值</w:t>
                  </w:r>
                </w:p>
              </w:tc>
            </w:tr>
            <w:tr w14:paraId="160DB80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01A6A6B3">
                  <w:pPr>
                    <w:jc w:val="center"/>
                    <w:rPr>
                      <w:rFonts w:ascii="Times New Roman" w:hAnsi="Times New Roman" w:eastAsia="宋体" w:cs="Times New Roman"/>
                      <w:szCs w:val="21"/>
                    </w:rPr>
                  </w:pPr>
                  <w:r>
                    <w:rPr>
                      <w:rFonts w:ascii="Times New Roman" w:hAnsi="Times New Roman" w:eastAsia="宋体" w:cs="Times New Roman"/>
                      <w:szCs w:val="21"/>
                    </w:rPr>
                    <w:t>城市/农村选项</w:t>
                  </w:r>
                </w:p>
              </w:tc>
              <w:tc>
                <w:tcPr>
                  <w:tcW w:w="1666" w:type="pct"/>
                  <w:vAlign w:val="center"/>
                </w:tcPr>
                <w:p w14:paraId="7155D39A">
                  <w:pPr>
                    <w:jc w:val="center"/>
                    <w:rPr>
                      <w:rFonts w:ascii="Times New Roman" w:hAnsi="Times New Roman" w:eastAsia="宋体" w:cs="Times New Roman"/>
                      <w:szCs w:val="21"/>
                    </w:rPr>
                  </w:pPr>
                  <w:r>
                    <w:rPr>
                      <w:rFonts w:ascii="Times New Roman" w:hAnsi="Times New Roman" w:eastAsia="宋体" w:cs="Times New Roman"/>
                      <w:szCs w:val="21"/>
                    </w:rPr>
                    <w:t>城市/农村</w:t>
                  </w:r>
                </w:p>
              </w:tc>
              <w:tc>
                <w:tcPr>
                  <w:tcW w:w="1666" w:type="pct"/>
                  <w:vAlign w:val="center"/>
                </w:tcPr>
                <w:p w14:paraId="04A3AC18">
                  <w:pPr>
                    <w:jc w:val="center"/>
                    <w:rPr>
                      <w:rFonts w:ascii="Times New Roman" w:hAnsi="Times New Roman" w:eastAsia="宋体" w:cs="Times New Roman"/>
                      <w:szCs w:val="21"/>
                    </w:rPr>
                  </w:pPr>
                  <w:r>
                    <w:rPr>
                      <w:rFonts w:ascii="Times New Roman" w:hAnsi="Times New Roman" w:eastAsia="宋体" w:cs="Times New Roman"/>
                      <w:szCs w:val="21"/>
                    </w:rPr>
                    <w:t>农村</w:t>
                  </w:r>
                </w:p>
              </w:tc>
            </w:tr>
            <w:tr w14:paraId="64AB25D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275913C6">
                  <w:pPr>
                    <w:jc w:val="center"/>
                    <w:rPr>
                      <w:rFonts w:ascii="Times New Roman" w:hAnsi="Times New Roman" w:eastAsia="宋体" w:cs="Times New Roman"/>
                      <w:szCs w:val="21"/>
                    </w:rPr>
                  </w:pPr>
                </w:p>
              </w:tc>
              <w:tc>
                <w:tcPr>
                  <w:tcW w:w="1666" w:type="pct"/>
                  <w:vAlign w:val="center"/>
                </w:tcPr>
                <w:p w14:paraId="1F584DC0">
                  <w:pPr>
                    <w:jc w:val="center"/>
                    <w:rPr>
                      <w:rFonts w:ascii="Times New Roman" w:hAnsi="Times New Roman" w:eastAsia="宋体" w:cs="Times New Roman"/>
                      <w:szCs w:val="21"/>
                    </w:rPr>
                  </w:pPr>
                  <w:r>
                    <w:rPr>
                      <w:rFonts w:ascii="Times New Roman" w:hAnsi="Times New Roman" w:eastAsia="宋体" w:cs="Times New Roman"/>
                      <w:szCs w:val="21"/>
                    </w:rPr>
                    <w:t>人口数</w:t>
                  </w:r>
                  <w:r>
                    <w:rPr>
                      <w:rFonts w:hint="eastAsia" w:ascii="Times New Roman" w:hAnsi="Times New Roman" w:eastAsia="宋体" w:cs="Times New Roman"/>
                      <w:szCs w:val="21"/>
                      <w:lang w:eastAsia="zh-CN"/>
                    </w:rPr>
                    <w:t>（</w:t>
                  </w:r>
                  <w:r>
                    <w:rPr>
                      <w:rFonts w:ascii="Times New Roman" w:hAnsi="Times New Roman" w:eastAsia="宋体" w:cs="Times New Roman"/>
                      <w:szCs w:val="21"/>
                    </w:rPr>
                    <w:t>城市人口数</w:t>
                  </w:r>
                  <w:r>
                    <w:rPr>
                      <w:rFonts w:hint="eastAsia" w:ascii="Times New Roman" w:hAnsi="Times New Roman" w:eastAsia="宋体" w:cs="Times New Roman"/>
                      <w:szCs w:val="21"/>
                      <w:lang w:eastAsia="zh-CN"/>
                    </w:rPr>
                    <w:t>）</w:t>
                  </w:r>
                </w:p>
              </w:tc>
              <w:tc>
                <w:tcPr>
                  <w:tcW w:w="1666" w:type="pct"/>
                  <w:vAlign w:val="center"/>
                </w:tcPr>
                <w:p w14:paraId="19AB88C8">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2F9F201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14D68F81">
                  <w:pPr>
                    <w:jc w:val="center"/>
                    <w:rPr>
                      <w:rFonts w:ascii="Times New Roman" w:hAnsi="Times New Roman" w:eastAsia="宋体" w:cs="Times New Roman"/>
                      <w:szCs w:val="21"/>
                    </w:rPr>
                  </w:pPr>
                  <w:r>
                    <w:rPr>
                      <w:rFonts w:ascii="Times New Roman" w:hAnsi="Times New Roman" w:eastAsia="宋体" w:cs="Times New Roman"/>
                      <w:szCs w:val="21"/>
                    </w:rPr>
                    <w:t>最高环境温度</w:t>
                  </w:r>
                </w:p>
              </w:tc>
              <w:tc>
                <w:tcPr>
                  <w:tcW w:w="1666" w:type="pct"/>
                  <w:vAlign w:val="center"/>
                </w:tcPr>
                <w:p w14:paraId="064C13C5">
                  <w:pPr>
                    <w:jc w:val="center"/>
                    <w:rPr>
                      <w:rFonts w:ascii="Times New Roman" w:hAnsi="Times New Roman" w:eastAsia="宋体" w:cs="Times New Roman"/>
                      <w:szCs w:val="21"/>
                    </w:rPr>
                  </w:pPr>
                  <w:r>
                    <w:rPr>
                      <w:rFonts w:ascii="Times New Roman" w:hAnsi="Times New Roman" w:eastAsia="宋体" w:cs="Times New Roman"/>
                      <w:szCs w:val="21"/>
                    </w:rPr>
                    <w:t>23.9</w:t>
                  </w:r>
                </w:p>
              </w:tc>
            </w:tr>
            <w:tr w14:paraId="05AEC40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069FF78B">
                  <w:pPr>
                    <w:jc w:val="center"/>
                    <w:rPr>
                      <w:rFonts w:ascii="Times New Roman" w:hAnsi="Times New Roman" w:eastAsia="宋体" w:cs="Times New Roman"/>
                      <w:szCs w:val="21"/>
                    </w:rPr>
                  </w:pPr>
                  <w:r>
                    <w:rPr>
                      <w:rFonts w:ascii="Times New Roman" w:hAnsi="Times New Roman" w:eastAsia="宋体" w:cs="Times New Roman"/>
                      <w:szCs w:val="21"/>
                    </w:rPr>
                    <w:t>最低环境温度</w:t>
                  </w:r>
                </w:p>
              </w:tc>
              <w:tc>
                <w:tcPr>
                  <w:tcW w:w="1666" w:type="pct"/>
                  <w:vAlign w:val="center"/>
                </w:tcPr>
                <w:p w14:paraId="41E83E67">
                  <w:pPr>
                    <w:jc w:val="center"/>
                    <w:rPr>
                      <w:rFonts w:ascii="Times New Roman" w:hAnsi="Times New Roman" w:eastAsia="宋体" w:cs="Times New Roman"/>
                      <w:szCs w:val="21"/>
                    </w:rPr>
                  </w:pPr>
                  <w:r>
                    <w:rPr>
                      <w:rFonts w:ascii="Times New Roman" w:hAnsi="Times New Roman" w:eastAsia="宋体" w:cs="Times New Roman"/>
                      <w:szCs w:val="21"/>
                    </w:rPr>
                    <w:t>-20.9</w:t>
                  </w:r>
                </w:p>
              </w:tc>
            </w:tr>
            <w:tr w14:paraId="0131D97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1CA2BC0D">
                  <w:pPr>
                    <w:jc w:val="center"/>
                    <w:rPr>
                      <w:rFonts w:ascii="Times New Roman" w:hAnsi="Times New Roman" w:eastAsia="宋体" w:cs="Times New Roman"/>
                      <w:szCs w:val="21"/>
                    </w:rPr>
                  </w:pPr>
                  <w:r>
                    <w:rPr>
                      <w:rFonts w:ascii="Times New Roman" w:hAnsi="Times New Roman" w:eastAsia="宋体" w:cs="Times New Roman"/>
                      <w:szCs w:val="21"/>
                    </w:rPr>
                    <w:t>土地利用类型</w:t>
                  </w:r>
                </w:p>
              </w:tc>
              <w:tc>
                <w:tcPr>
                  <w:tcW w:w="1666" w:type="pct"/>
                  <w:vAlign w:val="center"/>
                </w:tcPr>
                <w:p w14:paraId="2A14F619">
                  <w:pPr>
                    <w:jc w:val="center"/>
                    <w:rPr>
                      <w:rFonts w:ascii="Times New Roman" w:hAnsi="Times New Roman" w:eastAsia="宋体" w:cs="Times New Roman"/>
                      <w:szCs w:val="21"/>
                    </w:rPr>
                  </w:pPr>
                  <w:r>
                    <w:rPr>
                      <w:rFonts w:hint="eastAsia" w:ascii="Times New Roman" w:hAnsi="Times New Roman" w:eastAsia="宋体" w:cs="Times New Roman"/>
                      <w:szCs w:val="21"/>
                    </w:rPr>
                    <w:t>城市</w:t>
                  </w:r>
                </w:p>
              </w:tc>
            </w:tr>
            <w:tr w14:paraId="696C5A0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7070E03B">
                  <w:pPr>
                    <w:jc w:val="center"/>
                    <w:rPr>
                      <w:rFonts w:ascii="Times New Roman" w:hAnsi="Times New Roman" w:eastAsia="宋体" w:cs="Times New Roman"/>
                      <w:szCs w:val="21"/>
                    </w:rPr>
                  </w:pPr>
                  <w:r>
                    <w:rPr>
                      <w:rFonts w:ascii="Times New Roman" w:hAnsi="Times New Roman" w:eastAsia="宋体" w:cs="Times New Roman"/>
                      <w:szCs w:val="21"/>
                    </w:rPr>
                    <w:t>区域湿度条件</w:t>
                  </w:r>
                </w:p>
              </w:tc>
              <w:tc>
                <w:tcPr>
                  <w:tcW w:w="1666" w:type="pct"/>
                  <w:vAlign w:val="center"/>
                </w:tcPr>
                <w:p w14:paraId="35571924">
                  <w:pPr>
                    <w:jc w:val="center"/>
                    <w:rPr>
                      <w:rFonts w:ascii="Times New Roman" w:hAnsi="Times New Roman" w:eastAsia="宋体" w:cs="Times New Roman"/>
                      <w:szCs w:val="21"/>
                    </w:rPr>
                  </w:pPr>
                  <w:r>
                    <w:rPr>
                      <w:rFonts w:ascii="Times New Roman" w:hAnsi="Times New Roman" w:eastAsia="宋体" w:cs="Times New Roman"/>
                      <w:szCs w:val="21"/>
                    </w:rPr>
                    <w:t>潮湿</w:t>
                  </w:r>
                </w:p>
              </w:tc>
            </w:tr>
            <w:tr w14:paraId="61F03AA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7CC7E56F">
                  <w:pPr>
                    <w:jc w:val="center"/>
                    <w:rPr>
                      <w:rFonts w:ascii="Times New Roman" w:hAnsi="Times New Roman" w:eastAsia="宋体" w:cs="Times New Roman"/>
                      <w:szCs w:val="21"/>
                    </w:rPr>
                  </w:pPr>
                  <w:r>
                    <w:rPr>
                      <w:rFonts w:ascii="Times New Roman" w:hAnsi="Times New Roman" w:eastAsia="宋体" w:cs="Times New Roman"/>
                      <w:szCs w:val="21"/>
                    </w:rPr>
                    <w:t>是否考虑地形</w:t>
                  </w:r>
                </w:p>
              </w:tc>
              <w:tc>
                <w:tcPr>
                  <w:tcW w:w="1666" w:type="pct"/>
                  <w:vAlign w:val="center"/>
                </w:tcPr>
                <w:p w14:paraId="1BB9DA6C">
                  <w:pPr>
                    <w:jc w:val="center"/>
                    <w:rPr>
                      <w:rFonts w:ascii="Times New Roman" w:hAnsi="Times New Roman" w:eastAsia="宋体" w:cs="Times New Roman"/>
                      <w:szCs w:val="21"/>
                    </w:rPr>
                  </w:pPr>
                  <w:r>
                    <w:rPr>
                      <w:rFonts w:ascii="Times New Roman" w:hAnsi="Times New Roman" w:eastAsia="宋体" w:cs="Times New Roman"/>
                      <w:szCs w:val="21"/>
                    </w:rPr>
                    <w:t>考虑地形</w:t>
                  </w:r>
                </w:p>
              </w:tc>
              <w:tc>
                <w:tcPr>
                  <w:tcW w:w="1666" w:type="pct"/>
                  <w:vAlign w:val="center"/>
                </w:tcPr>
                <w:p w14:paraId="43FD27E4">
                  <w:pPr>
                    <w:jc w:val="center"/>
                    <w:rPr>
                      <w:rFonts w:ascii="Times New Roman" w:hAnsi="Times New Roman" w:eastAsia="宋体" w:cs="Times New Roman"/>
                      <w:szCs w:val="21"/>
                    </w:rPr>
                  </w:pPr>
                  <w:r>
                    <w:rPr>
                      <w:rFonts w:ascii="Times New Roman" w:hAnsi="Times New Roman" w:eastAsia="宋体" w:cs="Times New Roman"/>
                      <w:szCs w:val="21"/>
                    </w:rPr>
                    <w:t>是</w:t>
                  </w:r>
                </w:p>
              </w:tc>
            </w:tr>
            <w:tr w14:paraId="59D4B18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580811C8">
                  <w:pPr>
                    <w:jc w:val="center"/>
                    <w:rPr>
                      <w:rFonts w:ascii="Times New Roman" w:hAnsi="Times New Roman" w:eastAsia="宋体" w:cs="Times New Roman"/>
                      <w:szCs w:val="21"/>
                    </w:rPr>
                  </w:pPr>
                </w:p>
              </w:tc>
              <w:tc>
                <w:tcPr>
                  <w:tcW w:w="1666" w:type="pct"/>
                  <w:vAlign w:val="center"/>
                </w:tcPr>
                <w:p w14:paraId="489F0710">
                  <w:pPr>
                    <w:jc w:val="center"/>
                    <w:rPr>
                      <w:rFonts w:ascii="Times New Roman" w:hAnsi="Times New Roman" w:eastAsia="宋体" w:cs="Times New Roman"/>
                      <w:szCs w:val="21"/>
                    </w:rPr>
                  </w:pPr>
                  <w:r>
                    <w:rPr>
                      <w:rFonts w:ascii="Times New Roman" w:hAnsi="Times New Roman" w:eastAsia="宋体" w:cs="Times New Roman"/>
                      <w:szCs w:val="21"/>
                    </w:rPr>
                    <w:t>地形数据分辨率</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1666" w:type="pct"/>
                  <w:vAlign w:val="center"/>
                </w:tcPr>
                <w:p w14:paraId="17DECFC0">
                  <w:pPr>
                    <w:jc w:val="center"/>
                    <w:rPr>
                      <w:rFonts w:ascii="Times New Roman" w:hAnsi="Times New Roman" w:eastAsia="宋体" w:cs="Times New Roman"/>
                      <w:szCs w:val="21"/>
                    </w:rPr>
                  </w:pPr>
                  <w:r>
                    <w:rPr>
                      <w:rFonts w:ascii="Times New Roman" w:hAnsi="Times New Roman" w:eastAsia="宋体" w:cs="Times New Roman"/>
                      <w:szCs w:val="21"/>
                    </w:rPr>
                    <w:t>90</w:t>
                  </w:r>
                </w:p>
              </w:tc>
            </w:tr>
            <w:tr w14:paraId="731BFB3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4FAC158F">
                  <w:pPr>
                    <w:jc w:val="center"/>
                    <w:rPr>
                      <w:rFonts w:ascii="Times New Roman" w:hAnsi="Times New Roman" w:eastAsia="宋体" w:cs="Times New Roman"/>
                      <w:szCs w:val="21"/>
                    </w:rPr>
                  </w:pPr>
                  <w:r>
                    <w:rPr>
                      <w:rFonts w:ascii="Times New Roman" w:hAnsi="Times New Roman" w:eastAsia="宋体" w:cs="Times New Roman"/>
                      <w:szCs w:val="21"/>
                    </w:rPr>
                    <w:t>是否考虑岸线熏烟</w:t>
                  </w:r>
                </w:p>
              </w:tc>
              <w:tc>
                <w:tcPr>
                  <w:tcW w:w="1666" w:type="pct"/>
                  <w:vAlign w:val="center"/>
                </w:tcPr>
                <w:p w14:paraId="17C3F6A7">
                  <w:pPr>
                    <w:jc w:val="center"/>
                    <w:rPr>
                      <w:rFonts w:ascii="Times New Roman" w:hAnsi="Times New Roman" w:eastAsia="宋体" w:cs="Times New Roman"/>
                      <w:szCs w:val="21"/>
                    </w:rPr>
                  </w:pPr>
                  <w:r>
                    <w:rPr>
                      <w:rFonts w:ascii="Times New Roman" w:hAnsi="Times New Roman" w:eastAsia="宋体" w:cs="Times New Roman"/>
                      <w:szCs w:val="21"/>
                    </w:rPr>
                    <w:t>考虑岸线熏烟</w:t>
                  </w:r>
                </w:p>
              </w:tc>
              <w:tc>
                <w:tcPr>
                  <w:tcW w:w="1666" w:type="pct"/>
                  <w:vAlign w:val="center"/>
                </w:tcPr>
                <w:p w14:paraId="53DA2721">
                  <w:pPr>
                    <w:jc w:val="center"/>
                    <w:rPr>
                      <w:rFonts w:ascii="Times New Roman" w:hAnsi="Times New Roman" w:eastAsia="宋体" w:cs="Times New Roman"/>
                      <w:szCs w:val="21"/>
                    </w:rPr>
                  </w:pPr>
                  <w:r>
                    <w:rPr>
                      <w:rFonts w:ascii="Times New Roman" w:hAnsi="Times New Roman" w:eastAsia="宋体" w:cs="Times New Roman"/>
                      <w:szCs w:val="21"/>
                    </w:rPr>
                    <w:t>否</w:t>
                  </w:r>
                </w:p>
              </w:tc>
            </w:tr>
            <w:tr w14:paraId="74502A6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13828D0F">
                  <w:pPr>
                    <w:jc w:val="center"/>
                    <w:rPr>
                      <w:rFonts w:ascii="Times New Roman" w:hAnsi="Times New Roman" w:eastAsia="宋体" w:cs="Times New Roman"/>
                      <w:szCs w:val="21"/>
                    </w:rPr>
                  </w:pPr>
                </w:p>
              </w:tc>
              <w:tc>
                <w:tcPr>
                  <w:tcW w:w="1666" w:type="pct"/>
                  <w:vAlign w:val="center"/>
                </w:tcPr>
                <w:p w14:paraId="126A44F4">
                  <w:pPr>
                    <w:jc w:val="center"/>
                    <w:rPr>
                      <w:rFonts w:ascii="Times New Roman" w:hAnsi="Times New Roman" w:eastAsia="宋体" w:cs="Times New Roman"/>
                      <w:szCs w:val="21"/>
                    </w:rPr>
                  </w:pPr>
                  <w:r>
                    <w:rPr>
                      <w:rFonts w:ascii="Times New Roman" w:hAnsi="Times New Roman" w:eastAsia="宋体" w:cs="Times New Roman"/>
                      <w:szCs w:val="21"/>
                    </w:rPr>
                    <w:t>岸线距离/m</w:t>
                  </w:r>
                </w:p>
              </w:tc>
              <w:tc>
                <w:tcPr>
                  <w:tcW w:w="1666" w:type="pct"/>
                  <w:vAlign w:val="center"/>
                </w:tcPr>
                <w:p w14:paraId="11E40994">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5BA269C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4278E2F4">
                  <w:pPr>
                    <w:jc w:val="center"/>
                    <w:rPr>
                      <w:rFonts w:ascii="Times New Roman" w:hAnsi="Times New Roman" w:eastAsia="宋体" w:cs="Times New Roman"/>
                      <w:szCs w:val="21"/>
                    </w:rPr>
                  </w:pPr>
                </w:p>
              </w:tc>
              <w:tc>
                <w:tcPr>
                  <w:tcW w:w="1666" w:type="pct"/>
                  <w:vAlign w:val="center"/>
                </w:tcPr>
                <w:p w14:paraId="32A78395">
                  <w:pPr>
                    <w:jc w:val="center"/>
                    <w:rPr>
                      <w:rFonts w:ascii="Times New Roman" w:hAnsi="Times New Roman" w:eastAsia="宋体" w:cs="Times New Roman"/>
                      <w:szCs w:val="21"/>
                    </w:rPr>
                  </w:pPr>
                  <w:r>
                    <w:rPr>
                      <w:rFonts w:ascii="Times New Roman" w:hAnsi="Times New Roman" w:eastAsia="宋体" w:cs="Times New Roman"/>
                      <w:szCs w:val="21"/>
                    </w:rPr>
                    <w:t>岸线方向/°</w:t>
                  </w:r>
                </w:p>
              </w:tc>
              <w:tc>
                <w:tcPr>
                  <w:tcW w:w="1666" w:type="pct"/>
                  <w:vAlign w:val="center"/>
                </w:tcPr>
                <w:p w14:paraId="5F6FB5E8">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00C02793">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（6）评级工作等级确定</w:t>
            </w:r>
          </w:p>
          <w:p w14:paraId="66BADBB0">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本项目所有污染源的正常排放的污染物的P</w:t>
            </w:r>
            <w:r>
              <w:rPr>
                <w:rFonts w:ascii="Times New Roman" w:hAnsi="Times New Roman" w:eastAsia="宋体" w:cs="Times New Roman"/>
                <w:sz w:val="24"/>
                <w:vertAlign w:val="subscript"/>
              </w:rPr>
              <w:t>max</w:t>
            </w:r>
            <w:r>
              <w:rPr>
                <w:rFonts w:ascii="Times New Roman" w:hAnsi="Times New Roman" w:eastAsia="宋体" w:cs="Times New Roman"/>
                <w:sz w:val="24"/>
              </w:rPr>
              <w:t>和D</w:t>
            </w:r>
            <w:r>
              <w:rPr>
                <w:rFonts w:ascii="Times New Roman" w:hAnsi="Times New Roman" w:eastAsia="宋体" w:cs="Times New Roman"/>
                <w:sz w:val="24"/>
                <w:vertAlign w:val="subscript"/>
              </w:rPr>
              <w:t>10%</w:t>
            </w:r>
            <w:r>
              <w:rPr>
                <w:rFonts w:ascii="Times New Roman" w:hAnsi="Times New Roman" w:eastAsia="宋体" w:cs="Times New Roman"/>
                <w:sz w:val="24"/>
              </w:rPr>
              <w:t>预测结果如下：</w:t>
            </w:r>
          </w:p>
          <w:p w14:paraId="298ACC00">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表7-8  P</w:t>
            </w:r>
            <w:r>
              <w:rPr>
                <w:rFonts w:ascii="Times New Roman" w:hAnsi="Times New Roman" w:eastAsia="宋体" w:cs="Times New Roman"/>
                <w:bCs/>
                <w:sz w:val="24"/>
                <w:vertAlign w:val="subscript"/>
              </w:rPr>
              <w:t>max</w:t>
            </w:r>
            <w:r>
              <w:rPr>
                <w:rFonts w:ascii="Times New Roman" w:hAnsi="Times New Roman" w:eastAsia="宋体" w:cs="Times New Roman"/>
                <w:bCs/>
                <w:sz w:val="24"/>
              </w:rPr>
              <w:t>和D1</w:t>
            </w:r>
            <w:r>
              <w:rPr>
                <w:rFonts w:ascii="Times New Roman" w:hAnsi="Times New Roman" w:eastAsia="宋体" w:cs="Times New Roman"/>
                <w:bCs/>
                <w:sz w:val="24"/>
                <w:vertAlign w:val="subscript"/>
              </w:rPr>
              <w:t>0%</w:t>
            </w:r>
            <w:r>
              <w:rPr>
                <w:rFonts w:ascii="Times New Roman" w:hAnsi="Times New Roman" w:eastAsia="宋体" w:cs="Times New Roman"/>
                <w:bCs/>
                <w:sz w:val="24"/>
              </w:rPr>
              <w:t>预测和计算结果一览表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375"/>
              <w:gridCol w:w="1149"/>
              <w:gridCol w:w="2063"/>
              <w:gridCol w:w="1606"/>
              <w:gridCol w:w="1033"/>
              <w:gridCol w:w="1056"/>
            </w:tblGrid>
            <w:tr w14:paraId="03D0F20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4CC0F1DE">
                  <w:pPr>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694" w:type="pct"/>
                  <w:vAlign w:val="center"/>
                </w:tcPr>
                <w:p w14:paraId="210BB1A2">
                  <w:pPr>
                    <w:jc w:val="center"/>
                    <w:rPr>
                      <w:rFonts w:ascii="Times New Roman" w:hAnsi="Times New Roman" w:eastAsia="宋体" w:cs="Times New Roman"/>
                      <w:szCs w:val="21"/>
                    </w:rPr>
                  </w:pPr>
                  <w:r>
                    <w:rPr>
                      <w:rFonts w:ascii="Times New Roman" w:hAnsi="Times New Roman" w:eastAsia="宋体" w:cs="Times New Roman"/>
                      <w:szCs w:val="21"/>
                    </w:rPr>
                    <w:t>评价因子</w:t>
                  </w:r>
                </w:p>
              </w:tc>
              <w:tc>
                <w:tcPr>
                  <w:tcW w:w="1246" w:type="pct"/>
                  <w:vAlign w:val="center"/>
                </w:tcPr>
                <w:p w14:paraId="58AA617A">
                  <w:pPr>
                    <w:jc w:val="center"/>
                    <w:rPr>
                      <w:rFonts w:ascii="Times New Roman" w:hAnsi="Times New Roman" w:eastAsia="宋体" w:cs="Times New Roman"/>
                      <w:szCs w:val="21"/>
                    </w:rPr>
                  </w:pPr>
                  <w:r>
                    <w:rPr>
                      <w:rFonts w:ascii="Times New Roman" w:hAnsi="Times New Roman" w:eastAsia="宋体" w:cs="Times New Roman"/>
                      <w:szCs w:val="21"/>
                    </w:rPr>
                    <w:t>评价标准</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970" w:type="pct"/>
                  <w:vAlign w:val="center"/>
                </w:tcPr>
                <w:p w14:paraId="1B6A660E">
                  <w:pPr>
                    <w:jc w:val="center"/>
                    <w:rPr>
                      <w:rFonts w:ascii="Times New Roman" w:hAnsi="Times New Roman" w:eastAsia="宋体" w:cs="Times New Roman"/>
                      <w:szCs w:val="21"/>
                    </w:rPr>
                  </w:pPr>
                  <w:r>
                    <w:rPr>
                      <w:rFonts w:ascii="Times New Roman" w:hAnsi="Times New Roman" w:eastAsia="宋体" w:cs="Times New Roman"/>
                      <w:szCs w:val="21"/>
                    </w:rPr>
                    <w:t>Cmax(μg/m³)</w:t>
                  </w:r>
                </w:p>
              </w:tc>
              <w:tc>
                <w:tcPr>
                  <w:tcW w:w="624" w:type="pct"/>
                  <w:vAlign w:val="center"/>
                </w:tcPr>
                <w:p w14:paraId="5BD9EDAB">
                  <w:pPr>
                    <w:jc w:val="center"/>
                    <w:rPr>
                      <w:rFonts w:ascii="Times New Roman" w:hAnsi="Times New Roman" w:eastAsia="宋体" w:cs="Times New Roman"/>
                      <w:szCs w:val="21"/>
                    </w:rPr>
                  </w:pPr>
                  <w:r>
                    <w:rPr>
                      <w:rFonts w:ascii="Times New Roman" w:hAnsi="Times New Roman" w:eastAsia="宋体" w:cs="Times New Roman"/>
                      <w:szCs w:val="21"/>
                    </w:rPr>
                    <w:t>Pmax(%)</w:t>
                  </w:r>
                </w:p>
              </w:tc>
              <w:tc>
                <w:tcPr>
                  <w:tcW w:w="635" w:type="pct"/>
                  <w:vAlign w:val="center"/>
                </w:tcPr>
                <w:p w14:paraId="527F9701">
                  <w:pPr>
                    <w:jc w:val="center"/>
                    <w:rPr>
                      <w:rFonts w:ascii="Times New Roman" w:hAnsi="Times New Roman" w:eastAsia="宋体" w:cs="Times New Roman"/>
                      <w:szCs w:val="21"/>
                    </w:rPr>
                  </w:pPr>
                  <w:r>
                    <w:rPr>
                      <w:rFonts w:ascii="Times New Roman" w:hAnsi="Times New Roman" w:eastAsia="宋体" w:cs="Times New Roman"/>
                      <w:szCs w:val="21"/>
                    </w:rPr>
                    <w:t>D10%(m)</w:t>
                  </w:r>
                </w:p>
              </w:tc>
            </w:tr>
            <w:tr w14:paraId="6DE8687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01E2E41F">
                  <w:pPr>
                    <w:jc w:val="center"/>
                    <w:rPr>
                      <w:rFonts w:ascii="Times New Roman" w:hAnsi="Times New Roman" w:eastAsia="宋体" w:cs="Times New Roman"/>
                      <w:szCs w:val="21"/>
                    </w:rPr>
                  </w:pPr>
                  <w:r>
                    <w:rPr>
                      <w:rFonts w:ascii="Times New Roman" w:hAnsi="Times New Roman" w:eastAsia="宋体" w:cs="Times New Roman"/>
                      <w:szCs w:val="21"/>
                    </w:rPr>
                    <w:t>矩形面源</w:t>
                  </w:r>
                </w:p>
              </w:tc>
              <w:tc>
                <w:tcPr>
                  <w:tcW w:w="694" w:type="pct"/>
                  <w:vAlign w:val="center"/>
                </w:tcPr>
                <w:p w14:paraId="7856355A">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246" w:type="pct"/>
                  <w:vAlign w:val="center"/>
                </w:tcPr>
                <w:p w14:paraId="1E49B177">
                  <w:pPr>
                    <w:jc w:val="center"/>
                    <w:rPr>
                      <w:rFonts w:ascii="Times New Roman" w:hAnsi="Times New Roman" w:eastAsia="宋体" w:cs="Times New Roman"/>
                      <w:szCs w:val="21"/>
                    </w:rPr>
                  </w:pPr>
                  <w:r>
                    <w:rPr>
                      <w:rFonts w:ascii="Times New Roman" w:hAnsi="Times New Roman" w:eastAsia="宋体" w:cs="Times New Roman"/>
                      <w:szCs w:val="21"/>
                    </w:rPr>
                    <w:t>900.0</w:t>
                  </w:r>
                </w:p>
              </w:tc>
              <w:tc>
                <w:tcPr>
                  <w:tcW w:w="970" w:type="pct"/>
                  <w:vAlign w:val="center"/>
                </w:tcPr>
                <w:p w14:paraId="0C29DEB3">
                  <w:pPr>
                    <w:jc w:val="center"/>
                    <w:rPr>
                      <w:rFonts w:ascii="Times New Roman" w:hAnsi="Times New Roman" w:eastAsia="宋体" w:cs="Times New Roman"/>
                      <w:szCs w:val="21"/>
                    </w:rPr>
                  </w:pPr>
                  <w:r>
                    <w:rPr>
                      <w:rFonts w:ascii="Times New Roman" w:hAnsi="Times New Roman" w:eastAsia="宋体" w:cs="Times New Roman"/>
                      <w:szCs w:val="21"/>
                    </w:rPr>
                    <w:t>82.5320</w:t>
                  </w:r>
                </w:p>
              </w:tc>
              <w:tc>
                <w:tcPr>
                  <w:tcW w:w="624" w:type="pct"/>
                  <w:vAlign w:val="center"/>
                </w:tcPr>
                <w:p w14:paraId="3D5142E8">
                  <w:pPr>
                    <w:jc w:val="center"/>
                    <w:rPr>
                      <w:rFonts w:ascii="Times New Roman" w:hAnsi="Times New Roman" w:eastAsia="宋体" w:cs="Times New Roman"/>
                      <w:szCs w:val="21"/>
                    </w:rPr>
                  </w:pPr>
                  <w:r>
                    <w:rPr>
                      <w:rFonts w:ascii="Times New Roman" w:hAnsi="Times New Roman" w:eastAsia="宋体" w:cs="Times New Roman"/>
                      <w:szCs w:val="21"/>
                    </w:rPr>
                    <w:t>9.1702</w:t>
                  </w:r>
                </w:p>
              </w:tc>
              <w:tc>
                <w:tcPr>
                  <w:tcW w:w="635" w:type="pct"/>
                  <w:vAlign w:val="center"/>
                </w:tcPr>
                <w:p w14:paraId="71809BDD">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052F5D2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07FC8EC0">
                  <w:pPr>
                    <w:jc w:val="center"/>
                    <w:rPr>
                      <w:rFonts w:ascii="Times New Roman" w:hAnsi="Times New Roman" w:eastAsia="宋体" w:cs="Times New Roman"/>
                      <w:szCs w:val="21"/>
                    </w:rPr>
                  </w:pPr>
                  <w:r>
                    <w:rPr>
                      <w:rFonts w:ascii="Times New Roman" w:hAnsi="Times New Roman" w:eastAsia="宋体" w:cs="Times New Roman"/>
                      <w:szCs w:val="21"/>
                    </w:rPr>
                    <w:t>15m排气筒</w:t>
                  </w:r>
                </w:p>
              </w:tc>
              <w:tc>
                <w:tcPr>
                  <w:tcW w:w="694" w:type="pct"/>
                  <w:vAlign w:val="center"/>
                </w:tcPr>
                <w:p w14:paraId="7EFD166A">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246" w:type="pct"/>
                  <w:vAlign w:val="center"/>
                </w:tcPr>
                <w:p w14:paraId="4E51E954">
                  <w:pPr>
                    <w:jc w:val="center"/>
                    <w:rPr>
                      <w:rFonts w:ascii="Times New Roman" w:hAnsi="Times New Roman" w:eastAsia="宋体" w:cs="Times New Roman"/>
                      <w:szCs w:val="21"/>
                    </w:rPr>
                  </w:pPr>
                  <w:r>
                    <w:rPr>
                      <w:rFonts w:ascii="Times New Roman" w:hAnsi="Times New Roman" w:eastAsia="宋体" w:cs="Times New Roman"/>
                      <w:szCs w:val="21"/>
                    </w:rPr>
                    <w:t>900.0</w:t>
                  </w:r>
                </w:p>
              </w:tc>
              <w:tc>
                <w:tcPr>
                  <w:tcW w:w="970" w:type="pct"/>
                  <w:vAlign w:val="center"/>
                </w:tcPr>
                <w:p w14:paraId="37710911">
                  <w:pPr>
                    <w:jc w:val="center"/>
                    <w:rPr>
                      <w:rFonts w:ascii="Times New Roman" w:hAnsi="Times New Roman" w:eastAsia="宋体" w:cs="Times New Roman"/>
                      <w:szCs w:val="21"/>
                    </w:rPr>
                  </w:pPr>
                  <w:r>
                    <w:rPr>
                      <w:rFonts w:ascii="Times New Roman" w:hAnsi="Times New Roman" w:eastAsia="宋体" w:cs="Times New Roman"/>
                      <w:szCs w:val="21"/>
                    </w:rPr>
                    <w:t>32.1710</w:t>
                  </w:r>
                </w:p>
              </w:tc>
              <w:tc>
                <w:tcPr>
                  <w:tcW w:w="624" w:type="pct"/>
                  <w:vAlign w:val="center"/>
                </w:tcPr>
                <w:p w14:paraId="0675AAF2">
                  <w:pPr>
                    <w:jc w:val="center"/>
                    <w:rPr>
                      <w:rFonts w:ascii="Times New Roman" w:hAnsi="Times New Roman" w:eastAsia="宋体" w:cs="Times New Roman"/>
                      <w:szCs w:val="21"/>
                    </w:rPr>
                  </w:pPr>
                  <w:r>
                    <w:rPr>
                      <w:rFonts w:ascii="Times New Roman" w:hAnsi="Times New Roman" w:eastAsia="宋体" w:cs="Times New Roman"/>
                      <w:szCs w:val="21"/>
                    </w:rPr>
                    <w:t>3.5746</w:t>
                  </w:r>
                </w:p>
              </w:tc>
              <w:tc>
                <w:tcPr>
                  <w:tcW w:w="635" w:type="pct"/>
                  <w:vAlign w:val="center"/>
                </w:tcPr>
                <w:p w14:paraId="6B2BAA41">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0514627B">
            <w:pPr>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本项目P</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最大值出现为矩形面源无组织的TSPP</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值为9.</w:t>
            </w:r>
            <w:r>
              <w:rPr>
                <w:rFonts w:ascii="Times New Roman" w:hAnsi="Times New Roman" w:eastAsia="宋体" w:cs="Times New Roman"/>
                <w:sz w:val="24"/>
              </w:rPr>
              <w:t>1702</w:t>
            </w:r>
            <w:r>
              <w:rPr>
                <w:rFonts w:hint="eastAsia" w:ascii="Times New Roman" w:hAnsi="Times New Roman" w:eastAsia="宋体" w:cs="Times New Roman"/>
                <w:sz w:val="24"/>
              </w:rPr>
              <w:t>%，C</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为</w:t>
            </w:r>
            <w:r>
              <w:rPr>
                <w:rFonts w:ascii="Times New Roman" w:hAnsi="Times New Roman" w:eastAsia="宋体" w:cs="Times New Roman"/>
                <w:sz w:val="24"/>
              </w:rPr>
              <w:t>82.5320</w:t>
            </w:r>
            <w:r>
              <w:rPr>
                <w:rFonts w:hint="eastAsia" w:ascii="Times New Roman" w:hAnsi="Times New Roman" w:eastAsia="宋体" w:cs="Times New Roman"/>
                <w:sz w:val="24"/>
              </w:rPr>
              <w:t>μg/m³，根据《环境影响评价技术导则 大气环境》（HJ2.2-2018）分级判据，确定本项目大气环境影响评价工作等级为二级。</w:t>
            </w:r>
          </w:p>
          <w:p w14:paraId="7A12B197">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（7）预测结果</w:t>
            </w:r>
          </w:p>
          <w:p w14:paraId="3A33F4CD">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敏感点预测结果</w:t>
            </w:r>
          </w:p>
          <w:p w14:paraId="76433B8E">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本次大气环境影响预测采用《环境影响评价技术导则—大气环境》（HJ2.2-2018）推荐模式清单中的 AERSCREEN 模型进行预测，离散点结果预测见下表7-9、表7-10。</w:t>
            </w:r>
          </w:p>
          <w:p w14:paraId="0C50A3AF">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表7-9  敏感点预测和计算结果一览表（</w:t>
            </w:r>
            <w:r>
              <w:rPr>
                <w:rFonts w:hint="eastAsia" w:ascii="Times New Roman" w:hAnsi="Times New Roman" w:eastAsia="宋体" w:cs="Times New Roman"/>
                <w:bCs/>
                <w:sz w:val="24"/>
              </w:rPr>
              <w:t>1</w:t>
            </w:r>
            <w:r>
              <w:rPr>
                <w:rFonts w:ascii="Times New Roman" w:hAnsi="Times New Roman" w:eastAsia="宋体" w:cs="Times New Roman"/>
                <w:bCs/>
                <w:sz w:val="24"/>
              </w:rPr>
              <w:t>5</w:t>
            </w:r>
            <w:r>
              <w:rPr>
                <w:rFonts w:hint="eastAsia" w:ascii="Times New Roman" w:hAnsi="Times New Roman" w:eastAsia="宋体" w:cs="Times New Roman"/>
                <w:bCs/>
                <w:sz w:val="24"/>
              </w:rPr>
              <w:t>m排气筒</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611"/>
              <w:gridCol w:w="1327"/>
              <w:gridCol w:w="1211"/>
              <w:gridCol w:w="1027"/>
              <w:gridCol w:w="1716"/>
              <w:gridCol w:w="1390"/>
            </w:tblGrid>
            <w:tr w14:paraId="7A08B9D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161" w:type="pct"/>
                  <w:gridSpan w:val="5"/>
                  <w:vAlign w:val="center"/>
                </w:tcPr>
                <w:p w14:paraId="0CA43609">
                  <w:pPr>
                    <w:jc w:val="center"/>
                    <w:rPr>
                      <w:rFonts w:ascii="Times New Roman" w:hAnsi="Times New Roman" w:cs="Times New Roman"/>
                      <w:szCs w:val="21"/>
                    </w:rPr>
                  </w:pPr>
                  <w:r>
                    <w:rPr>
                      <w:rFonts w:ascii="Times New Roman" w:hAnsi="Times New Roman" w:eastAsia="宋体" w:cs="Times New Roman"/>
                      <w:szCs w:val="21"/>
                    </w:rPr>
                    <w:t>离散点信息</w:t>
                  </w:r>
                </w:p>
              </w:tc>
              <w:tc>
                <w:tcPr>
                  <w:tcW w:w="839" w:type="pct"/>
                  <w:vAlign w:val="center"/>
                </w:tcPr>
                <w:p w14:paraId="12B9B95C">
                  <w:pPr>
                    <w:jc w:val="center"/>
                    <w:rPr>
                      <w:rFonts w:ascii="Times New Roman" w:hAnsi="Times New Roman" w:cs="Times New Roman"/>
                      <w:szCs w:val="21"/>
                    </w:rPr>
                  </w:pPr>
                  <w:r>
                    <w:rPr>
                      <w:rFonts w:ascii="Times New Roman" w:hAnsi="Times New Roman" w:eastAsia="宋体" w:cs="Times New Roman"/>
                      <w:szCs w:val="21"/>
                    </w:rPr>
                    <w:t>15m排气筒</w:t>
                  </w:r>
                </w:p>
              </w:tc>
            </w:tr>
            <w:tr w14:paraId="6FA2F98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3BCE4885">
                  <w:pPr>
                    <w:jc w:val="center"/>
                    <w:rPr>
                      <w:rFonts w:ascii="Times New Roman" w:hAnsi="Times New Roman" w:cs="Times New Roman"/>
                      <w:szCs w:val="21"/>
                    </w:rPr>
                  </w:pPr>
                  <w:r>
                    <w:rPr>
                      <w:rFonts w:ascii="Times New Roman" w:hAnsi="Times New Roman" w:eastAsia="宋体" w:cs="Times New Roman"/>
                      <w:szCs w:val="21"/>
                    </w:rPr>
                    <w:t>离散点名称</w:t>
                  </w:r>
                </w:p>
              </w:tc>
              <w:tc>
                <w:tcPr>
                  <w:tcW w:w="801" w:type="pct"/>
                  <w:vAlign w:val="center"/>
                </w:tcPr>
                <w:p w14:paraId="73C0E0DE">
                  <w:pPr>
                    <w:jc w:val="center"/>
                    <w:rPr>
                      <w:rFonts w:ascii="Times New Roman" w:hAnsi="Times New Roman" w:cs="Times New Roman"/>
                      <w:szCs w:val="21"/>
                    </w:rPr>
                  </w:pPr>
                  <w:r>
                    <w:rPr>
                      <w:rFonts w:ascii="Times New Roman" w:hAnsi="Times New Roman" w:eastAsia="宋体" w:cs="Times New Roman"/>
                      <w:szCs w:val="21"/>
                    </w:rPr>
                    <w:t>经度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731" w:type="pct"/>
                  <w:vAlign w:val="center"/>
                </w:tcPr>
                <w:p w14:paraId="497F9A96">
                  <w:pPr>
                    <w:jc w:val="center"/>
                    <w:rPr>
                      <w:rFonts w:ascii="Times New Roman" w:hAnsi="Times New Roman" w:cs="Times New Roman"/>
                      <w:szCs w:val="21"/>
                    </w:rPr>
                  </w:pPr>
                  <w:r>
                    <w:rPr>
                      <w:rFonts w:ascii="Times New Roman" w:hAnsi="Times New Roman" w:eastAsia="宋体" w:cs="Times New Roman"/>
                      <w:szCs w:val="21"/>
                    </w:rPr>
                    <w:t>纬度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620" w:type="pct"/>
                  <w:vAlign w:val="center"/>
                </w:tcPr>
                <w:p w14:paraId="3F5A42BC">
                  <w:pPr>
                    <w:jc w:val="center"/>
                    <w:rPr>
                      <w:rFonts w:ascii="Times New Roman" w:hAnsi="Times New Roman" w:cs="Times New Roman"/>
                      <w:szCs w:val="21"/>
                    </w:rPr>
                  </w:pPr>
                  <w:r>
                    <w:rPr>
                      <w:rFonts w:ascii="Times New Roman" w:hAnsi="Times New Roman" w:eastAsia="宋体" w:cs="Times New Roman"/>
                      <w:szCs w:val="21"/>
                    </w:rPr>
                    <w:t>海拔</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1036" w:type="pct"/>
                  <w:vAlign w:val="center"/>
                </w:tcPr>
                <w:p w14:paraId="04BF02C3">
                  <w:pPr>
                    <w:jc w:val="center"/>
                    <w:rPr>
                      <w:rFonts w:ascii="Times New Roman" w:hAnsi="Times New Roman" w:cs="Times New Roman"/>
                      <w:szCs w:val="21"/>
                    </w:rPr>
                  </w:pPr>
                  <w:r>
                    <w:rPr>
                      <w:rFonts w:ascii="Times New Roman" w:hAnsi="Times New Roman" w:eastAsia="宋体" w:cs="Times New Roman"/>
                      <w:szCs w:val="21"/>
                    </w:rPr>
                    <w:t>下风向距离</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839" w:type="pct"/>
                  <w:vAlign w:val="center"/>
                </w:tcPr>
                <w:p w14:paraId="2ED9ABDD">
                  <w:pPr>
                    <w:jc w:val="center"/>
                    <w:rPr>
                      <w:rFonts w:ascii="Times New Roman" w:hAnsi="Times New Roman" w:cs="Times New Roman"/>
                      <w:szCs w:val="21"/>
                    </w:rPr>
                  </w:pPr>
                  <w:r>
                    <w:rPr>
                      <w:rFonts w:ascii="Times New Roman" w:hAnsi="Times New Roman" w:eastAsia="宋体" w:cs="Times New Roman"/>
                      <w:szCs w:val="21"/>
                    </w:rPr>
                    <w:t>TSP(μg/m³)</w:t>
                  </w:r>
                </w:p>
              </w:tc>
            </w:tr>
            <w:tr w14:paraId="7DAA654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5A4B8B61">
                  <w:pPr>
                    <w:jc w:val="center"/>
                    <w:rPr>
                      <w:rFonts w:ascii="Times New Roman" w:hAnsi="Times New Roman" w:cs="Times New Roman"/>
                      <w:szCs w:val="21"/>
                    </w:rPr>
                  </w:pPr>
                  <w:r>
                    <w:rPr>
                      <w:rFonts w:ascii="Times New Roman" w:hAnsi="Times New Roman" w:eastAsia="宋体" w:cs="Times New Roman"/>
                      <w:szCs w:val="21"/>
                    </w:rPr>
                    <w:t>西北侧敏感点</w:t>
                  </w:r>
                </w:p>
              </w:tc>
              <w:tc>
                <w:tcPr>
                  <w:tcW w:w="801" w:type="pct"/>
                  <w:vAlign w:val="center"/>
                </w:tcPr>
                <w:p w14:paraId="1F2EF244">
                  <w:pPr>
                    <w:jc w:val="center"/>
                    <w:rPr>
                      <w:rFonts w:ascii="Times New Roman" w:hAnsi="Times New Roman" w:cs="Times New Roman"/>
                      <w:szCs w:val="21"/>
                    </w:rPr>
                  </w:pPr>
                  <w:r>
                    <w:rPr>
                      <w:rFonts w:ascii="Times New Roman" w:hAnsi="Times New Roman" w:eastAsia="宋体" w:cs="Times New Roman"/>
                      <w:szCs w:val="21"/>
                    </w:rPr>
                    <w:t>103.271814</w:t>
                  </w:r>
                </w:p>
              </w:tc>
              <w:tc>
                <w:tcPr>
                  <w:tcW w:w="731" w:type="pct"/>
                  <w:vAlign w:val="center"/>
                </w:tcPr>
                <w:p w14:paraId="6710CF00">
                  <w:pPr>
                    <w:jc w:val="center"/>
                    <w:rPr>
                      <w:rFonts w:ascii="Times New Roman" w:hAnsi="Times New Roman" w:cs="Times New Roman"/>
                      <w:szCs w:val="21"/>
                    </w:rPr>
                  </w:pPr>
                  <w:r>
                    <w:rPr>
                      <w:rFonts w:ascii="Times New Roman" w:hAnsi="Times New Roman" w:eastAsia="宋体" w:cs="Times New Roman"/>
                      <w:szCs w:val="21"/>
                    </w:rPr>
                    <w:t>29.309268</w:t>
                  </w:r>
                </w:p>
              </w:tc>
              <w:tc>
                <w:tcPr>
                  <w:tcW w:w="620" w:type="pct"/>
                  <w:vAlign w:val="center"/>
                </w:tcPr>
                <w:p w14:paraId="0AE22AF7">
                  <w:pPr>
                    <w:jc w:val="center"/>
                    <w:rPr>
                      <w:rFonts w:ascii="Times New Roman" w:hAnsi="Times New Roman" w:cs="Times New Roman"/>
                      <w:szCs w:val="21"/>
                    </w:rPr>
                  </w:pPr>
                  <w:r>
                    <w:rPr>
                      <w:rFonts w:ascii="Times New Roman" w:hAnsi="Times New Roman" w:eastAsia="宋体" w:cs="Times New Roman"/>
                      <w:szCs w:val="21"/>
                    </w:rPr>
                    <w:t>906.0</w:t>
                  </w:r>
                </w:p>
              </w:tc>
              <w:tc>
                <w:tcPr>
                  <w:tcW w:w="1036" w:type="pct"/>
                  <w:vAlign w:val="center"/>
                </w:tcPr>
                <w:p w14:paraId="2196F1CA">
                  <w:pPr>
                    <w:jc w:val="center"/>
                    <w:rPr>
                      <w:rFonts w:ascii="Times New Roman" w:hAnsi="Times New Roman" w:cs="Times New Roman"/>
                      <w:szCs w:val="21"/>
                    </w:rPr>
                  </w:pPr>
                  <w:r>
                    <w:rPr>
                      <w:rFonts w:ascii="Times New Roman" w:hAnsi="Times New Roman" w:eastAsia="宋体" w:cs="Times New Roman"/>
                      <w:szCs w:val="21"/>
                    </w:rPr>
                    <w:t>219.58</w:t>
                  </w:r>
                </w:p>
              </w:tc>
              <w:tc>
                <w:tcPr>
                  <w:tcW w:w="839" w:type="pct"/>
                  <w:vAlign w:val="center"/>
                </w:tcPr>
                <w:p w14:paraId="36C6A4BB">
                  <w:pPr>
                    <w:jc w:val="center"/>
                    <w:rPr>
                      <w:rFonts w:ascii="Times New Roman" w:hAnsi="Times New Roman" w:cs="Times New Roman"/>
                      <w:szCs w:val="21"/>
                    </w:rPr>
                  </w:pPr>
                  <w:r>
                    <w:rPr>
                      <w:rFonts w:ascii="Times New Roman" w:hAnsi="Times New Roman" w:eastAsia="宋体" w:cs="Times New Roman"/>
                      <w:szCs w:val="21"/>
                    </w:rPr>
                    <w:t>11.3970</w:t>
                  </w:r>
                </w:p>
              </w:tc>
            </w:tr>
            <w:tr w14:paraId="0D3AAB6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0CFD7D91">
                  <w:pPr>
                    <w:jc w:val="center"/>
                    <w:rPr>
                      <w:rFonts w:ascii="Times New Roman" w:hAnsi="Times New Roman" w:cs="Times New Roman"/>
                      <w:szCs w:val="21"/>
                    </w:rPr>
                  </w:pPr>
                  <w:r>
                    <w:rPr>
                      <w:rFonts w:ascii="Times New Roman" w:hAnsi="Times New Roman" w:eastAsia="宋体" w:cs="Times New Roman"/>
                      <w:szCs w:val="21"/>
                    </w:rPr>
                    <w:t>西侧敏感点</w:t>
                  </w:r>
                </w:p>
              </w:tc>
              <w:tc>
                <w:tcPr>
                  <w:tcW w:w="801" w:type="pct"/>
                  <w:vAlign w:val="center"/>
                </w:tcPr>
                <w:p w14:paraId="73C6CC82">
                  <w:pPr>
                    <w:jc w:val="center"/>
                    <w:rPr>
                      <w:rFonts w:ascii="Times New Roman" w:hAnsi="Times New Roman" w:cs="Times New Roman"/>
                      <w:szCs w:val="21"/>
                    </w:rPr>
                  </w:pPr>
                  <w:r>
                    <w:rPr>
                      <w:rFonts w:ascii="Times New Roman" w:hAnsi="Times New Roman" w:eastAsia="宋体" w:cs="Times New Roman"/>
                      <w:szCs w:val="21"/>
                    </w:rPr>
                    <w:t>103.268187</w:t>
                  </w:r>
                </w:p>
              </w:tc>
              <w:tc>
                <w:tcPr>
                  <w:tcW w:w="731" w:type="pct"/>
                  <w:vAlign w:val="center"/>
                </w:tcPr>
                <w:p w14:paraId="2CA09735">
                  <w:pPr>
                    <w:jc w:val="center"/>
                    <w:rPr>
                      <w:rFonts w:ascii="Times New Roman" w:hAnsi="Times New Roman" w:cs="Times New Roman"/>
                      <w:szCs w:val="21"/>
                    </w:rPr>
                  </w:pPr>
                  <w:r>
                    <w:rPr>
                      <w:rFonts w:ascii="Times New Roman" w:hAnsi="Times New Roman" w:eastAsia="宋体" w:cs="Times New Roman"/>
                      <w:szCs w:val="21"/>
                    </w:rPr>
                    <w:t>29.306922</w:t>
                  </w:r>
                </w:p>
              </w:tc>
              <w:tc>
                <w:tcPr>
                  <w:tcW w:w="620" w:type="pct"/>
                  <w:vAlign w:val="center"/>
                </w:tcPr>
                <w:p w14:paraId="27D58906">
                  <w:pPr>
                    <w:jc w:val="center"/>
                    <w:rPr>
                      <w:rFonts w:ascii="Times New Roman" w:hAnsi="Times New Roman" w:cs="Times New Roman"/>
                      <w:szCs w:val="21"/>
                    </w:rPr>
                  </w:pPr>
                  <w:r>
                    <w:rPr>
                      <w:rFonts w:ascii="Times New Roman" w:hAnsi="Times New Roman" w:eastAsia="宋体" w:cs="Times New Roman"/>
                      <w:szCs w:val="21"/>
                    </w:rPr>
                    <w:t>1050.0</w:t>
                  </w:r>
                </w:p>
              </w:tc>
              <w:tc>
                <w:tcPr>
                  <w:tcW w:w="1036" w:type="pct"/>
                  <w:vAlign w:val="center"/>
                </w:tcPr>
                <w:p w14:paraId="45F66A92">
                  <w:pPr>
                    <w:jc w:val="center"/>
                    <w:rPr>
                      <w:rFonts w:ascii="Times New Roman" w:hAnsi="Times New Roman" w:cs="Times New Roman"/>
                      <w:szCs w:val="21"/>
                    </w:rPr>
                  </w:pPr>
                  <w:r>
                    <w:rPr>
                      <w:rFonts w:ascii="Times New Roman" w:hAnsi="Times New Roman" w:eastAsia="宋体" w:cs="Times New Roman"/>
                      <w:szCs w:val="21"/>
                    </w:rPr>
                    <w:t>542.95</w:t>
                  </w:r>
                </w:p>
              </w:tc>
              <w:tc>
                <w:tcPr>
                  <w:tcW w:w="839" w:type="pct"/>
                  <w:vAlign w:val="center"/>
                </w:tcPr>
                <w:p w14:paraId="19633025">
                  <w:pPr>
                    <w:jc w:val="center"/>
                    <w:rPr>
                      <w:rFonts w:ascii="Times New Roman" w:hAnsi="Times New Roman" w:cs="Times New Roman"/>
                      <w:szCs w:val="21"/>
                    </w:rPr>
                  </w:pPr>
                  <w:r>
                    <w:rPr>
                      <w:rFonts w:ascii="Times New Roman" w:hAnsi="Times New Roman" w:eastAsia="宋体" w:cs="Times New Roman"/>
                      <w:szCs w:val="21"/>
                    </w:rPr>
                    <w:t>6.0642</w:t>
                  </w:r>
                </w:p>
              </w:tc>
            </w:tr>
            <w:tr w14:paraId="5C5A4C7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1ECE2520">
                  <w:pPr>
                    <w:jc w:val="center"/>
                    <w:rPr>
                      <w:rFonts w:ascii="Times New Roman" w:hAnsi="Times New Roman" w:cs="Times New Roman"/>
                      <w:szCs w:val="21"/>
                    </w:rPr>
                  </w:pPr>
                  <w:r>
                    <w:rPr>
                      <w:rFonts w:ascii="Times New Roman" w:hAnsi="Times New Roman" w:eastAsia="宋体" w:cs="Times New Roman"/>
                      <w:szCs w:val="21"/>
                    </w:rPr>
                    <w:t>南侧敏感点</w:t>
                  </w:r>
                </w:p>
              </w:tc>
              <w:tc>
                <w:tcPr>
                  <w:tcW w:w="801" w:type="pct"/>
                  <w:vAlign w:val="center"/>
                </w:tcPr>
                <w:p w14:paraId="6572F186">
                  <w:pPr>
                    <w:jc w:val="center"/>
                    <w:rPr>
                      <w:rFonts w:ascii="Times New Roman" w:hAnsi="Times New Roman" w:cs="Times New Roman"/>
                      <w:szCs w:val="21"/>
                    </w:rPr>
                  </w:pPr>
                  <w:r>
                    <w:rPr>
                      <w:rFonts w:ascii="Times New Roman" w:hAnsi="Times New Roman" w:eastAsia="宋体" w:cs="Times New Roman"/>
                      <w:szCs w:val="21"/>
                    </w:rPr>
                    <w:t>103.273347</w:t>
                  </w:r>
                </w:p>
              </w:tc>
              <w:tc>
                <w:tcPr>
                  <w:tcW w:w="731" w:type="pct"/>
                  <w:vAlign w:val="center"/>
                </w:tcPr>
                <w:p w14:paraId="05A884AA">
                  <w:pPr>
                    <w:jc w:val="center"/>
                    <w:rPr>
                      <w:rFonts w:ascii="Times New Roman" w:hAnsi="Times New Roman" w:cs="Times New Roman"/>
                      <w:szCs w:val="21"/>
                    </w:rPr>
                  </w:pPr>
                  <w:r>
                    <w:rPr>
                      <w:rFonts w:ascii="Times New Roman" w:hAnsi="Times New Roman" w:eastAsia="宋体" w:cs="Times New Roman"/>
                      <w:szCs w:val="21"/>
                    </w:rPr>
                    <w:t>29.306714</w:t>
                  </w:r>
                </w:p>
              </w:tc>
              <w:tc>
                <w:tcPr>
                  <w:tcW w:w="620" w:type="pct"/>
                  <w:vAlign w:val="center"/>
                </w:tcPr>
                <w:p w14:paraId="2CF61F36">
                  <w:pPr>
                    <w:jc w:val="center"/>
                    <w:rPr>
                      <w:rFonts w:ascii="Times New Roman" w:hAnsi="Times New Roman" w:cs="Times New Roman"/>
                      <w:szCs w:val="21"/>
                    </w:rPr>
                  </w:pPr>
                  <w:r>
                    <w:rPr>
                      <w:rFonts w:ascii="Times New Roman" w:hAnsi="Times New Roman" w:eastAsia="宋体" w:cs="Times New Roman"/>
                      <w:szCs w:val="21"/>
                    </w:rPr>
                    <w:t>879.0</w:t>
                  </w:r>
                </w:p>
              </w:tc>
              <w:tc>
                <w:tcPr>
                  <w:tcW w:w="1036" w:type="pct"/>
                  <w:vAlign w:val="center"/>
                </w:tcPr>
                <w:p w14:paraId="79182FF5">
                  <w:pPr>
                    <w:jc w:val="center"/>
                    <w:rPr>
                      <w:rFonts w:ascii="Times New Roman" w:hAnsi="Times New Roman" w:cs="Times New Roman"/>
                      <w:szCs w:val="21"/>
                    </w:rPr>
                  </w:pPr>
                  <w:r>
                    <w:rPr>
                      <w:rFonts w:ascii="Times New Roman" w:hAnsi="Times New Roman" w:eastAsia="宋体" w:cs="Times New Roman"/>
                      <w:szCs w:val="21"/>
                    </w:rPr>
                    <w:t>128.49</w:t>
                  </w:r>
                </w:p>
              </w:tc>
              <w:tc>
                <w:tcPr>
                  <w:tcW w:w="839" w:type="pct"/>
                  <w:vAlign w:val="center"/>
                </w:tcPr>
                <w:p w14:paraId="2FF4C5F0">
                  <w:pPr>
                    <w:jc w:val="center"/>
                    <w:rPr>
                      <w:rFonts w:ascii="Times New Roman" w:hAnsi="Times New Roman" w:cs="Times New Roman"/>
                      <w:szCs w:val="21"/>
                    </w:rPr>
                  </w:pPr>
                  <w:r>
                    <w:rPr>
                      <w:rFonts w:ascii="Times New Roman" w:hAnsi="Times New Roman" w:eastAsia="宋体" w:cs="Times New Roman"/>
                      <w:szCs w:val="21"/>
                    </w:rPr>
                    <w:t>0.3504</w:t>
                  </w:r>
                </w:p>
              </w:tc>
            </w:tr>
            <w:tr w14:paraId="0277D72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0F339D77">
                  <w:pPr>
                    <w:jc w:val="center"/>
                    <w:rPr>
                      <w:rFonts w:ascii="Times New Roman" w:hAnsi="Times New Roman" w:cs="Times New Roman"/>
                      <w:szCs w:val="21"/>
                    </w:rPr>
                  </w:pPr>
                  <w:r>
                    <w:rPr>
                      <w:rFonts w:ascii="Times New Roman" w:hAnsi="Times New Roman" w:eastAsia="宋体" w:cs="Times New Roman"/>
                      <w:szCs w:val="21"/>
                    </w:rPr>
                    <w:t>北侧敏感点</w:t>
                  </w:r>
                </w:p>
              </w:tc>
              <w:tc>
                <w:tcPr>
                  <w:tcW w:w="801" w:type="pct"/>
                  <w:vAlign w:val="center"/>
                </w:tcPr>
                <w:p w14:paraId="4A2C8EDC">
                  <w:pPr>
                    <w:jc w:val="center"/>
                    <w:rPr>
                      <w:rFonts w:ascii="Times New Roman" w:hAnsi="Times New Roman" w:cs="Times New Roman"/>
                      <w:szCs w:val="21"/>
                    </w:rPr>
                  </w:pPr>
                  <w:r>
                    <w:rPr>
                      <w:rFonts w:ascii="Times New Roman" w:hAnsi="Times New Roman" w:eastAsia="宋体" w:cs="Times New Roman"/>
                      <w:szCs w:val="21"/>
                    </w:rPr>
                    <w:t>103.272496</w:t>
                  </w:r>
                </w:p>
              </w:tc>
              <w:tc>
                <w:tcPr>
                  <w:tcW w:w="731" w:type="pct"/>
                  <w:vAlign w:val="center"/>
                </w:tcPr>
                <w:p w14:paraId="2A716357">
                  <w:pPr>
                    <w:jc w:val="center"/>
                    <w:rPr>
                      <w:rFonts w:ascii="Times New Roman" w:hAnsi="Times New Roman" w:cs="Times New Roman"/>
                      <w:szCs w:val="21"/>
                    </w:rPr>
                  </w:pPr>
                  <w:r>
                    <w:rPr>
                      <w:rFonts w:ascii="Times New Roman" w:hAnsi="Times New Roman" w:eastAsia="宋体" w:cs="Times New Roman"/>
                      <w:szCs w:val="21"/>
                    </w:rPr>
                    <w:t>29.309283</w:t>
                  </w:r>
                </w:p>
              </w:tc>
              <w:tc>
                <w:tcPr>
                  <w:tcW w:w="620" w:type="pct"/>
                  <w:vAlign w:val="center"/>
                </w:tcPr>
                <w:p w14:paraId="5AFCDD24">
                  <w:pPr>
                    <w:jc w:val="center"/>
                    <w:rPr>
                      <w:rFonts w:ascii="Times New Roman" w:hAnsi="Times New Roman" w:cs="Times New Roman"/>
                      <w:szCs w:val="21"/>
                    </w:rPr>
                  </w:pPr>
                  <w:r>
                    <w:rPr>
                      <w:rFonts w:ascii="Times New Roman" w:hAnsi="Times New Roman" w:eastAsia="宋体" w:cs="Times New Roman"/>
                      <w:szCs w:val="21"/>
                    </w:rPr>
                    <w:t>885.0</w:t>
                  </w:r>
                </w:p>
              </w:tc>
              <w:tc>
                <w:tcPr>
                  <w:tcW w:w="1036" w:type="pct"/>
                  <w:vAlign w:val="center"/>
                </w:tcPr>
                <w:p w14:paraId="31BC946E">
                  <w:pPr>
                    <w:jc w:val="center"/>
                    <w:rPr>
                      <w:rFonts w:ascii="Times New Roman" w:hAnsi="Times New Roman" w:cs="Times New Roman"/>
                      <w:szCs w:val="21"/>
                    </w:rPr>
                  </w:pPr>
                  <w:r>
                    <w:rPr>
                      <w:rFonts w:ascii="Times New Roman" w:hAnsi="Times New Roman" w:eastAsia="宋体" w:cs="Times New Roman"/>
                      <w:szCs w:val="21"/>
                    </w:rPr>
                    <w:t>179.49</w:t>
                  </w:r>
                </w:p>
              </w:tc>
              <w:tc>
                <w:tcPr>
                  <w:tcW w:w="839" w:type="pct"/>
                  <w:vAlign w:val="center"/>
                </w:tcPr>
                <w:p w14:paraId="2A971E72">
                  <w:pPr>
                    <w:jc w:val="center"/>
                    <w:rPr>
                      <w:rFonts w:ascii="Times New Roman" w:hAnsi="Times New Roman" w:cs="Times New Roman"/>
                      <w:szCs w:val="21"/>
                    </w:rPr>
                  </w:pPr>
                  <w:r>
                    <w:rPr>
                      <w:rFonts w:ascii="Times New Roman" w:hAnsi="Times New Roman" w:eastAsia="宋体" w:cs="Times New Roman"/>
                      <w:szCs w:val="21"/>
                    </w:rPr>
                    <w:t>27.2060</w:t>
                  </w:r>
                </w:p>
              </w:tc>
            </w:tr>
            <w:tr w14:paraId="597DE41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3" w:type="pct"/>
                  <w:vAlign w:val="center"/>
                </w:tcPr>
                <w:p w14:paraId="4A84CD0D">
                  <w:pPr>
                    <w:jc w:val="center"/>
                    <w:rPr>
                      <w:rFonts w:ascii="Times New Roman" w:hAnsi="Times New Roman" w:cs="Times New Roman"/>
                      <w:szCs w:val="21"/>
                    </w:rPr>
                  </w:pPr>
                  <w:r>
                    <w:rPr>
                      <w:rFonts w:ascii="Times New Roman" w:hAnsi="Times New Roman" w:eastAsia="宋体" w:cs="Times New Roman"/>
                      <w:szCs w:val="21"/>
                    </w:rPr>
                    <w:t>北侧敏感点2</w:t>
                  </w:r>
                </w:p>
              </w:tc>
              <w:tc>
                <w:tcPr>
                  <w:tcW w:w="801" w:type="pct"/>
                  <w:vAlign w:val="center"/>
                </w:tcPr>
                <w:p w14:paraId="63BB512D">
                  <w:pPr>
                    <w:jc w:val="center"/>
                    <w:rPr>
                      <w:rFonts w:ascii="Times New Roman" w:hAnsi="Times New Roman" w:cs="Times New Roman"/>
                      <w:szCs w:val="21"/>
                    </w:rPr>
                  </w:pPr>
                  <w:r>
                    <w:rPr>
                      <w:rFonts w:ascii="Times New Roman" w:hAnsi="Times New Roman" w:eastAsia="宋体" w:cs="Times New Roman"/>
                      <w:szCs w:val="21"/>
                    </w:rPr>
                    <w:t>103.27161</w:t>
                  </w:r>
                </w:p>
              </w:tc>
              <w:tc>
                <w:tcPr>
                  <w:tcW w:w="731" w:type="pct"/>
                  <w:vAlign w:val="center"/>
                </w:tcPr>
                <w:p w14:paraId="242619F2">
                  <w:pPr>
                    <w:jc w:val="center"/>
                    <w:rPr>
                      <w:rFonts w:ascii="Times New Roman" w:hAnsi="Times New Roman" w:cs="Times New Roman"/>
                      <w:szCs w:val="21"/>
                    </w:rPr>
                  </w:pPr>
                  <w:r>
                    <w:rPr>
                      <w:rFonts w:ascii="Times New Roman" w:hAnsi="Times New Roman" w:eastAsia="宋体" w:cs="Times New Roman"/>
                      <w:szCs w:val="21"/>
                    </w:rPr>
                    <w:t>29.310605</w:t>
                  </w:r>
                </w:p>
              </w:tc>
              <w:tc>
                <w:tcPr>
                  <w:tcW w:w="620" w:type="pct"/>
                  <w:vAlign w:val="center"/>
                </w:tcPr>
                <w:p w14:paraId="64BE1049">
                  <w:pPr>
                    <w:jc w:val="center"/>
                    <w:rPr>
                      <w:rFonts w:ascii="Times New Roman" w:hAnsi="Times New Roman" w:cs="Times New Roman"/>
                      <w:szCs w:val="21"/>
                    </w:rPr>
                  </w:pPr>
                  <w:r>
                    <w:rPr>
                      <w:rFonts w:ascii="Times New Roman" w:hAnsi="Times New Roman" w:eastAsia="宋体" w:cs="Times New Roman"/>
                      <w:szCs w:val="21"/>
                    </w:rPr>
                    <w:t>888.0</w:t>
                  </w:r>
                </w:p>
              </w:tc>
              <w:tc>
                <w:tcPr>
                  <w:tcW w:w="1036" w:type="pct"/>
                  <w:vAlign w:val="center"/>
                </w:tcPr>
                <w:p w14:paraId="6A83A346">
                  <w:pPr>
                    <w:jc w:val="center"/>
                    <w:rPr>
                      <w:rFonts w:ascii="Times New Roman" w:hAnsi="Times New Roman" w:cs="Times New Roman"/>
                      <w:szCs w:val="21"/>
                    </w:rPr>
                  </w:pPr>
                  <w:r>
                    <w:rPr>
                      <w:rFonts w:ascii="Times New Roman" w:hAnsi="Times New Roman" w:eastAsia="宋体" w:cs="Times New Roman"/>
                      <w:szCs w:val="21"/>
                    </w:rPr>
                    <w:t>349.73</w:t>
                  </w:r>
                </w:p>
              </w:tc>
              <w:tc>
                <w:tcPr>
                  <w:tcW w:w="839" w:type="pct"/>
                  <w:vAlign w:val="center"/>
                </w:tcPr>
                <w:p w14:paraId="571B9DB4">
                  <w:pPr>
                    <w:jc w:val="center"/>
                    <w:rPr>
                      <w:rFonts w:ascii="Times New Roman" w:hAnsi="Times New Roman" w:cs="Times New Roman"/>
                      <w:szCs w:val="21"/>
                    </w:rPr>
                  </w:pPr>
                  <w:r>
                    <w:rPr>
                      <w:rFonts w:ascii="Times New Roman" w:hAnsi="Times New Roman" w:eastAsia="宋体" w:cs="Times New Roman"/>
                      <w:szCs w:val="21"/>
                    </w:rPr>
                    <w:t>12.9910</w:t>
                  </w:r>
                </w:p>
              </w:tc>
            </w:tr>
          </w:tbl>
          <w:p w14:paraId="4DA46787">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表7-10  敏感点预测和计算结果一览表（</w:t>
            </w:r>
            <w:r>
              <w:rPr>
                <w:rFonts w:hint="eastAsia" w:ascii="Times New Roman" w:hAnsi="Times New Roman" w:eastAsia="宋体" w:cs="Times New Roman"/>
                <w:bCs/>
                <w:sz w:val="24"/>
              </w:rPr>
              <w:t>矩形面源</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621"/>
              <w:gridCol w:w="1335"/>
              <w:gridCol w:w="1219"/>
              <w:gridCol w:w="1034"/>
              <w:gridCol w:w="1731"/>
              <w:gridCol w:w="1342"/>
            </w:tblGrid>
            <w:tr w14:paraId="38892D9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190" w:type="pct"/>
                  <w:gridSpan w:val="5"/>
                  <w:vAlign w:val="center"/>
                </w:tcPr>
                <w:p w14:paraId="372474B8">
                  <w:pPr>
                    <w:jc w:val="center"/>
                    <w:rPr>
                      <w:rFonts w:ascii="Times New Roman" w:hAnsi="Times New Roman" w:cs="Times New Roman"/>
                      <w:szCs w:val="21"/>
                    </w:rPr>
                  </w:pPr>
                  <w:r>
                    <w:rPr>
                      <w:rFonts w:ascii="Times New Roman" w:hAnsi="Times New Roman" w:eastAsia="宋体" w:cs="Times New Roman"/>
                      <w:szCs w:val="21"/>
                    </w:rPr>
                    <w:t>离散点信息</w:t>
                  </w:r>
                </w:p>
              </w:tc>
              <w:tc>
                <w:tcPr>
                  <w:tcW w:w="810" w:type="pct"/>
                  <w:vAlign w:val="center"/>
                </w:tcPr>
                <w:p w14:paraId="0C9E860C">
                  <w:pPr>
                    <w:jc w:val="center"/>
                    <w:rPr>
                      <w:rFonts w:ascii="Times New Roman" w:hAnsi="Times New Roman" w:cs="Times New Roman"/>
                      <w:szCs w:val="21"/>
                    </w:rPr>
                  </w:pPr>
                  <w:r>
                    <w:rPr>
                      <w:rFonts w:ascii="Times New Roman" w:hAnsi="Times New Roman" w:eastAsia="宋体" w:cs="Times New Roman"/>
                      <w:szCs w:val="21"/>
                    </w:rPr>
                    <w:t>矩形面源</w:t>
                  </w:r>
                </w:p>
              </w:tc>
            </w:tr>
            <w:tr w14:paraId="2545D55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01A79CCE">
                  <w:pPr>
                    <w:jc w:val="center"/>
                    <w:rPr>
                      <w:rFonts w:ascii="Times New Roman" w:hAnsi="Times New Roman" w:cs="Times New Roman"/>
                      <w:szCs w:val="21"/>
                    </w:rPr>
                  </w:pPr>
                  <w:r>
                    <w:rPr>
                      <w:rFonts w:ascii="Times New Roman" w:hAnsi="Times New Roman" w:eastAsia="宋体" w:cs="Times New Roman"/>
                      <w:szCs w:val="21"/>
                    </w:rPr>
                    <w:t>离散点名称</w:t>
                  </w:r>
                </w:p>
              </w:tc>
              <w:tc>
                <w:tcPr>
                  <w:tcW w:w="806" w:type="pct"/>
                  <w:vAlign w:val="center"/>
                </w:tcPr>
                <w:p w14:paraId="16374A3A">
                  <w:pPr>
                    <w:jc w:val="center"/>
                    <w:rPr>
                      <w:rFonts w:ascii="Times New Roman" w:hAnsi="Times New Roman" w:cs="Times New Roman"/>
                      <w:szCs w:val="21"/>
                    </w:rPr>
                  </w:pPr>
                  <w:r>
                    <w:rPr>
                      <w:rFonts w:ascii="Times New Roman" w:hAnsi="Times New Roman" w:eastAsia="宋体" w:cs="Times New Roman"/>
                      <w:szCs w:val="21"/>
                    </w:rPr>
                    <w:t>经度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736" w:type="pct"/>
                  <w:vAlign w:val="center"/>
                </w:tcPr>
                <w:p w14:paraId="6227602C">
                  <w:pPr>
                    <w:jc w:val="center"/>
                    <w:rPr>
                      <w:rFonts w:ascii="Times New Roman" w:hAnsi="Times New Roman" w:cs="Times New Roman"/>
                      <w:szCs w:val="21"/>
                    </w:rPr>
                  </w:pPr>
                  <w:r>
                    <w:rPr>
                      <w:rFonts w:ascii="Times New Roman" w:hAnsi="Times New Roman" w:eastAsia="宋体" w:cs="Times New Roman"/>
                      <w:szCs w:val="21"/>
                    </w:rPr>
                    <w:t>纬度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624" w:type="pct"/>
                  <w:vAlign w:val="center"/>
                </w:tcPr>
                <w:p w14:paraId="1BA159CE">
                  <w:pPr>
                    <w:jc w:val="center"/>
                    <w:rPr>
                      <w:rFonts w:ascii="Times New Roman" w:hAnsi="Times New Roman" w:cs="Times New Roman"/>
                      <w:szCs w:val="21"/>
                    </w:rPr>
                  </w:pPr>
                  <w:r>
                    <w:rPr>
                      <w:rFonts w:ascii="Times New Roman" w:hAnsi="Times New Roman" w:eastAsia="宋体" w:cs="Times New Roman"/>
                      <w:szCs w:val="21"/>
                    </w:rPr>
                    <w:t>海拔</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1044" w:type="pct"/>
                  <w:vAlign w:val="center"/>
                </w:tcPr>
                <w:p w14:paraId="17FEFF84">
                  <w:pPr>
                    <w:jc w:val="center"/>
                    <w:rPr>
                      <w:rFonts w:ascii="Times New Roman" w:hAnsi="Times New Roman" w:cs="Times New Roman"/>
                      <w:szCs w:val="21"/>
                    </w:rPr>
                  </w:pPr>
                  <w:r>
                    <w:rPr>
                      <w:rFonts w:ascii="Times New Roman" w:hAnsi="Times New Roman" w:eastAsia="宋体" w:cs="Times New Roman"/>
                      <w:szCs w:val="21"/>
                    </w:rPr>
                    <w:t>下风向距离</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810" w:type="pct"/>
                  <w:vAlign w:val="center"/>
                </w:tcPr>
                <w:p w14:paraId="2C9D2FF7">
                  <w:pPr>
                    <w:jc w:val="center"/>
                    <w:rPr>
                      <w:rFonts w:ascii="Times New Roman" w:hAnsi="Times New Roman" w:cs="Times New Roman"/>
                      <w:szCs w:val="21"/>
                    </w:rPr>
                  </w:pPr>
                  <w:r>
                    <w:rPr>
                      <w:rFonts w:ascii="Times New Roman" w:hAnsi="Times New Roman" w:eastAsia="宋体" w:cs="Times New Roman"/>
                      <w:szCs w:val="21"/>
                    </w:rPr>
                    <w:t>TSP(μg/m³)</w:t>
                  </w:r>
                </w:p>
              </w:tc>
            </w:tr>
            <w:tr w14:paraId="2E33F28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031771A9">
                  <w:pPr>
                    <w:jc w:val="center"/>
                    <w:rPr>
                      <w:rFonts w:ascii="Times New Roman" w:hAnsi="Times New Roman" w:cs="Times New Roman"/>
                      <w:szCs w:val="21"/>
                    </w:rPr>
                  </w:pPr>
                  <w:r>
                    <w:rPr>
                      <w:rFonts w:ascii="Times New Roman" w:hAnsi="Times New Roman" w:eastAsia="宋体" w:cs="Times New Roman"/>
                      <w:szCs w:val="21"/>
                    </w:rPr>
                    <w:t>西北侧敏感点</w:t>
                  </w:r>
                </w:p>
              </w:tc>
              <w:tc>
                <w:tcPr>
                  <w:tcW w:w="806" w:type="pct"/>
                  <w:vAlign w:val="center"/>
                </w:tcPr>
                <w:p w14:paraId="35701332">
                  <w:pPr>
                    <w:jc w:val="center"/>
                    <w:rPr>
                      <w:rFonts w:ascii="Times New Roman" w:hAnsi="Times New Roman" w:cs="Times New Roman"/>
                      <w:szCs w:val="21"/>
                    </w:rPr>
                  </w:pPr>
                  <w:r>
                    <w:rPr>
                      <w:rFonts w:ascii="Times New Roman" w:hAnsi="Times New Roman" w:eastAsia="宋体" w:cs="Times New Roman"/>
                      <w:szCs w:val="21"/>
                    </w:rPr>
                    <w:t>103.271814</w:t>
                  </w:r>
                </w:p>
              </w:tc>
              <w:tc>
                <w:tcPr>
                  <w:tcW w:w="736" w:type="pct"/>
                  <w:vAlign w:val="center"/>
                </w:tcPr>
                <w:p w14:paraId="279D44DA">
                  <w:pPr>
                    <w:jc w:val="center"/>
                    <w:rPr>
                      <w:rFonts w:ascii="Times New Roman" w:hAnsi="Times New Roman" w:cs="Times New Roman"/>
                      <w:szCs w:val="21"/>
                    </w:rPr>
                  </w:pPr>
                  <w:r>
                    <w:rPr>
                      <w:rFonts w:ascii="Times New Roman" w:hAnsi="Times New Roman" w:eastAsia="宋体" w:cs="Times New Roman"/>
                      <w:szCs w:val="21"/>
                    </w:rPr>
                    <w:t>29.309268</w:t>
                  </w:r>
                </w:p>
              </w:tc>
              <w:tc>
                <w:tcPr>
                  <w:tcW w:w="624" w:type="pct"/>
                  <w:vAlign w:val="center"/>
                </w:tcPr>
                <w:p w14:paraId="576727F3">
                  <w:pPr>
                    <w:jc w:val="center"/>
                    <w:rPr>
                      <w:rFonts w:ascii="Times New Roman" w:hAnsi="Times New Roman" w:cs="Times New Roman"/>
                      <w:szCs w:val="21"/>
                    </w:rPr>
                  </w:pPr>
                  <w:r>
                    <w:rPr>
                      <w:rFonts w:ascii="Times New Roman" w:hAnsi="Times New Roman" w:eastAsia="宋体" w:cs="Times New Roman"/>
                      <w:szCs w:val="21"/>
                    </w:rPr>
                    <w:t>906.0</w:t>
                  </w:r>
                </w:p>
              </w:tc>
              <w:tc>
                <w:tcPr>
                  <w:tcW w:w="1044" w:type="pct"/>
                  <w:vAlign w:val="center"/>
                </w:tcPr>
                <w:p w14:paraId="2B747D6E">
                  <w:pPr>
                    <w:jc w:val="center"/>
                    <w:rPr>
                      <w:rFonts w:ascii="Times New Roman" w:hAnsi="Times New Roman" w:cs="Times New Roman"/>
                      <w:szCs w:val="21"/>
                    </w:rPr>
                  </w:pPr>
                  <w:r>
                    <w:rPr>
                      <w:rFonts w:ascii="Times New Roman" w:hAnsi="Times New Roman" w:eastAsia="宋体" w:cs="Times New Roman"/>
                      <w:szCs w:val="21"/>
                    </w:rPr>
                    <w:t>200.32</w:t>
                  </w:r>
                </w:p>
              </w:tc>
              <w:tc>
                <w:tcPr>
                  <w:tcW w:w="810" w:type="pct"/>
                  <w:vAlign w:val="center"/>
                </w:tcPr>
                <w:p w14:paraId="2EFCAADF">
                  <w:pPr>
                    <w:jc w:val="center"/>
                    <w:rPr>
                      <w:rFonts w:ascii="Times New Roman" w:hAnsi="Times New Roman" w:cs="Times New Roman"/>
                      <w:szCs w:val="21"/>
                    </w:rPr>
                  </w:pPr>
                  <w:r>
                    <w:rPr>
                      <w:rFonts w:ascii="Times New Roman" w:hAnsi="Times New Roman" w:eastAsia="宋体" w:cs="Times New Roman"/>
                      <w:szCs w:val="21"/>
                    </w:rPr>
                    <w:t>42.5890</w:t>
                  </w:r>
                </w:p>
              </w:tc>
            </w:tr>
            <w:tr w14:paraId="13BCD50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19ECADEB">
                  <w:pPr>
                    <w:jc w:val="center"/>
                    <w:rPr>
                      <w:rFonts w:ascii="Times New Roman" w:hAnsi="Times New Roman" w:cs="Times New Roman"/>
                      <w:szCs w:val="21"/>
                    </w:rPr>
                  </w:pPr>
                  <w:r>
                    <w:rPr>
                      <w:rFonts w:ascii="Times New Roman" w:hAnsi="Times New Roman" w:eastAsia="宋体" w:cs="Times New Roman"/>
                      <w:szCs w:val="21"/>
                    </w:rPr>
                    <w:t>西侧敏感点</w:t>
                  </w:r>
                </w:p>
              </w:tc>
              <w:tc>
                <w:tcPr>
                  <w:tcW w:w="806" w:type="pct"/>
                  <w:vAlign w:val="center"/>
                </w:tcPr>
                <w:p w14:paraId="27D8C7AC">
                  <w:pPr>
                    <w:jc w:val="center"/>
                    <w:rPr>
                      <w:rFonts w:ascii="Times New Roman" w:hAnsi="Times New Roman" w:cs="Times New Roman"/>
                      <w:szCs w:val="21"/>
                    </w:rPr>
                  </w:pPr>
                  <w:r>
                    <w:rPr>
                      <w:rFonts w:ascii="Times New Roman" w:hAnsi="Times New Roman" w:eastAsia="宋体" w:cs="Times New Roman"/>
                      <w:szCs w:val="21"/>
                    </w:rPr>
                    <w:t>103.268187</w:t>
                  </w:r>
                </w:p>
              </w:tc>
              <w:tc>
                <w:tcPr>
                  <w:tcW w:w="736" w:type="pct"/>
                  <w:vAlign w:val="center"/>
                </w:tcPr>
                <w:p w14:paraId="4270C6E9">
                  <w:pPr>
                    <w:jc w:val="center"/>
                    <w:rPr>
                      <w:rFonts w:ascii="Times New Roman" w:hAnsi="Times New Roman" w:cs="Times New Roman"/>
                      <w:szCs w:val="21"/>
                    </w:rPr>
                  </w:pPr>
                  <w:r>
                    <w:rPr>
                      <w:rFonts w:ascii="Times New Roman" w:hAnsi="Times New Roman" w:eastAsia="宋体" w:cs="Times New Roman"/>
                      <w:szCs w:val="21"/>
                    </w:rPr>
                    <w:t>29.306922</w:t>
                  </w:r>
                </w:p>
              </w:tc>
              <w:tc>
                <w:tcPr>
                  <w:tcW w:w="624" w:type="pct"/>
                  <w:vAlign w:val="center"/>
                </w:tcPr>
                <w:p w14:paraId="7B8B9FAC">
                  <w:pPr>
                    <w:jc w:val="center"/>
                    <w:rPr>
                      <w:rFonts w:ascii="Times New Roman" w:hAnsi="Times New Roman" w:cs="Times New Roman"/>
                      <w:szCs w:val="21"/>
                    </w:rPr>
                  </w:pPr>
                  <w:r>
                    <w:rPr>
                      <w:rFonts w:ascii="Times New Roman" w:hAnsi="Times New Roman" w:eastAsia="宋体" w:cs="Times New Roman"/>
                      <w:szCs w:val="21"/>
                    </w:rPr>
                    <w:t>1050.0</w:t>
                  </w:r>
                </w:p>
              </w:tc>
              <w:tc>
                <w:tcPr>
                  <w:tcW w:w="1044" w:type="pct"/>
                  <w:vAlign w:val="center"/>
                </w:tcPr>
                <w:p w14:paraId="3679912E">
                  <w:pPr>
                    <w:jc w:val="center"/>
                    <w:rPr>
                      <w:rFonts w:ascii="Times New Roman" w:hAnsi="Times New Roman" w:cs="Times New Roman"/>
                      <w:szCs w:val="21"/>
                    </w:rPr>
                  </w:pPr>
                  <w:r>
                    <w:rPr>
                      <w:rFonts w:ascii="Times New Roman" w:hAnsi="Times New Roman" w:eastAsia="宋体" w:cs="Times New Roman"/>
                      <w:szCs w:val="21"/>
                    </w:rPr>
                    <w:t>536.86</w:t>
                  </w:r>
                </w:p>
              </w:tc>
              <w:tc>
                <w:tcPr>
                  <w:tcW w:w="810" w:type="pct"/>
                  <w:vAlign w:val="center"/>
                </w:tcPr>
                <w:p w14:paraId="70C369C0">
                  <w:pPr>
                    <w:jc w:val="center"/>
                    <w:rPr>
                      <w:rFonts w:ascii="Times New Roman" w:hAnsi="Times New Roman" w:cs="Times New Roman"/>
                      <w:szCs w:val="21"/>
                    </w:rPr>
                  </w:pPr>
                  <w:r>
                    <w:rPr>
                      <w:rFonts w:ascii="Times New Roman" w:hAnsi="Times New Roman" w:eastAsia="宋体" w:cs="Times New Roman"/>
                      <w:szCs w:val="21"/>
                    </w:rPr>
                    <w:t>20.9280</w:t>
                  </w:r>
                </w:p>
              </w:tc>
            </w:tr>
            <w:tr w14:paraId="6029554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4E442A5B">
                  <w:pPr>
                    <w:jc w:val="center"/>
                    <w:rPr>
                      <w:rFonts w:ascii="Times New Roman" w:hAnsi="Times New Roman" w:cs="Times New Roman"/>
                      <w:szCs w:val="21"/>
                    </w:rPr>
                  </w:pPr>
                  <w:r>
                    <w:rPr>
                      <w:rFonts w:ascii="Times New Roman" w:hAnsi="Times New Roman" w:eastAsia="宋体" w:cs="Times New Roman"/>
                      <w:szCs w:val="21"/>
                    </w:rPr>
                    <w:t>南侧敏感点</w:t>
                  </w:r>
                </w:p>
              </w:tc>
              <w:tc>
                <w:tcPr>
                  <w:tcW w:w="806" w:type="pct"/>
                  <w:vAlign w:val="center"/>
                </w:tcPr>
                <w:p w14:paraId="2819B83B">
                  <w:pPr>
                    <w:jc w:val="center"/>
                    <w:rPr>
                      <w:rFonts w:ascii="Times New Roman" w:hAnsi="Times New Roman" w:cs="Times New Roman"/>
                      <w:szCs w:val="21"/>
                    </w:rPr>
                  </w:pPr>
                  <w:r>
                    <w:rPr>
                      <w:rFonts w:ascii="Times New Roman" w:hAnsi="Times New Roman" w:eastAsia="宋体" w:cs="Times New Roman"/>
                      <w:szCs w:val="21"/>
                    </w:rPr>
                    <w:t>103.273347</w:t>
                  </w:r>
                </w:p>
              </w:tc>
              <w:tc>
                <w:tcPr>
                  <w:tcW w:w="736" w:type="pct"/>
                  <w:vAlign w:val="center"/>
                </w:tcPr>
                <w:p w14:paraId="7DBD7ABC">
                  <w:pPr>
                    <w:jc w:val="center"/>
                    <w:rPr>
                      <w:rFonts w:ascii="Times New Roman" w:hAnsi="Times New Roman" w:cs="Times New Roman"/>
                      <w:szCs w:val="21"/>
                    </w:rPr>
                  </w:pPr>
                  <w:r>
                    <w:rPr>
                      <w:rFonts w:ascii="Times New Roman" w:hAnsi="Times New Roman" w:eastAsia="宋体" w:cs="Times New Roman"/>
                      <w:szCs w:val="21"/>
                    </w:rPr>
                    <w:t>29.306714</w:t>
                  </w:r>
                </w:p>
              </w:tc>
              <w:tc>
                <w:tcPr>
                  <w:tcW w:w="624" w:type="pct"/>
                  <w:vAlign w:val="center"/>
                </w:tcPr>
                <w:p w14:paraId="691A6D30">
                  <w:pPr>
                    <w:jc w:val="center"/>
                    <w:rPr>
                      <w:rFonts w:ascii="Times New Roman" w:hAnsi="Times New Roman" w:cs="Times New Roman"/>
                      <w:szCs w:val="21"/>
                    </w:rPr>
                  </w:pPr>
                  <w:r>
                    <w:rPr>
                      <w:rFonts w:ascii="Times New Roman" w:hAnsi="Times New Roman" w:eastAsia="宋体" w:cs="Times New Roman"/>
                      <w:szCs w:val="21"/>
                    </w:rPr>
                    <w:t>879.0</w:t>
                  </w:r>
                </w:p>
              </w:tc>
              <w:tc>
                <w:tcPr>
                  <w:tcW w:w="1044" w:type="pct"/>
                  <w:vAlign w:val="center"/>
                </w:tcPr>
                <w:p w14:paraId="35DBC40C">
                  <w:pPr>
                    <w:jc w:val="center"/>
                    <w:rPr>
                      <w:rFonts w:ascii="Times New Roman" w:hAnsi="Times New Roman" w:cs="Times New Roman"/>
                      <w:szCs w:val="21"/>
                    </w:rPr>
                  </w:pPr>
                  <w:r>
                    <w:rPr>
                      <w:rFonts w:ascii="Times New Roman" w:hAnsi="Times New Roman" w:eastAsia="宋体" w:cs="Times New Roman"/>
                      <w:szCs w:val="21"/>
                    </w:rPr>
                    <w:t>145.6</w:t>
                  </w:r>
                </w:p>
              </w:tc>
              <w:tc>
                <w:tcPr>
                  <w:tcW w:w="810" w:type="pct"/>
                  <w:vAlign w:val="center"/>
                </w:tcPr>
                <w:p w14:paraId="4AFCD2A1">
                  <w:pPr>
                    <w:jc w:val="center"/>
                    <w:rPr>
                      <w:rFonts w:ascii="Times New Roman" w:hAnsi="Times New Roman" w:cs="Times New Roman"/>
                      <w:szCs w:val="21"/>
                    </w:rPr>
                  </w:pPr>
                  <w:r>
                    <w:rPr>
                      <w:rFonts w:ascii="Times New Roman" w:hAnsi="Times New Roman" w:eastAsia="宋体" w:cs="Times New Roman"/>
                      <w:szCs w:val="21"/>
                    </w:rPr>
                    <w:t>51.5350</w:t>
                  </w:r>
                </w:p>
              </w:tc>
            </w:tr>
            <w:tr w14:paraId="5B3F5CE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2CB8BEF6">
                  <w:pPr>
                    <w:jc w:val="center"/>
                    <w:rPr>
                      <w:rFonts w:ascii="Times New Roman" w:hAnsi="Times New Roman" w:cs="Times New Roman"/>
                      <w:szCs w:val="21"/>
                    </w:rPr>
                  </w:pPr>
                  <w:r>
                    <w:rPr>
                      <w:rFonts w:ascii="Times New Roman" w:hAnsi="Times New Roman" w:eastAsia="宋体" w:cs="Times New Roman"/>
                      <w:szCs w:val="21"/>
                    </w:rPr>
                    <w:t>北侧敏感点</w:t>
                  </w:r>
                </w:p>
              </w:tc>
              <w:tc>
                <w:tcPr>
                  <w:tcW w:w="806" w:type="pct"/>
                  <w:vAlign w:val="center"/>
                </w:tcPr>
                <w:p w14:paraId="4682B21E">
                  <w:pPr>
                    <w:jc w:val="center"/>
                    <w:rPr>
                      <w:rFonts w:ascii="Times New Roman" w:hAnsi="Times New Roman" w:cs="Times New Roman"/>
                      <w:szCs w:val="21"/>
                    </w:rPr>
                  </w:pPr>
                  <w:r>
                    <w:rPr>
                      <w:rFonts w:ascii="Times New Roman" w:hAnsi="Times New Roman" w:eastAsia="宋体" w:cs="Times New Roman"/>
                      <w:szCs w:val="21"/>
                    </w:rPr>
                    <w:t>103.272496</w:t>
                  </w:r>
                </w:p>
              </w:tc>
              <w:tc>
                <w:tcPr>
                  <w:tcW w:w="736" w:type="pct"/>
                  <w:vAlign w:val="center"/>
                </w:tcPr>
                <w:p w14:paraId="1EF7FF11">
                  <w:pPr>
                    <w:jc w:val="center"/>
                    <w:rPr>
                      <w:rFonts w:ascii="Times New Roman" w:hAnsi="Times New Roman" w:cs="Times New Roman"/>
                      <w:szCs w:val="21"/>
                    </w:rPr>
                  </w:pPr>
                  <w:r>
                    <w:rPr>
                      <w:rFonts w:ascii="Times New Roman" w:hAnsi="Times New Roman" w:eastAsia="宋体" w:cs="Times New Roman"/>
                      <w:szCs w:val="21"/>
                    </w:rPr>
                    <w:t>29.309283</w:t>
                  </w:r>
                </w:p>
              </w:tc>
              <w:tc>
                <w:tcPr>
                  <w:tcW w:w="624" w:type="pct"/>
                  <w:vAlign w:val="center"/>
                </w:tcPr>
                <w:p w14:paraId="2B0104AC">
                  <w:pPr>
                    <w:jc w:val="center"/>
                    <w:rPr>
                      <w:rFonts w:ascii="Times New Roman" w:hAnsi="Times New Roman" w:cs="Times New Roman"/>
                      <w:szCs w:val="21"/>
                    </w:rPr>
                  </w:pPr>
                  <w:r>
                    <w:rPr>
                      <w:rFonts w:ascii="Times New Roman" w:hAnsi="Times New Roman" w:eastAsia="宋体" w:cs="Times New Roman"/>
                      <w:szCs w:val="21"/>
                    </w:rPr>
                    <w:t>885.0</w:t>
                  </w:r>
                </w:p>
              </w:tc>
              <w:tc>
                <w:tcPr>
                  <w:tcW w:w="1044" w:type="pct"/>
                  <w:vAlign w:val="center"/>
                </w:tcPr>
                <w:p w14:paraId="611CF7A0">
                  <w:pPr>
                    <w:jc w:val="center"/>
                    <w:rPr>
                      <w:rFonts w:ascii="Times New Roman" w:hAnsi="Times New Roman" w:cs="Times New Roman"/>
                      <w:szCs w:val="21"/>
                    </w:rPr>
                  </w:pPr>
                  <w:r>
                    <w:rPr>
                      <w:rFonts w:ascii="Times New Roman" w:hAnsi="Times New Roman" w:eastAsia="宋体" w:cs="Times New Roman"/>
                      <w:szCs w:val="21"/>
                    </w:rPr>
                    <w:t>159.56</w:t>
                  </w:r>
                </w:p>
              </w:tc>
              <w:tc>
                <w:tcPr>
                  <w:tcW w:w="810" w:type="pct"/>
                  <w:vAlign w:val="center"/>
                </w:tcPr>
                <w:p w14:paraId="2F54975B">
                  <w:pPr>
                    <w:jc w:val="center"/>
                    <w:rPr>
                      <w:rFonts w:ascii="Times New Roman" w:hAnsi="Times New Roman" w:cs="Times New Roman"/>
                      <w:szCs w:val="21"/>
                    </w:rPr>
                  </w:pPr>
                  <w:r>
                    <w:rPr>
                      <w:rFonts w:ascii="Times New Roman" w:hAnsi="Times New Roman" w:eastAsia="宋体" w:cs="Times New Roman"/>
                      <w:szCs w:val="21"/>
                    </w:rPr>
                    <w:t>49.1140</w:t>
                  </w:r>
                </w:p>
              </w:tc>
            </w:tr>
            <w:tr w14:paraId="505C9F1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79" w:type="pct"/>
                  <w:vAlign w:val="center"/>
                </w:tcPr>
                <w:p w14:paraId="28DC7B90">
                  <w:pPr>
                    <w:jc w:val="center"/>
                    <w:rPr>
                      <w:rFonts w:ascii="Times New Roman" w:hAnsi="Times New Roman" w:cs="Times New Roman"/>
                      <w:szCs w:val="21"/>
                    </w:rPr>
                  </w:pPr>
                  <w:r>
                    <w:rPr>
                      <w:rFonts w:ascii="Times New Roman" w:hAnsi="Times New Roman" w:eastAsia="宋体" w:cs="Times New Roman"/>
                      <w:szCs w:val="21"/>
                    </w:rPr>
                    <w:t>北侧敏感点2</w:t>
                  </w:r>
                </w:p>
              </w:tc>
              <w:tc>
                <w:tcPr>
                  <w:tcW w:w="806" w:type="pct"/>
                  <w:vAlign w:val="center"/>
                </w:tcPr>
                <w:p w14:paraId="2D7D1523">
                  <w:pPr>
                    <w:jc w:val="center"/>
                    <w:rPr>
                      <w:rFonts w:ascii="Times New Roman" w:hAnsi="Times New Roman" w:cs="Times New Roman"/>
                      <w:szCs w:val="21"/>
                    </w:rPr>
                  </w:pPr>
                  <w:r>
                    <w:rPr>
                      <w:rFonts w:ascii="Times New Roman" w:hAnsi="Times New Roman" w:eastAsia="宋体" w:cs="Times New Roman"/>
                      <w:szCs w:val="21"/>
                    </w:rPr>
                    <w:t>103.27161</w:t>
                  </w:r>
                </w:p>
              </w:tc>
              <w:tc>
                <w:tcPr>
                  <w:tcW w:w="736" w:type="pct"/>
                  <w:vAlign w:val="center"/>
                </w:tcPr>
                <w:p w14:paraId="32A0A0AE">
                  <w:pPr>
                    <w:jc w:val="center"/>
                    <w:rPr>
                      <w:rFonts w:ascii="Times New Roman" w:hAnsi="Times New Roman" w:cs="Times New Roman"/>
                      <w:szCs w:val="21"/>
                    </w:rPr>
                  </w:pPr>
                  <w:r>
                    <w:rPr>
                      <w:rFonts w:ascii="Times New Roman" w:hAnsi="Times New Roman" w:eastAsia="宋体" w:cs="Times New Roman"/>
                      <w:szCs w:val="21"/>
                    </w:rPr>
                    <w:t>29.310605</w:t>
                  </w:r>
                </w:p>
              </w:tc>
              <w:tc>
                <w:tcPr>
                  <w:tcW w:w="624" w:type="pct"/>
                  <w:vAlign w:val="center"/>
                </w:tcPr>
                <w:p w14:paraId="5740F931">
                  <w:pPr>
                    <w:jc w:val="center"/>
                    <w:rPr>
                      <w:rFonts w:ascii="Times New Roman" w:hAnsi="Times New Roman" w:cs="Times New Roman"/>
                      <w:szCs w:val="21"/>
                    </w:rPr>
                  </w:pPr>
                  <w:r>
                    <w:rPr>
                      <w:rFonts w:ascii="Times New Roman" w:hAnsi="Times New Roman" w:eastAsia="宋体" w:cs="Times New Roman"/>
                      <w:szCs w:val="21"/>
                    </w:rPr>
                    <w:t>888.0</w:t>
                  </w:r>
                </w:p>
              </w:tc>
              <w:tc>
                <w:tcPr>
                  <w:tcW w:w="1044" w:type="pct"/>
                  <w:vAlign w:val="center"/>
                </w:tcPr>
                <w:p w14:paraId="72A4BFAA">
                  <w:pPr>
                    <w:jc w:val="center"/>
                    <w:rPr>
                      <w:rFonts w:ascii="Times New Roman" w:hAnsi="Times New Roman" w:cs="Times New Roman"/>
                      <w:szCs w:val="21"/>
                    </w:rPr>
                  </w:pPr>
                  <w:r>
                    <w:rPr>
                      <w:rFonts w:ascii="Times New Roman" w:hAnsi="Times New Roman" w:eastAsia="宋体" w:cs="Times New Roman"/>
                      <w:szCs w:val="21"/>
                    </w:rPr>
                    <w:t>329.77</w:t>
                  </w:r>
                </w:p>
              </w:tc>
              <w:tc>
                <w:tcPr>
                  <w:tcW w:w="810" w:type="pct"/>
                  <w:vAlign w:val="center"/>
                </w:tcPr>
                <w:p w14:paraId="3559C80E">
                  <w:pPr>
                    <w:jc w:val="center"/>
                    <w:rPr>
                      <w:rFonts w:ascii="Times New Roman" w:hAnsi="Times New Roman" w:cs="Times New Roman"/>
                      <w:szCs w:val="21"/>
                    </w:rPr>
                  </w:pPr>
                  <w:r>
                    <w:rPr>
                      <w:rFonts w:ascii="Times New Roman" w:hAnsi="Times New Roman" w:eastAsia="宋体" w:cs="Times New Roman"/>
                      <w:szCs w:val="21"/>
                    </w:rPr>
                    <w:t>30.3980</w:t>
                  </w:r>
                </w:p>
              </w:tc>
            </w:tr>
          </w:tbl>
          <w:p w14:paraId="0C514088">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由上述预测结果可知：项目废气污染物产生量对周边居民影响较小，对区域敏感点影响轻微。</w:t>
            </w:r>
          </w:p>
          <w:p w14:paraId="242553D6">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污染源结果预测结果</w:t>
            </w:r>
          </w:p>
          <w:p w14:paraId="470DF595">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污染源预测结果见表7-11、表7-12。</w:t>
            </w:r>
          </w:p>
          <w:p w14:paraId="7D9341D9">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表7-11  污染源结果（</w:t>
            </w:r>
            <w:r>
              <w:rPr>
                <w:rFonts w:hint="eastAsia" w:ascii="Times New Roman" w:hAnsi="Times New Roman" w:eastAsia="宋体" w:cs="Times New Roman"/>
                <w:bCs/>
                <w:sz w:val="24"/>
              </w:rPr>
              <w:t>矩形面源</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821"/>
              <w:gridCol w:w="2705"/>
              <w:gridCol w:w="2756"/>
            </w:tblGrid>
            <w:tr w14:paraId="5C4B994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restart"/>
                  <w:vAlign w:val="center"/>
                </w:tcPr>
                <w:p w14:paraId="1552112E">
                  <w:pPr>
                    <w:jc w:val="center"/>
                    <w:rPr>
                      <w:rFonts w:ascii="Times New Roman" w:hAnsi="Times New Roman" w:eastAsia="宋体" w:cs="Times New Roman"/>
                      <w:szCs w:val="21"/>
                    </w:rPr>
                  </w:pPr>
                  <w:r>
                    <w:rPr>
                      <w:rFonts w:ascii="Times New Roman" w:hAnsi="Times New Roman" w:eastAsia="宋体" w:cs="Times New Roman"/>
                      <w:szCs w:val="21"/>
                    </w:rPr>
                    <w:t>下风向距离</w:t>
                  </w:r>
                </w:p>
              </w:tc>
              <w:tc>
                <w:tcPr>
                  <w:tcW w:w="3297" w:type="pct"/>
                  <w:gridSpan w:val="2"/>
                  <w:vAlign w:val="center"/>
                </w:tcPr>
                <w:p w14:paraId="0869C231">
                  <w:pPr>
                    <w:jc w:val="center"/>
                    <w:rPr>
                      <w:rFonts w:ascii="Times New Roman" w:hAnsi="Times New Roman" w:eastAsia="宋体" w:cs="Times New Roman"/>
                      <w:szCs w:val="21"/>
                    </w:rPr>
                  </w:pPr>
                  <w:r>
                    <w:rPr>
                      <w:rFonts w:ascii="Times New Roman" w:hAnsi="Times New Roman" w:eastAsia="宋体" w:cs="Times New Roman"/>
                      <w:szCs w:val="21"/>
                    </w:rPr>
                    <w:t>矩形面源</w:t>
                  </w:r>
                </w:p>
              </w:tc>
            </w:tr>
            <w:tr w14:paraId="3ABC4E2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continue"/>
                  <w:vAlign w:val="center"/>
                </w:tcPr>
                <w:p w14:paraId="5B4443EF">
                  <w:pPr>
                    <w:jc w:val="center"/>
                    <w:rPr>
                      <w:rFonts w:ascii="Times New Roman" w:hAnsi="Times New Roman" w:eastAsia="宋体" w:cs="Times New Roman"/>
                      <w:szCs w:val="21"/>
                    </w:rPr>
                  </w:pPr>
                </w:p>
              </w:tc>
              <w:tc>
                <w:tcPr>
                  <w:tcW w:w="1633" w:type="pct"/>
                  <w:vAlign w:val="center"/>
                </w:tcPr>
                <w:p w14:paraId="64EF0D6D">
                  <w:pPr>
                    <w:jc w:val="center"/>
                    <w:rPr>
                      <w:rFonts w:ascii="Times New Roman" w:hAnsi="Times New Roman" w:eastAsia="宋体" w:cs="Times New Roman"/>
                      <w:szCs w:val="21"/>
                    </w:rPr>
                  </w:pPr>
                  <w:r>
                    <w:rPr>
                      <w:rFonts w:ascii="Times New Roman" w:hAnsi="Times New Roman" w:eastAsia="宋体" w:cs="Times New Roman"/>
                      <w:szCs w:val="21"/>
                    </w:rPr>
                    <w:t>TSP浓度</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1664" w:type="pct"/>
                  <w:vAlign w:val="center"/>
                </w:tcPr>
                <w:p w14:paraId="41E2F420">
                  <w:pPr>
                    <w:jc w:val="center"/>
                    <w:rPr>
                      <w:rFonts w:ascii="Times New Roman" w:hAnsi="Times New Roman" w:eastAsia="宋体" w:cs="Times New Roman"/>
                      <w:szCs w:val="21"/>
                    </w:rPr>
                  </w:pPr>
                  <w:r>
                    <w:rPr>
                      <w:rFonts w:ascii="Times New Roman" w:hAnsi="Times New Roman" w:eastAsia="宋体" w:cs="Times New Roman"/>
                      <w:szCs w:val="21"/>
                    </w:rPr>
                    <w:t>TSP占标率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r>
            <w:tr w14:paraId="09902A1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51043C1">
                  <w:pPr>
                    <w:jc w:val="center"/>
                    <w:rPr>
                      <w:rFonts w:ascii="Times New Roman" w:hAnsi="Times New Roman" w:eastAsia="宋体" w:cs="Times New Roman"/>
                      <w:szCs w:val="21"/>
                    </w:rPr>
                  </w:pPr>
                  <w:r>
                    <w:rPr>
                      <w:rFonts w:ascii="Times New Roman" w:hAnsi="Times New Roman" w:eastAsia="宋体" w:cs="Times New Roman"/>
                      <w:szCs w:val="21"/>
                    </w:rPr>
                    <w:t>50.0</w:t>
                  </w:r>
                </w:p>
              </w:tc>
              <w:tc>
                <w:tcPr>
                  <w:tcW w:w="1633" w:type="pct"/>
                  <w:vAlign w:val="center"/>
                </w:tcPr>
                <w:p w14:paraId="3C04256B">
                  <w:pPr>
                    <w:jc w:val="center"/>
                    <w:rPr>
                      <w:rFonts w:ascii="Times New Roman" w:hAnsi="Times New Roman" w:eastAsia="宋体" w:cs="Times New Roman"/>
                      <w:szCs w:val="21"/>
                    </w:rPr>
                  </w:pPr>
                  <w:r>
                    <w:rPr>
                      <w:rFonts w:ascii="Times New Roman" w:hAnsi="Times New Roman" w:eastAsia="宋体" w:cs="Times New Roman"/>
                      <w:szCs w:val="21"/>
                    </w:rPr>
                    <w:t>80.9020</w:t>
                  </w:r>
                </w:p>
              </w:tc>
              <w:tc>
                <w:tcPr>
                  <w:tcW w:w="1664" w:type="pct"/>
                  <w:vAlign w:val="center"/>
                </w:tcPr>
                <w:p w14:paraId="061C5FB4">
                  <w:pPr>
                    <w:jc w:val="center"/>
                    <w:rPr>
                      <w:rFonts w:ascii="Times New Roman" w:hAnsi="Times New Roman" w:eastAsia="宋体" w:cs="Times New Roman"/>
                      <w:szCs w:val="21"/>
                    </w:rPr>
                  </w:pPr>
                  <w:r>
                    <w:rPr>
                      <w:rFonts w:ascii="Times New Roman" w:hAnsi="Times New Roman" w:eastAsia="宋体" w:cs="Times New Roman"/>
                      <w:szCs w:val="21"/>
                    </w:rPr>
                    <w:t>8.9891</w:t>
                  </w:r>
                </w:p>
              </w:tc>
            </w:tr>
            <w:tr w14:paraId="2EACED8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AABD346">
                  <w:pPr>
                    <w:jc w:val="center"/>
                    <w:rPr>
                      <w:rFonts w:ascii="Times New Roman" w:hAnsi="Times New Roman" w:eastAsia="宋体" w:cs="Times New Roman"/>
                      <w:szCs w:val="21"/>
                    </w:rPr>
                  </w:pPr>
                  <w:r>
                    <w:rPr>
                      <w:rFonts w:ascii="Times New Roman" w:hAnsi="Times New Roman" w:eastAsia="宋体" w:cs="Times New Roman"/>
                      <w:szCs w:val="21"/>
                    </w:rPr>
                    <w:t>100.0</w:t>
                  </w:r>
                </w:p>
              </w:tc>
              <w:tc>
                <w:tcPr>
                  <w:tcW w:w="1633" w:type="pct"/>
                  <w:vAlign w:val="center"/>
                </w:tcPr>
                <w:p w14:paraId="2CD52E99">
                  <w:pPr>
                    <w:jc w:val="center"/>
                    <w:rPr>
                      <w:rFonts w:ascii="Times New Roman" w:hAnsi="Times New Roman" w:eastAsia="宋体" w:cs="Times New Roman"/>
                      <w:szCs w:val="21"/>
                    </w:rPr>
                  </w:pPr>
                  <w:r>
                    <w:rPr>
                      <w:rFonts w:ascii="Times New Roman" w:hAnsi="Times New Roman" w:eastAsia="宋体" w:cs="Times New Roman"/>
                      <w:szCs w:val="21"/>
                    </w:rPr>
                    <w:t>59.3920</w:t>
                  </w:r>
                </w:p>
              </w:tc>
              <w:tc>
                <w:tcPr>
                  <w:tcW w:w="1664" w:type="pct"/>
                  <w:vAlign w:val="center"/>
                </w:tcPr>
                <w:p w14:paraId="09697B54">
                  <w:pPr>
                    <w:jc w:val="center"/>
                    <w:rPr>
                      <w:rFonts w:ascii="Times New Roman" w:hAnsi="Times New Roman" w:eastAsia="宋体" w:cs="Times New Roman"/>
                      <w:szCs w:val="21"/>
                    </w:rPr>
                  </w:pPr>
                  <w:r>
                    <w:rPr>
                      <w:rFonts w:ascii="Times New Roman" w:hAnsi="Times New Roman" w:eastAsia="宋体" w:cs="Times New Roman"/>
                      <w:szCs w:val="21"/>
                    </w:rPr>
                    <w:t>6.5991</w:t>
                  </w:r>
                </w:p>
              </w:tc>
            </w:tr>
            <w:tr w14:paraId="4C59109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B212DBC">
                  <w:pPr>
                    <w:jc w:val="center"/>
                    <w:rPr>
                      <w:rFonts w:ascii="Times New Roman" w:hAnsi="Times New Roman" w:eastAsia="宋体" w:cs="Times New Roman"/>
                      <w:szCs w:val="21"/>
                    </w:rPr>
                  </w:pPr>
                  <w:r>
                    <w:rPr>
                      <w:rFonts w:ascii="Times New Roman" w:hAnsi="Times New Roman" w:eastAsia="宋体" w:cs="Times New Roman"/>
                      <w:szCs w:val="21"/>
                    </w:rPr>
                    <w:t>200.0</w:t>
                  </w:r>
                </w:p>
              </w:tc>
              <w:tc>
                <w:tcPr>
                  <w:tcW w:w="1633" w:type="pct"/>
                  <w:vAlign w:val="center"/>
                </w:tcPr>
                <w:p w14:paraId="02E44909">
                  <w:pPr>
                    <w:jc w:val="center"/>
                    <w:rPr>
                      <w:rFonts w:ascii="Times New Roman" w:hAnsi="Times New Roman" w:eastAsia="宋体" w:cs="Times New Roman"/>
                      <w:szCs w:val="21"/>
                    </w:rPr>
                  </w:pPr>
                  <w:r>
                    <w:rPr>
                      <w:rFonts w:ascii="Times New Roman" w:hAnsi="Times New Roman" w:eastAsia="宋体" w:cs="Times New Roman"/>
                      <w:szCs w:val="21"/>
                    </w:rPr>
                    <w:t>42.6360</w:t>
                  </w:r>
                </w:p>
              </w:tc>
              <w:tc>
                <w:tcPr>
                  <w:tcW w:w="1664" w:type="pct"/>
                  <w:vAlign w:val="center"/>
                </w:tcPr>
                <w:p w14:paraId="0AD2998B">
                  <w:pPr>
                    <w:jc w:val="center"/>
                    <w:rPr>
                      <w:rFonts w:ascii="Times New Roman" w:hAnsi="Times New Roman" w:eastAsia="宋体" w:cs="Times New Roman"/>
                      <w:szCs w:val="21"/>
                    </w:rPr>
                  </w:pPr>
                  <w:r>
                    <w:rPr>
                      <w:rFonts w:ascii="Times New Roman" w:hAnsi="Times New Roman" w:eastAsia="宋体" w:cs="Times New Roman"/>
                      <w:szCs w:val="21"/>
                    </w:rPr>
                    <w:t>4.7373</w:t>
                  </w:r>
                </w:p>
              </w:tc>
            </w:tr>
            <w:tr w14:paraId="787291C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FDF1A77">
                  <w:pPr>
                    <w:jc w:val="center"/>
                    <w:rPr>
                      <w:rFonts w:ascii="Times New Roman" w:hAnsi="Times New Roman" w:eastAsia="宋体" w:cs="Times New Roman"/>
                      <w:szCs w:val="21"/>
                    </w:rPr>
                  </w:pPr>
                  <w:r>
                    <w:rPr>
                      <w:rFonts w:ascii="Times New Roman" w:hAnsi="Times New Roman" w:eastAsia="宋体" w:cs="Times New Roman"/>
                      <w:szCs w:val="21"/>
                    </w:rPr>
                    <w:t>300.0</w:t>
                  </w:r>
                </w:p>
              </w:tc>
              <w:tc>
                <w:tcPr>
                  <w:tcW w:w="1633" w:type="pct"/>
                  <w:vAlign w:val="center"/>
                </w:tcPr>
                <w:p w14:paraId="7D06FDB3">
                  <w:pPr>
                    <w:jc w:val="center"/>
                    <w:rPr>
                      <w:rFonts w:ascii="Times New Roman" w:hAnsi="Times New Roman" w:eastAsia="宋体" w:cs="Times New Roman"/>
                      <w:szCs w:val="21"/>
                    </w:rPr>
                  </w:pPr>
                  <w:r>
                    <w:rPr>
                      <w:rFonts w:ascii="Times New Roman" w:hAnsi="Times New Roman" w:eastAsia="宋体" w:cs="Times New Roman"/>
                      <w:szCs w:val="21"/>
                    </w:rPr>
                    <w:t>32.4340</w:t>
                  </w:r>
                </w:p>
              </w:tc>
              <w:tc>
                <w:tcPr>
                  <w:tcW w:w="1664" w:type="pct"/>
                  <w:vAlign w:val="center"/>
                </w:tcPr>
                <w:p w14:paraId="103FBE42">
                  <w:pPr>
                    <w:jc w:val="center"/>
                    <w:rPr>
                      <w:rFonts w:ascii="Times New Roman" w:hAnsi="Times New Roman" w:eastAsia="宋体" w:cs="Times New Roman"/>
                      <w:szCs w:val="21"/>
                    </w:rPr>
                  </w:pPr>
                  <w:r>
                    <w:rPr>
                      <w:rFonts w:ascii="Times New Roman" w:hAnsi="Times New Roman" w:eastAsia="宋体" w:cs="Times New Roman"/>
                      <w:szCs w:val="21"/>
                    </w:rPr>
                    <w:t>3.6038</w:t>
                  </w:r>
                </w:p>
              </w:tc>
            </w:tr>
            <w:tr w14:paraId="2E4A1C9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5E4ED0FC">
                  <w:pPr>
                    <w:jc w:val="center"/>
                    <w:rPr>
                      <w:rFonts w:ascii="Times New Roman" w:hAnsi="Times New Roman" w:eastAsia="宋体" w:cs="Times New Roman"/>
                      <w:szCs w:val="21"/>
                    </w:rPr>
                  </w:pPr>
                  <w:r>
                    <w:rPr>
                      <w:rFonts w:ascii="Times New Roman" w:hAnsi="Times New Roman" w:eastAsia="宋体" w:cs="Times New Roman"/>
                      <w:szCs w:val="21"/>
                    </w:rPr>
                    <w:t>400.0</w:t>
                  </w:r>
                </w:p>
              </w:tc>
              <w:tc>
                <w:tcPr>
                  <w:tcW w:w="1633" w:type="pct"/>
                  <w:vAlign w:val="center"/>
                </w:tcPr>
                <w:p w14:paraId="10B44A29">
                  <w:pPr>
                    <w:jc w:val="center"/>
                    <w:rPr>
                      <w:rFonts w:ascii="Times New Roman" w:hAnsi="Times New Roman" w:eastAsia="宋体" w:cs="Times New Roman"/>
                      <w:szCs w:val="21"/>
                    </w:rPr>
                  </w:pPr>
                  <w:r>
                    <w:rPr>
                      <w:rFonts w:ascii="Times New Roman" w:hAnsi="Times New Roman" w:eastAsia="宋体" w:cs="Times New Roman"/>
                      <w:szCs w:val="21"/>
                    </w:rPr>
                    <w:t>26.5540</w:t>
                  </w:r>
                </w:p>
              </w:tc>
              <w:tc>
                <w:tcPr>
                  <w:tcW w:w="1664" w:type="pct"/>
                  <w:vAlign w:val="center"/>
                </w:tcPr>
                <w:p w14:paraId="6F8DCEF9">
                  <w:pPr>
                    <w:jc w:val="center"/>
                    <w:rPr>
                      <w:rFonts w:ascii="Times New Roman" w:hAnsi="Times New Roman" w:eastAsia="宋体" w:cs="Times New Roman"/>
                      <w:szCs w:val="21"/>
                    </w:rPr>
                  </w:pPr>
                  <w:r>
                    <w:rPr>
                      <w:rFonts w:ascii="Times New Roman" w:hAnsi="Times New Roman" w:eastAsia="宋体" w:cs="Times New Roman"/>
                      <w:szCs w:val="21"/>
                    </w:rPr>
                    <w:t>2.9504</w:t>
                  </w:r>
                </w:p>
              </w:tc>
            </w:tr>
            <w:tr w14:paraId="4D27726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C38C478">
                  <w:pPr>
                    <w:jc w:val="center"/>
                    <w:rPr>
                      <w:rFonts w:ascii="Times New Roman" w:hAnsi="Times New Roman" w:eastAsia="宋体" w:cs="Times New Roman"/>
                      <w:szCs w:val="21"/>
                    </w:rPr>
                  </w:pPr>
                  <w:r>
                    <w:rPr>
                      <w:rFonts w:ascii="Times New Roman" w:hAnsi="Times New Roman" w:eastAsia="宋体" w:cs="Times New Roman"/>
                      <w:szCs w:val="21"/>
                    </w:rPr>
                    <w:t>500.0</w:t>
                  </w:r>
                </w:p>
              </w:tc>
              <w:tc>
                <w:tcPr>
                  <w:tcW w:w="1633" w:type="pct"/>
                  <w:vAlign w:val="center"/>
                </w:tcPr>
                <w:p w14:paraId="58D61F16">
                  <w:pPr>
                    <w:jc w:val="center"/>
                    <w:rPr>
                      <w:rFonts w:ascii="Times New Roman" w:hAnsi="Times New Roman" w:eastAsia="宋体" w:cs="Times New Roman"/>
                      <w:szCs w:val="21"/>
                    </w:rPr>
                  </w:pPr>
                  <w:r>
                    <w:rPr>
                      <w:rFonts w:ascii="Times New Roman" w:hAnsi="Times New Roman" w:eastAsia="宋体" w:cs="Times New Roman"/>
                      <w:szCs w:val="21"/>
                    </w:rPr>
                    <w:t>22.2460</w:t>
                  </w:r>
                </w:p>
              </w:tc>
              <w:tc>
                <w:tcPr>
                  <w:tcW w:w="1664" w:type="pct"/>
                  <w:vAlign w:val="center"/>
                </w:tcPr>
                <w:p w14:paraId="2973739F">
                  <w:pPr>
                    <w:jc w:val="center"/>
                    <w:rPr>
                      <w:rFonts w:ascii="Times New Roman" w:hAnsi="Times New Roman" w:eastAsia="宋体" w:cs="Times New Roman"/>
                      <w:szCs w:val="21"/>
                    </w:rPr>
                  </w:pPr>
                  <w:r>
                    <w:rPr>
                      <w:rFonts w:ascii="Times New Roman" w:hAnsi="Times New Roman" w:eastAsia="宋体" w:cs="Times New Roman"/>
                      <w:szCs w:val="21"/>
                    </w:rPr>
                    <w:t>2.4718</w:t>
                  </w:r>
                </w:p>
              </w:tc>
            </w:tr>
            <w:tr w14:paraId="0D7C10B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D5DAD5D">
                  <w:pPr>
                    <w:jc w:val="center"/>
                    <w:rPr>
                      <w:rFonts w:ascii="Times New Roman" w:hAnsi="Times New Roman" w:eastAsia="宋体" w:cs="Times New Roman"/>
                      <w:szCs w:val="21"/>
                    </w:rPr>
                  </w:pPr>
                  <w:r>
                    <w:rPr>
                      <w:rFonts w:ascii="Times New Roman" w:hAnsi="Times New Roman" w:eastAsia="宋体" w:cs="Times New Roman"/>
                      <w:szCs w:val="21"/>
                    </w:rPr>
                    <w:t>1000.0</w:t>
                  </w:r>
                </w:p>
              </w:tc>
              <w:tc>
                <w:tcPr>
                  <w:tcW w:w="1633" w:type="pct"/>
                  <w:vAlign w:val="center"/>
                </w:tcPr>
                <w:p w14:paraId="0DD0CCF6">
                  <w:pPr>
                    <w:jc w:val="center"/>
                    <w:rPr>
                      <w:rFonts w:ascii="Times New Roman" w:hAnsi="Times New Roman" w:eastAsia="宋体" w:cs="Times New Roman"/>
                      <w:szCs w:val="21"/>
                    </w:rPr>
                  </w:pPr>
                  <w:r>
                    <w:rPr>
                      <w:rFonts w:ascii="Times New Roman" w:hAnsi="Times New Roman" w:eastAsia="宋体" w:cs="Times New Roman"/>
                      <w:szCs w:val="21"/>
                    </w:rPr>
                    <w:t>11.3280</w:t>
                  </w:r>
                </w:p>
              </w:tc>
              <w:tc>
                <w:tcPr>
                  <w:tcW w:w="1664" w:type="pct"/>
                  <w:vAlign w:val="center"/>
                </w:tcPr>
                <w:p w14:paraId="1E53BCBB">
                  <w:pPr>
                    <w:jc w:val="center"/>
                    <w:rPr>
                      <w:rFonts w:ascii="Times New Roman" w:hAnsi="Times New Roman" w:eastAsia="宋体" w:cs="Times New Roman"/>
                      <w:szCs w:val="21"/>
                    </w:rPr>
                  </w:pPr>
                  <w:r>
                    <w:rPr>
                      <w:rFonts w:ascii="Times New Roman" w:hAnsi="Times New Roman" w:eastAsia="宋体" w:cs="Times New Roman"/>
                      <w:szCs w:val="21"/>
                    </w:rPr>
                    <w:t>1.2587</w:t>
                  </w:r>
                </w:p>
              </w:tc>
            </w:tr>
            <w:tr w14:paraId="2B4101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B9A6B49">
                  <w:pPr>
                    <w:jc w:val="center"/>
                    <w:rPr>
                      <w:rFonts w:ascii="Times New Roman" w:hAnsi="Times New Roman" w:eastAsia="宋体" w:cs="Times New Roman"/>
                      <w:szCs w:val="21"/>
                    </w:rPr>
                  </w:pPr>
                  <w:r>
                    <w:rPr>
                      <w:rFonts w:ascii="Times New Roman" w:hAnsi="Times New Roman" w:eastAsia="宋体" w:cs="Times New Roman"/>
                      <w:szCs w:val="21"/>
                    </w:rPr>
                    <w:t>2000.0</w:t>
                  </w:r>
                </w:p>
              </w:tc>
              <w:tc>
                <w:tcPr>
                  <w:tcW w:w="1633" w:type="pct"/>
                  <w:vAlign w:val="center"/>
                </w:tcPr>
                <w:p w14:paraId="1E12C6CF">
                  <w:pPr>
                    <w:jc w:val="center"/>
                    <w:rPr>
                      <w:rFonts w:ascii="Times New Roman" w:hAnsi="Times New Roman" w:eastAsia="宋体" w:cs="Times New Roman"/>
                      <w:szCs w:val="21"/>
                    </w:rPr>
                  </w:pPr>
                  <w:r>
                    <w:rPr>
                      <w:rFonts w:ascii="Times New Roman" w:hAnsi="Times New Roman" w:eastAsia="宋体" w:cs="Times New Roman"/>
                      <w:szCs w:val="21"/>
                    </w:rPr>
                    <w:t>5.1052</w:t>
                  </w:r>
                </w:p>
              </w:tc>
              <w:tc>
                <w:tcPr>
                  <w:tcW w:w="1664" w:type="pct"/>
                  <w:vAlign w:val="center"/>
                </w:tcPr>
                <w:p w14:paraId="5161AD45">
                  <w:pPr>
                    <w:jc w:val="center"/>
                    <w:rPr>
                      <w:rFonts w:ascii="Times New Roman" w:hAnsi="Times New Roman" w:eastAsia="宋体" w:cs="Times New Roman"/>
                      <w:szCs w:val="21"/>
                    </w:rPr>
                  </w:pPr>
                  <w:r>
                    <w:rPr>
                      <w:rFonts w:ascii="Times New Roman" w:hAnsi="Times New Roman" w:eastAsia="宋体" w:cs="Times New Roman"/>
                      <w:szCs w:val="21"/>
                    </w:rPr>
                    <w:t>0.5672</w:t>
                  </w:r>
                </w:p>
              </w:tc>
            </w:tr>
            <w:tr w14:paraId="04E74EE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7D58A15">
                  <w:pPr>
                    <w:jc w:val="center"/>
                    <w:rPr>
                      <w:rFonts w:ascii="Times New Roman" w:hAnsi="Times New Roman" w:eastAsia="宋体" w:cs="Times New Roman"/>
                      <w:szCs w:val="21"/>
                    </w:rPr>
                  </w:pPr>
                  <w:r>
                    <w:rPr>
                      <w:rFonts w:ascii="Times New Roman" w:hAnsi="Times New Roman" w:eastAsia="宋体" w:cs="Times New Roman"/>
                      <w:szCs w:val="21"/>
                    </w:rPr>
                    <w:t>2500.0</w:t>
                  </w:r>
                </w:p>
              </w:tc>
              <w:tc>
                <w:tcPr>
                  <w:tcW w:w="1633" w:type="pct"/>
                  <w:vAlign w:val="center"/>
                </w:tcPr>
                <w:p w14:paraId="561F36D2">
                  <w:pPr>
                    <w:jc w:val="center"/>
                    <w:rPr>
                      <w:rFonts w:ascii="Times New Roman" w:hAnsi="Times New Roman" w:eastAsia="宋体" w:cs="Times New Roman"/>
                      <w:szCs w:val="21"/>
                    </w:rPr>
                  </w:pPr>
                  <w:r>
                    <w:rPr>
                      <w:rFonts w:ascii="Times New Roman" w:hAnsi="Times New Roman" w:eastAsia="宋体" w:cs="Times New Roman"/>
                      <w:szCs w:val="21"/>
                    </w:rPr>
                    <w:t>3.8856</w:t>
                  </w:r>
                </w:p>
              </w:tc>
              <w:tc>
                <w:tcPr>
                  <w:tcW w:w="1664" w:type="pct"/>
                  <w:vAlign w:val="center"/>
                </w:tcPr>
                <w:p w14:paraId="06870569">
                  <w:pPr>
                    <w:jc w:val="center"/>
                    <w:rPr>
                      <w:rFonts w:ascii="Times New Roman" w:hAnsi="Times New Roman" w:eastAsia="宋体" w:cs="Times New Roman"/>
                      <w:szCs w:val="21"/>
                    </w:rPr>
                  </w:pPr>
                  <w:r>
                    <w:rPr>
                      <w:rFonts w:ascii="Times New Roman" w:hAnsi="Times New Roman" w:eastAsia="宋体" w:cs="Times New Roman"/>
                      <w:szCs w:val="21"/>
                    </w:rPr>
                    <w:t>0.4317</w:t>
                  </w:r>
                </w:p>
              </w:tc>
            </w:tr>
            <w:tr w14:paraId="6980B8F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8CBECBC">
                  <w:pPr>
                    <w:jc w:val="center"/>
                    <w:rPr>
                      <w:rFonts w:ascii="Times New Roman" w:hAnsi="Times New Roman" w:eastAsia="宋体" w:cs="Times New Roman"/>
                      <w:szCs w:val="21"/>
                    </w:rPr>
                  </w:pPr>
                  <w:r>
                    <w:rPr>
                      <w:rFonts w:ascii="Times New Roman" w:hAnsi="Times New Roman" w:eastAsia="宋体" w:cs="Times New Roman"/>
                      <w:szCs w:val="21"/>
                    </w:rPr>
                    <w:t>3000.0</w:t>
                  </w:r>
                </w:p>
              </w:tc>
              <w:tc>
                <w:tcPr>
                  <w:tcW w:w="1633" w:type="pct"/>
                  <w:vAlign w:val="center"/>
                </w:tcPr>
                <w:p w14:paraId="0245ADD6">
                  <w:pPr>
                    <w:jc w:val="center"/>
                    <w:rPr>
                      <w:rFonts w:ascii="Times New Roman" w:hAnsi="Times New Roman" w:eastAsia="宋体" w:cs="Times New Roman"/>
                      <w:szCs w:val="21"/>
                    </w:rPr>
                  </w:pPr>
                  <w:r>
                    <w:rPr>
                      <w:rFonts w:ascii="Times New Roman" w:hAnsi="Times New Roman" w:eastAsia="宋体" w:cs="Times New Roman"/>
                      <w:szCs w:val="21"/>
                    </w:rPr>
                    <w:t>3.0977</w:t>
                  </w:r>
                </w:p>
              </w:tc>
              <w:tc>
                <w:tcPr>
                  <w:tcW w:w="1664" w:type="pct"/>
                  <w:vAlign w:val="center"/>
                </w:tcPr>
                <w:p w14:paraId="462A8D6F">
                  <w:pPr>
                    <w:jc w:val="center"/>
                    <w:rPr>
                      <w:rFonts w:ascii="Times New Roman" w:hAnsi="Times New Roman" w:eastAsia="宋体" w:cs="Times New Roman"/>
                      <w:szCs w:val="21"/>
                    </w:rPr>
                  </w:pPr>
                  <w:r>
                    <w:rPr>
                      <w:rFonts w:ascii="Times New Roman" w:hAnsi="Times New Roman" w:eastAsia="宋体" w:cs="Times New Roman"/>
                      <w:szCs w:val="21"/>
                    </w:rPr>
                    <w:t>0.3442</w:t>
                  </w:r>
                </w:p>
              </w:tc>
            </w:tr>
            <w:tr w14:paraId="7C1B320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A458E57">
                  <w:pPr>
                    <w:jc w:val="center"/>
                    <w:rPr>
                      <w:rFonts w:ascii="Times New Roman" w:hAnsi="Times New Roman" w:eastAsia="宋体" w:cs="Times New Roman"/>
                      <w:szCs w:val="21"/>
                    </w:rPr>
                  </w:pPr>
                  <w:r>
                    <w:rPr>
                      <w:rFonts w:ascii="Times New Roman" w:hAnsi="Times New Roman" w:eastAsia="宋体" w:cs="Times New Roman"/>
                      <w:szCs w:val="21"/>
                    </w:rPr>
                    <w:t>4000.0</w:t>
                  </w:r>
                </w:p>
              </w:tc>
              <w:tc>
                <w:tcPr>
                  <w:tcW w:w="1633" w:type="pct"/>
                  <w:vAlign w:val="center"/>
                </w:tcPr>
                <w:p w14:paraId="29725D93">
                  <w:pPr>
                    <w:jc w:val="center"/>
                    <w:rPr>
                      <w:rFonts w:ascii="Times New Roman" w:hAnsi="Times New Roman" w:eastAsia="宋体" w:cs="Times New Roman"/>
                      <w:szCs w:val="21"/>
                    </w:rPr>
                  </w:pPr>
                  <w:r>
                    <w:rPr>
                      <w:rFonts w:ascii="Times New Roman" w:hAnsi="Times New Roman" w:eastAsia="宋体" w:cs="Times New Roman"/>
                      <w:szCs w:val="21"/>
                    </w:rPr>
                    <w:t>2.1555</w:t>
                  </w:r>
                </w:p>
              </w:tc>
              <w:tc>
                <w:tcPr>
                  <w:tcW w:w="1664" w:type="pct"/>
                  <w:vAlign w:val="center"/>
                </w:tcPr>
                <w:p w14:paraId="237C8C32">
                  <w:pPr>
                    <w:jc w:val="center"/>
                    <w:rPr>
                      <w:rFonts w:ascii="Times New Roman" w:hAnsi="Times New Roman" w:eastAsia="宋体" w:cs="Times New Roman"/>
                      <w:szCs w:val="21"/>
                    </w:rPr>
                  </w:pPr>
                  <w:r>
                    <w:rPr>
                      <w:rFonts w:ascii="Times New Roman" w:hAnsi="Times New Roman" w:eastAsia="宋体" w:cs="Times New Roman"/>
                      <w:szCs w:val="21"/>
                    </w:rPr>
                    <w:t>0.2395</w:t>
                  </w:r>
                </w:p>
              </w:tc>
            </w:tr>
            <w:tr w14:paraId="50C04B1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A5C1F66">
                  <w:pPr>
                    <w:jc w:val="center"/>
                    <w:rPr>
                      <w:rFonts w:ascii="Times New Roman" w:hAnsi="Times New Roman" w:eastAsia="宋体" w:cs="Times New Roman"/>
                      <w:szCs w:val="21"/>
                    </w:rPr>
                  </w:pPr>
                  <w:r>
                    <w:rPr>
                      <w:rFonts w:ascii="Times New Roman" w:hAnsi="Times New Roman" w:eastAsia="宋体" w:cs="Times New Roman"/>
                      <w:szCs w:val="21"/>
                    </w:rPr>
                    <w:t>5000.0</w:t>
                  </w:r>
                </w:p>
              </w:tc>
              <w:tc>
                <w:tcPr>
                  <w:tcW w:w="1633" w:type="pct"/>
                  <w:vAlign w:val="center"/>
                </w:tcPr>
                <w:p w14:paraId="7B2D5D80">
                  <w:pPr>
                    <w:jc w:val="center"/>
                    <w:rPr>
                      <w:rFonts w:ascii="Times New Roman" w:hAnsi="Times New Roman" w:eastAsia="宋体" w:cs="Times New Roman"/>
                      <w:szCs w:val="21"/>
                    </w:rPr>
                  </w:pPr>
                  <w:r>
                    <w:rPr>
                      <w:rFonts w:ascii="Times New Roman" w:hAnsi="Times New Roman" w:eastAsia="宋体" w:cs="Times New Roman"/>
                      <w:szCs w:val="21"/>
                    </w:rPr>
                    <w:t>1.6216</w:t>
                  </w:r>
                </w:p>
              </w:tc>
              <w:tc>
                <w:tcPr>
                  <w:tcW w:w="1664" w:type="pct"/>
                  <w:vAlign w:val="center"/>
                </w:tcPr>
                <w:p w14:paraId="1668E25A">
                  <w:pPr>
                    <w:jc w:val="center"/>
                    <w:rPr>
                      <w:rFonts w:ascii="Times New Roman" w:hAnsi="Times New Roman" w:eastAsia="宋体" w:cs="Times New Roman"/>
                      <w:szCs w:val="21"/>
                    </w:rPr>
                  </w:pPr>
                  <w:r>
                    <w:rPr>
                      <w:rFonts w:ascii="Times New Roman" w:hAnsi="Times New Roman" w:eastAsia="宋体" w:cs="Times New Roman"/>
                      <w:szCs w:val="21"/>
                    </w:rPr>
                    <w:t>0.1802</w:t>
                  </w:r>
                </w:p>
              </w:tc>
            </w:tr>
            <w:tr w14:paraId="363588E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C0CCA1A">
                  <w:pPr>
                    <w:jc w:val="center"/>
                    <w:rPr>
                      <w:rFonts w:ascii="Times New Roman" w:hAnsi="Times New Roman" w:eastAsia="宋体" w:cs="Times New Roman"/>
                      <w:szCs w:val="21"/>
                    </w:rPr>
                  </w:pPr>
                  <w:r>
                    <w:rPr>
                      <w:rFonts w:ascii="Times New Roman" w:hAnsi="Times New Roman" w:eastAsia="宋体" w:cs="Times New Roman"/>
                      <w:szCs w:val="21"/>
                    </w:rPr>
                    <w:t>20000.0</w:t>
                  </w:r>
                </w:p>
              </w:tc>
              <w:tc>
                <w:tcPr>
                  <w:tcW w:w="1633" w:type="pct"/>
                  <w:vAlign w:val="center"/>
                </w:tcPr>
                <w:p w14:paraId="11B23C1D">
                  <w:pPr>
                    <w:jc w:val="center"/>
                    <w:rPr>
                      <w:rFonts w:ascii="Times New Roman" w:hAnsi="Times New Roman" w:eastAsia="宋体" w:cs="Times New Roman"/>
                      <w:szCs w:val="21"/>
                    </w:rPr>
                  </w:pPr>
                  <w:r>
                    <w:rPr>
                      <w:rFonts w:ascii="Times New Roman" w:hAnsi="Times New Roman" w:eastAsia="宋体" w:cs="Times New Roman"/>
                      <w:szCs w:val="21"/>
                    </w:rPr>
                    <w:t>0.2667</w:t>
                  </w:r>
                </w:p>
              </w:tc>
              <w:tc>
                <w:tcPr>
                  <w:tcW w:w="1664" w:type="pct"/>
                  <w:vAlign w:val="center"/>
                </w:tcPr>
                <w:p w14:paraId="7DB8D0F7">
                  <w:pPr>
                    <w:jc w:val="center"/>
                    <w:rPr>
                      <w:rFonts w:ascii="Times New Roman" w:hAnsi="Times New Roman" w:eastAsia="宋体" w:cs="Times New Roman"/>
                      <w:szCs w:val="21"/>
                    </w:rPr>
                  </w:pPr>
                  <w:r>
                    <w:rPr>
                      <w:rFonts w:ascii="Times New Roman" w:hAnsi="Times New Roman" w:eastAsia="宋体" w:cs="Times New Roman"/>
                      <w:szCs w:val="21"/>
                    </w:rPr>
                    <w:t>0.0296</w:t>
                  </w:r>
                </w:p>
              </w:tc>
            </w:tr>
            <w:tr w14:paraId="7F9B929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ED27C82">
                  <w:pPr>
                    <w:jc w:val="center"/>
                    <w:rPr>
                      <w:rFonts w:ascii="Times New Roman" w:hAnsi="Times New Roman" w:eastAsia="宋体" w:cs="Times New Roman"/>
                      <w:szCs w:val="21"/>
                    </w:rPr>
                  </w:pPr>
                  <w:r>
                    <w:rPr>
                      <w:rFonts w:ascii="Times New Roman" w:hAnsi="Times New Roman" w:eastAsia="宋体" w:cs="Times New Roman"/>
                      <w:szCs w:val="21"/>
                    </w:rPr>
                    <w:t>25000.0</w:t>
                  </w:r>
                </w:p>
              </w:tc>
              <w:tc>
                <w:tcPr>
                  <w:tcW w:w="1633" w:type="pct"/>
                  <w:vAlign w:val="center"/>
                </w:tcPr>
                <w:p w14:paraId="2BFF589A">
                  <w:pPr>
                    <w:jc w:val="center"/>
                    <w:rPr>
                      <w:rFonts w:ascii="Times New Roman" w:hAnsi="Times New Roman" w:eastAsia="宋体" w:cs="Times New Roman"/>
                      <w:szCs w:val="21"/>
                    </w:rPr>
                  </w:pPr>
                  <w:r>
                    <w:rPr>
                      <w:rFonts w:ascii="Times New Roman" w:hAnsi="Times New Roman" w:eastAsia="宋体" w:cs="Times New Roman"/>
                      <w:szCs w:val="21"/>
                    </w:rPr>
                    <w:t>0.2217</w:t>
                  </w:r>
                </w:p>
              </w:tc>
              <w:tc>
                <w:tcPr>
                  <w:tcW w:w="1664" w:type="pct"/>
                  <w:vAlign w:val="center"/>
                </w:tcPr>
                <w:p w14:paraId="7DF6C975">
                  <w:pPr>
                    <w:jc w:val="center"/>
                    <w:rPr>
                      <w:rFonts w:ascii="Times New Roman" w:hAnsi="Times New Roman" w:eastAsia="宋体" w:cs="Times New Roman"/>
                      <w:szCs w:val="21"/>
                    </w:rPr>
                  </w:pPr>
                  <w:r>
                    <w:rPr>
                      <w:rFonts w:ascii="Times New Roman" w:hAnsi="Times New Roman" w:eastAsia="宋体" w:cs="Times New Roman"/>
                      <w:szCs w:val="21"/>
                    </w:rPr>
                    <w:t>0.0246</w:t>
                  </w:r>
                </w:p>
              </w:tc>
            </w:tr>
            <w:tr w14:paraId="0A93EB5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E530206">
                  <w:pPr>
                    <w:jc w:val="center"/>
                    <w:rPr>
                      <w:rFonts w:ascii="Times New Roman" w:hAnsi="Times New Roman" w:eastAsia="宋体" w:cs="Times New Roman"/>
                      <w:szCs w:val="21"/>
                    </w:rPr>
                  </w:pPr>
                  <w:r>
                    <w:rPr>
                      <w:rFonts w:ascii="Times New Roman" w:hAnsi="Times New Roman" w:eastAsia="宋体" w:cs="Times New Roman"/>
                      <w:szCs w:val="21"/>
                    </w:rPr>
                    <w:t>下风向最大浓度</w:t>
                  </w:r>
                </w:p>
              </w:tc>
              <w:tc>
                <w:tcPr>
                  <w:tcW w:w="1633" w:type="pct"/>
                  <w:vAlign w:val="center"/>
                </w:tcPr>
                <w:p w14:paraId="218153F5">
                  <w:pPr>
                    <w:jc w:val="center"/>
                    <w:rPr>
                      <w:rFonts w:ascii="Times New Roman" w:hAnsi="Times New Roman" w:eastAsia="宋体" w:cs="Times New Roman"/>
                      <w:szCs w:val="21"/>
                    </w:rPr>
                  </w:pPr>
                  <w:r>
                    <w:rPr>
                      <w:rFonts w:ascii="Times New Roman" w:hAnsi="Times New Roman" w:eastAsia="宋体" w:cs="Times New Roman"/>
                      <w:szCs w:val="21"/>
                    </w:rPr>
                    <w:t>82.5320</w:t>
                  </w:r>
                </w:p>
              </w:tc>
              <w:tc>
                <w:tcPr>
                  <w:tcW w:w="1664" w:type="pct"/>
                  <w:vAlign w:val="center"/>
                </w:tcPr>
                <w:p w14:paraId="797EA52F">
                  <w:pPr>
                    <w:jc w:val="center"/>
                    <w:rPr>
                      <w:rFonts w:ascii="Times New Roman" w:hAnsi="Times New Roman" w:eastAsia="宋体" w:cs="Times New Roman"/>
                      <w:szCs w:val="21"/>
                    </w:rPr>
                  </w:pPr>
                  <w:r>
                    <w:rPr>
                      <w:rFonts w:ascii="Times New Roman" w:hAnsi="Times New Roman" w:eastAsia="宋体" w:cs="Times New Roman"/>
                      <w:szCs w:val="21"/>
                    </w:rPr>
                    <w:t>9.1702</w:t>
                  </w:r>
                </w:p>
              </w:tc>
            </w:tr>
            <w:tr w14:paraId="4B54047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7B85EC4">
                  <w:pPr>
                    <w:jc w:val="center"/>
                    <w:rPr>
                      <w:rFonts w:ascii="Times New Roman" w:hAnsi="Times New Roman" w:eastAsia="宋体" w:cs="Times New Roman"/>
                      <w:szCs w:val="21"/>
                    </w:rPr>
                  </w:pPr>
                  <w:r>
                    <w:rPr>
                      <w:rFonts w:ascii="Times New Roman" w:hAnsi="Times New Roman" w:eastAsia="宋体" w:cs="Times New Roman"/>
                      <w:szCs w:val="21"/>
                    </w:rPr>
                    <w:t>下风向最大浓度出现距离</w:t>
                  </w:r>
                </w:p>
              </w:tc>
              <w:tc>
                <w:tcPr>
                  <w:tcW w:w="1633" w:type="pct"/>
                  <w:vAlign w:val="center"/>
                </w:tcPr>
                <w:p w14:paraId="27187034">
                  <w:pPr>
                    <w:jc w:val="center"/>
                    <w:rPr>
                      <w:rFonts w:ascii="Times New Roman" w:hAnsi="Times New Roman" w:eastAsia="宋体" w:cs="Times New Roman"/>
                      <w:szCs w:val="21"/>
                    </w:rPr>
                  </w:pPr>
                  <w:r>
                    <w:rPr>
                      <w:rFonts w:ascii="Times New Roman" w:hAnsi="Times New Roman" w:eastAsia="宋体" w:cs="Times New Roman"/>
                      <w:szCs w:val="21"/>
                    </w:rPr>
                    <w:t>41.01</w:t>
                  </w:r>
                </w:p>
              </w:tc>
              <w:tc>
                <w:tcPr>
                  <w:tcW w:w="1664" w:type="pct"/>
                  <w:vAlign w:val="center"/>
                </w:tcPr>
                <w:p w14:paraId="6F953D0D">
                  <w:pPr>
                    <w:jc w:val="center"/>
                    <w:rPr>
                      <w:rFonts w:ascii="Times New Roman" w:hAnsi="Times New Roman" w:eastAsia="宋体" w:cs="Times New Roman"/>
                      <w:szCs w:val="21"/>
                    </w:rPr>
                  </w:pPr>
                  <w:r>
                    <w:rPr>
                      <w:rFonts w:ascii="Times New Roman" w:hAnsi="Times New Roman" w:eastAsia="宋体" w:cs="Times New Roman"/>
                      <w:szCs w:val="21"/>
                    </w:rPr>
                    <w:t>41.01</w:t>
                  </w:r>
                </w:p>
              </w:tc>
            </w:tr>
            <w:tr w14:paraId="0F5283D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13C6D65">
                  <w:pPr>
                    <w:jc w:val="center"/>
                    <w:rPr>
                      <w:rFonts w:ascii="Times New Roman" w:hAnsi="Times New Roman" w:eastAsia="宋体" w:cs="Times New Roman"/>
                      <w:szCs w:val="21"/>
                    </w:rPr>
                  </w:pPr>
                  <w:r>
                    <w:rPr>
                      <w:rFonts w:ascii="Times New Roman" w:hAnsi="Times New Roman" w:eastAsia="宋体" w:cs="Times New Roman"/>
                      <w:szCs w:val="21"/>
                    </w:rPr>
                    <w:t>D10%最远距离</w:t>
                  </w:r>
                </w:p>
              </w:tc>
              <w:tc>
                <w:tcPr>
                  <w:tcW w:w="1633" w:type="pct"/>
                  <w:vAlign w:val="center"/>
                </w:tcPr>
                <w:p w14:paraId="363DBAEC">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664" w:type="pct"/>
                  <w:vAlign w:val="center"/>
                </w:tcPr>
                <w:p w14:paraId="7938B3B1">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6B98905E">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表7-12  污染源结果（</w:t>
            </w:r>
            <w:r>
              <w:rPr>
                <w:rFonts w:ascii="宋体" w:hAnsi="宋体" w:eastAsia="宋体"/>
                <w:sz w:val="23"/>
                <w:szCs w:val="23"/>
              </w:rPr>
              <w:t>15m排气筒</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821"/>
              <w:gridCol w:w="2705"/>
              <w:gridCol w:w="2756"/>
            </w:tblGrid>
            <w:tr w14:paraId="11DA959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restart"/>
                  <w:vAlign w:val="center"/>
                </w:tcPr>
                <w:p w14:paraId="56E74801">
                  <w:pPr>
                    <w:jc w:val="center"/>
                    <w:rPr>
                      <w:rFonts w:ascii="Times New Roman" w:hAnsi="Times New Roman" w:eastAsia="宋体" w:cs="Times New Roman"/>
                      <w:szCs w:val="21"/>
                    </w:rPr>
                  </w:pPr>
                  <w:r>
                    <w:rPr>
                      <w:rFonts w:ascii="Times New Roman" w:hAnsi="Times New Roman" w:eastAsia="宋体" w:cs="Times New Roman"/>
                      <w:szCs w:val="21"/>
                    </w:rPr>
                    <w:t>下风向距离</w:t>
                  </w:r>
                </w:p>
              </w:tc>
              <w:tc>
                <w:tcPr>
                  <w:tcW w:w="3297" w:type="pct"/>
                  <w:gridSpan w:val="2"/>
                  <w:vAlign w:val="center"/>
                </w:tcPr>
                <w:p w14:paraId="01C230E6">
                  <w:pPr>
                    <w:jc w:val="center"/>
                    <w:rPr>
                      <w:rFonts w:ascii="Times New Roman" w:hAnsi="Times New Roman" w:eastAsia="宋体" w:cs="Times New Roman"/>
                      <w:szCs w:val="21"/>
                    </w:rPr>
                  </w:pPr>
                  <w:r>
                    <w:rPr>
                      <w:rFonts w:ascii="Times New Roman" w:hAnsi="Times New Roman" w:eastAsia="宋体" w:cs="Times New Roman"/>
                      <w:szCs w:val="21"/>
                    </w:rPr>
                    <w:t>15m排气筒</w:t>
                  </w:r>
                </w:p>
              </w:tc>
            </w:tr>
            <w:tr w14:paraId="27C0AAB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continue"/>
                  <w:vAlign w:val="center"/>
                </w:tcPr>
                <w:p w14:paraId="09A87D06">
                  <w:pPr>
                    <w:jc w:val="center"/>
                    <w:rPr>
                      <w:rFonts w:ascii="Times New Roman" w:hAnsi="Times New Roman" w:eastAsia="宋体" w:cs="Times New Roman"/>
                      <w:szCs w:val="21"/>
                    </w:rPr>
                  </w:pPr>
                </w:p>
              </w:tc>
              <w:tc>
                <w:tcPr>
                  <w:tcW w:w="1633" w:type="pct"/>
                  <w:vAlign w:val="center"/>
                </w:tcPr>
                <w:p w14:paraId="1FD11324">
                  <w:pPr>
                    <w:jc w:val="center"/>
                    <w:rPr>
                      <w:rFonts w:ascii="Times New Roman" w:hAnsi="Times New Roman" w:eastAsia="宋体" w:cs="Times New Roman"/>
                      <w:szCs w:val="21"/>
                    </w:rPr>
                  </w:pPr>
                  <w:r>
                    <w:rPr>
                      <w:rFonts w:ascii="Times New Roman" w:hAnsi="Times New Roman" w:eastAsia="宋体" w:cs="Times New Roman"/>
                      <w:szCs w:val="21"/>
                    </w:rPr>
                    <w:t>TSP浓度</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1664" w:type="pct"/>
                  <w:vAlign w:val="center"/>
                </w:tcPr>
                <w:p w14:paraId="32D81C41">
                  <w:pPr>
                    <w:jc w:val="center"/>
                    <w:rPr>
                      <w:rFonts w:ascii="Times New Roman" w:hAnsi="Times New Roman" w:eastAsia="宋体" w:cs="Times New Roman"/>
                      <w:szCs w:val="21"/>
                    </w:rPr>
                  </w:pPr>
                  <w:r>
                    <w:rPr>
                      <w:rFonts w:ascii="Times New Roman" w:hAnsi="Times New Roman" w:eastAsia="宋体" w:cs="Times New Roman"/>
                      <w:szCs w:val="21"/>
                    </w:rPr>
                    <w:t>TSP占标率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r>
            <w:tr w14:paraId="2081ECA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562757E">
                  <w:pPr>
                    <w:jc w:val="center"/>
                    <w:rPr>
                      <w:rFonts w:ascii="Times New Roman" w:hAnsi="Times New Roman" w:eastAsia="宋体" w:cs="Times New Roman"/>
                      <w:szCs w:val="21"/>
                    </w:rPr>
                  </w:pPr>
                  <w:r>
                    <w:rPr>
                      <w:rFonts w:ascii="宋体" w:hAnsi="宋体" w:eastAsia="宋体"/>
                      <w:sz w:val="23"/>
                      <w:szCs w:val="23"/>
                    </w:rPr>
                    <w:t>50.0</w:t>
                  </w:r>
                </w:p>
              </w:tc>
              <w:tc>
                <w:tcPr>
                  <w:tcW w:w="1633" w:type="pct"/>
                  <w:vAlign w:val="center"/>
                </w:tcPr>
                <w:p w14:paraId="4D422708">
                  <w:pPr>
                    <w:jc w:val="center"/>
                    <w:rPr>
                      <w:rFonts w:ascii="Times New Roman" w:hAnsi="Times New Roman" w:eastAsia="宋体" w:cs="Times New Roman"/>
                      <w:szCs w:val="21"/>
                    </w:rPr>
                  </w:pPr>
                  <w:r>
                    <w:rPr>
                      <w:rFonts w:ascii="宋体" w:hAnsi="宋体" w:eastAsia="宋体"/>
                      <w:sz w:val="23"/>
                      <w:szCs w:val="23"/>
                    </w:rPr>
                    <w:t>0.2420</w:t>
                  </w:r>
                </w:p>
              </w:tc>
              <w:tc>
                <w:tcPr>
                  <w:tcW w:w="1664" w:type="pct"/>
                  <w:vAlign w:val="center"/>
                </w:tcPr>
                <w:p w14:paraId="7DE049F3">
                  <w:pPr>
                    <w:jc w:val="center"/>
                    <w:rPr>
                      <w:rFonts w:ascii="Times New Roman" w:hAnsi="Times New Roman" w:eastAsia="宋体" w:cs="Times New Roman"/>
                      <w:szCs w:val="21"/>
                    </w:rPr>
                  </w:pPr>
                  <w:r>
                    <w:rPr>
                      <w:rFonts w:ascii="宋体" w:hAnsi="宋体" w:eastAsia="宋体"/>
                      <w:sz w:val="23"/>
                      <w:szCs w:val="23"/>
                    </w:rPr>
                    <w:t>0.0269</w:t>
                  </w:r>
                </w:p>
              </w:tc>
            </w:tr>
            <w:tr w14:paraId="2E0FA76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35FD859">
                  <w:pPr>
                    <w:jc w:val="center"/>
                    <w:rPr>
                      <w:rFonts w:ascii="Times New Roman" w:hAnsi="Times New Roman" w:eastAsia="宋体" w:cs="Times New Roman"/>
                      <w:szCs w:val="21"/>
                    </w:rPr>
                  </w:pPr>
                  <w:r>
                    <w:rPr>
                      <w:rFonts w:ascii="宋体" w:hAnsi="宋体" w:eastAsia="宋体"/>
                      <w:sz w:val="23"/>
                      <w:szCs w:val="23"/>
                    </w:rPr>
                    <w:t>100.0</w:t>
                  </w:r>
                </w:p>
              </w:tc>
              <w:tc>
                <w:tcPr>
                  <w:tcW w:w="1633" w:type="pct"/>
                  <w:vAlign w:val="center"/>
                </w:tcPr>
                <w:p w14:paraId="7EFB8B78">
                  <w:pPr>
                    <w:jc w:val="center"/>
                    <w:rPr>
                      <w:rFonts w:ascii="Times New Roman" w:hAnsi="Times New Roman" w:eastAsia="宋体" w:cs="Times New Roman"/>
                      <w:szCs w:val="21"/>
                    </w:rPr>
                  </w:pPr>
                  <w:r>
                    <w:rPr>
                      <w:rFonts w:ascii="宋体" w:hAnsi="宋体" w:eastAsia="宋体"/>
                      <w:sz w:val="23"/>
                      <w:szCs w:val="23"/>
                    </w:rPr>
                    <w:t>0.2551</w:t>
                  </w:r>
                </w:p>
              </w:tc>
              <w:tc>
                <w:tcPr>
                  <w:tcW w:w="1664" w:type="pct"/>
                  <w:vAlign w:val="center"/>
                </w:tcPr>
                <w:p w14:paraId="13228331">
                  <w:pPr>
                    <w:jc w:val="center"/>
                    <w:rPr>
                      <w:rFonts w:ascii="Times New Roman" w:hAnsi="Times New Roman" w:eastAsia="宋体" w:cs="Times New Roman"/>
                      <w:szCs w:val="21"/>
                    </w:rPr>
                  </w:pPr>
                  <w:r>
                    <w:rPr>
                      <w:rFonts w:ascii="宋体" w:hAnsi="宋体" w:eastAsia="宋体"/>
                      <w:sz w:val="23"/>
                      <w:szCs w:val="23"/>
                    </w:rPr>
                    <w:t>0.0283</w:t>
                  </w:r>
                </w:p>
              </w:tc>
            </w:tr>
            <w:tr w14:paraId="5C7B90C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994C6AC">
                  <w:pPr>
                    <w:jc w:val="center"/>
                    <w:rPr>
                      <w:rFonts w:ascii="Times New Roman" w:hAnsi="Times New Roman" w:eastAsia="宋体" w:cs="Times New Roman"/>
                      <w:szCs w:val="21"/>
                    </w:rPr>
                  </w:pPr>
                  <w:r>
                    <w:rPr>
                      <w:rFonts w:ascii="宋体" w:hAnsi="宋体" w:eastAsia="宋体"/>
                      <w:sz w:val="23"/>
                      <w:szCs w:val="23"/>
                    </w:rPr>
                    <w:t>200.0</w:t>
                  </w:r>
                </w:p>
              </w:tc>
              <w:tc>
                <w:tcPr>
                  <w:tcW w:w="1633" w:type="pct"/>
                  <w:vAlign w:val="center"/>
                </w:tcPr>
                <w:p w14:paraId="4B96822F">
                  <w:pPr>
                    <w:jc w:val="center"/>
                    <w:rPr>
                      <w:rFonts w:ascii="Times New Roman" w:hAnsi="Times New Roman" w:eastAsia="宋体" w:cs="Times New Roman"/>
                      <w:szCs w:val="21"/>
                    </w:rPr>
                  </w:pPr>
                  <w:r>
                    <w:rPr>
                      <w:rFonts w:ascii="宋体" w:hAnsi="宋体" w:eastAsia="宋体"/>
                      <w:sz w:val="23"/>
                      <w:szCs w:val="23"/>
                    </w:rPr>
                    <w:t>22.1810</w:t>
                  </w:r>
                </w:p>
              </w:tc>
              <w:tc>
                <w:tcPr>
                  <w:tcW w:w="1664" w:type="pct"/>
                  <w:vAlign w:val="center"/>
                </w:tcPr>
                <w:p w14:paraId="680D2CC6">
                  <w:pPr>
                    <w:jc w:val="center"/>
                    <w:rPr>
                      <w:rFonts w:ascii="Times New Roman" w:hAnsi="Times New Roman" w:eastAsia="宋体" w:cs="Times New Roman"/>
                      <w:szCs w:val="21"/>
                    </w:rPr>
                  </w:pPr>
                  <w:r>
                    <w:rPr>
                      <w:rFonts w:ascii="宋体" w:hAnsi="宋体" w:eastAsia="宋体"/>
                      <w:sz w:val="23"/>
                      <w:szCs w:val="23"/>
                    </w:rPr>
                    <w:t>2.4646</w:t>
                  </w:r>
                </w:p>
              </w:tc>
            </w:tr>
            <w:tr w14:paraId="1327C55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B6D1A60">
                  <w:pPr>
                    <w:jc w:val="center"/>
                    <w:rPr>
                      <w:rFonts w:ascii="Times New Roman" w:hAnsi="Times New Roman" w:eastAsia="宋体" w:cs="Times New Roman"/>
                      <w:szCs w:val="21"/>
                    </w:rPr>
                  </w:pPr>
                  <w:r>
                    <w:rPr>
                      <w:rFonts w:ascii="宋体" w:hAnsi="宋体" w:eastAsia="宋体"/>
                      <w:sz w:val="23"/>
                      <w:szCs w:val="23"/>
                    </w:rPr>
                    <w:t>300.0</w:t>
                  </w:r>
                </w:p>
              </w:tc>
              <w:tc>
                <w:tcPr>
                  <w:tcW w:w="1633" w:type="pct"/>
                  <w:vAlign w:val="center"/>
                </w:tcPr>
                <w:p w14:paraId="73999BAE">
                  <w:pPr>
                    <w:jc w:val="center"/>
                    <w:rPr>
                      <w:rFonts w:ascii="Times New Roman" w:hAnsi="Times New Roman" w:eastAsia="宋体" w:cs="Times New Roman"/>
                      <w:szCs w:val="21"/>
                    </w:rPr>
                  </w:pPr>
                  <w:r>
                    <w:rPr>
                      <w:rFonts w:ascii="宋体" w:hAnsi="宋体" w:eastAsia="宋体"/>
                      <w:sz w:val="23"/>
                      <w:szCs w:val="23"/>
                    </w:rPr>
                    <w:t>9.4452</w:t>
                  </w:r>
                </w:p>
              </w:tc>
              <w:tc>
                <w:tcPr>
                  <w:tcW w:w="1664" w:type="pct"/>
                  <w:vAlign w:val="center"/>
                </w:tcPr>
                <w:p w14:paraId="66F65500">
                  <w:pPr>
                    <w:jc w:val="center"/>
                    <w:rPr>
                      <w:rFonts w:ascii="Times New Roman" w:hAnsi="Times New Roman" w:eastAsia="宋体" w:cs="Times New Roman"/>
                      <w:szCs w:val="21"/>
                    </w:rPr>
                  </w:pPr>
                  <w:r>
                    <w:rPr>
                      <w:rFonts w:ascii="宋体" w:hAnsi="宋体" w:eastAsia="宋体"/>
                      <w:sz w:val="23"/>
                      <w:szCs w:val="23"/>
                    </w:rPr>
                    <w:t>1.0495</w:t>
                  </w:r>
                </w:p>
              </w:tc>
            </w:tr>
            <w:tr w14:paraId="4E4900C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7CA09AB">
                  <w:pPr>
                    <w:jc w:val="center"/>
                    <w:rPr>
                      <w:rFonts w:ascii="Times New Roman" w:hAnsi="Times New Roman" w:eastAsia="宋体" w:cs="Times New Roman"/>
                      <w:szCs w:val="21"/>
                    </w:rPr>
                  </w:pPr>
                  <w:r>
                    <w:rPr>
                      <w:rFonts w:ascii="宋体" w:hAnsi="宋体" w:eastAsia="宋体"/>
                      <w:sz w:val="23"/>
                      <w:szCs w:val="23"/>
                    </w:rPr>
                    <w:t>400.0</w:t>
                  </w:r>
                </w:p>
              </w:tc>
              <w:tc>
                <w:tcPr>
                  <w:tcW w:w="1633" w:type="pct"/>
                  <w:vAlign w:val="center"/>
                </w:tcPr>
                <w:p w14:paraId="1CE1E361">
                  <w:pPr>
                    <w:jc w:val="center"/>
                    <w:rPr>
                      <w:rFonts w:ascii="Times New Roman" w:hAnsi="Times New Roman" w:eastAsia="宋体" w:cs="Times New Roman"/>
                      <w:szCs w:val="21"/>
                    </w:rPr>
                  </w:pPr>
                  <w:r>
                    <w:rPr>
                      <w:rFonts w:ascii="宋体" w:hAnsi="宋体" w:eastAsia="宋体"/>
                      <w:sz w:val="23"/>
                      <w:szCs w:val="23"/>
                    </w:rPr>
                    <w:t>6.0916</w:t>
                  </w:r>
                </w:p>
              </w:tc>
              <w:tc>
                <w:tcPr>
                  <w:tcW w:w="1664" w:type="pct"/>
                  <w:vAlign w:val="center"/>
                </w:tcPr>
                <w:p w14:paraId="20DCB644">
                  <w:pPr>
                    <w:jc w:val="center"/>
                    <w:rPr>
                      <w:rFonts w:ascii="Times New Roman" w:hAnsi="Times New Roman" w:eastAsia="宋体" w:cs="Times New Roman"/>
                      <w:szCs w:val="21"/>
                    </w:rPr>
                  </w:pPr>
                  <w:r>
                    <w:rPr>
                      <w:rFonts w:ascii="宋体" w:hAnsi="宋体" w:eastAsia="宋体"/>
                      <w:sz w:val="23"/>
                      <w:szCs w:val="23"/>
                    </w:rPr>
                    <w:t>0.6768</w:t>
                  </w:r>
                </w:p>
              </w:tc>
            </w:tr>
            <w:tr w14:paraId="189F9C3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1AED2D7">
                  <w:pPr>
                    <w:jc w:val="center"/>
                    <w:rPr>
                      <w:rFonts w:ascii="Times New Roman" w:hAnsi="Times New Roman" w:eastAsia="宋体" w:cs="Times New Roman"/>
                      <w:szCs w:val="21"/>
                    </w:rPr>
                  </w:pPr>
                  <w:r>
                    <w:rPr>
                      <w:rFonts w:ascii="宋体" w:hAnsi="宋体" w:eastAsia="宋体"/>
                      <w:sz w:val="23"/>
                      <w:szCs w:val="23"/>
                    </w:rPr>
                    <w:t>500.0</w:t>
                  </w:r>
                </w:p>
              </w:tc>
              <w:tc>
                <w:tcPr>
                  <w:tcW w:w="1633" w:type="pct"/>
                  <w:vAlign w:val="center"/>
                </w:tcPr>
                <w:p w14:paraId="0ADB5D12">
                  <w:pPr>
                    <w:jc w:val="center"/>
                    <w:rPr>
                      <w:rFonts w:ascii="Times New Roman" w:hAnsi="Times New Roman" w:eastAsia="宋体" w:cs="Times New Roman"/>
                      <w:szCs w:val="21"/>
                    </w:rPr>
                  </w:pPr>
                  <w:r>
                    <w:rPr>
                      <w:rFonts w:ascii="宋体" w:hAnsi="宋体" w:eastAsia="宋体"/>
                      <w:sz w:val="23"/>
                      <w:szCs w:val="23"/>
                    </w:rPr>
                    <w:t>8.1896</w:t>
                  </w:r>
                </w:p>
              </w:tc>
              <w:tc>
                <w:tcPr>
                  <w:tcW w:w="1664" w:type="pct"/>
                  <w:vAlign w:val="center"/>
                </w:tcPr>
                <w:p w14:paraId="1C8E42A6">
                  <w:pPr>
                    <w:jc w:val="center"/>
                    <w:rPr>
                      <w:rFonts w:ascii="Times New Roman" w:hAnsi="Times New Roman" w:eastAsia="宋体" w:cs="Times New Roman"/>
                      <w:szCs w:val="21"/>
                    </w:rPr>
                  </w:pPr>
                  <w:r>
                    <w:rPr>
                      <w:rFonts w:ascii="宋体" w:hAnsi="宋体" w:eastAsia="宋体"/>
                      <w:sz w:val="23"/>
                      <w:szCs w:val="23"/>
                    </w:rPr>
                    <w:t>0.9100</w:t>
                  </w:r>
                </w:p>
              </w:tc>
            </w:tr>
            <w:tr w14:paraId="48E4E53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E39CA5E">
                  <w:pPr>
                    <w:jc w:val="center"/>
                    <w:rPr>
                      <w:rFonts w:ascii="Times New Roman" w:hAnsi="Times New Roman" w:eastAsia="宋体" w:cs="Times New Roman"/>
                      <w:szCs w:val="21"/>
                    </w:rPr>
                  </w:pPr>
                  <w:r>
                    <w:rPr>
                      <w:rFonts w:ascii="宋体" w:hAnsi="宋体" w:eastAsia="宋体"/>
                      <w:sz w:val="23"/>
                      <w:szCs w:val="23"/>
                    </w:rPr>
                    <w:t>1000.0</w:t>
                  </w:r>
                </w:p>
              </w:tc>
              <w:tc>
                <w:tcPr>
                  <w:tcW w:w="1633" w:type="pct"/>
                  <w:vAlign w:val="center"/>
                </w:tcPr>
                <w:p w14:paraId="4A155BCE">
                  <w:pPr>
                    <w:jc w:val="center"/>
                    <w:rPr>
                      <w:rFonts w:ascii="Times New Roman" w:hAnsi="Times New Roman" w:eastAsia="宋体" w:cs="Times New Roman"/>
                      <w:szCs w:val="21"/>
                    </w:rPr>
                  </w:pPr>
                  <w:r>
                    <w:rPr>
                      <w:rFonts w:ascii="宋体" w:hAnsi="宋体" w:eastAsia="宋体"/>
                      <w:sz w:val="23"/>
                      <w:szCs w:val="23"/>
                    </w:rPr>
                    <w:t>1.7966</w:t>
                  </w:r>
                </w:p>
              </w:tc>
              <w:tc>
                <w:tcPr>
                  <w:tcW w:w="1664" w:type="pct"/>
                  <w:vAlign w:val="center"/>
                </w:tcPr>
                <w:p w14:paraId="306FB7A4">
                  <w:pPr>
                    <w:jc w:val="center"/>
                    <w:rPr>
                      <w:rFonts w:ascii="Times New Roman" w:hAnsi="Times New Roman" w:eastAsia="宋体" w:cs="Times New Roman"/>
                      <w:szCs w:val="21"/>
                    </w:rPr>
                  </w:pPr>
                  <w:r>
                    <w:rPr>
                      <w:rFonts w:ascii="宋体" w:hAnsi="宋体" w:eastAsia="宋体"/>
                      <w:sz w:val="23"/>
                      <w:szCs w:val="23"/>
                    </w:rPr>
                    <w:t>0.1996</w:t>
                  </w:r>
                </w:p>
              </w:tc>
            </w:tr>
            <w:tr w14:paraId="6A94EE2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1039881B">
                  <w:pPr>
                    <w:jc w:val="center"/>
                    <w:rPr>
                      <w:rFonts w:ascii="Times New Roman" w:hAnsi="Times New Roman" w:eastAsia="宋体" w:cs="Times New Roman"/>
                      <w:szCs w:val="21"/>
                    </w:rPr>
                  </w:pPr>
                  <w:r>
                    <w:rPr>
                      <w:rFonts w:ascii="宋体" w:hAnsi="宋体" w:eastAsia="宋体"/>
                      <w:sz w:val="23"/>
                      <w:szCs w:val="23"/>
                    </w:rPr>
                    <w:t>2000.0</w:t>
                  </w:r>
                </w:p>
              </w:tc>
              <w:tc>
                <w:tcPr>
                  <w:tcW w:w="1633" w:type="pct"/>
                  <w:vAlign w:val="center"/>
                </w:tcPr>
                <w:p w14:paraId="0A273E97">
                  <w:pPr>
                    <w:jc w:val="center"/>
                    <w:rPr>
                      <w:rFonts w:ascii="Times New Roman" w:hAnsi="Times New Roman" w:eastAsia="宋体" w:cs="Times New Roman"/>
                      <w:szCs w:val="21"/>
                    </w:rPr>
                  </w:pPr>
                  <w:r>
                    <w:rPr>
                      <w:rFonts w:ascii="宋体" w:hAnsi="宋体" w:eastAsia="宋体"/>
                      <w:sz w:val="23"/>
                      <w:szCs w:val="23"/>
                    </w:rPr>
                    <w:t>0.4491</w:t>
                  </w:r>
                </w:p>
              </w:tc>
              <w:tc>
                <w:tcPr>
                  <w:tcW w:w="1664" w:type="pct"/>
                  <w:vAlign w:val="center"/>
                </w:tcPr>
                <w:p w14:paraId="1E98E4F9">
                  <w:pPr>
                    <w:jc w:val="center"/>
                    <w:rPr>
                      <w:rFonts w:ascii="Times New Roman" w:hAnsi="Times New Roman" w:eastAsia="宋体" w:cs="Times New Roman"/>
                      <w:szCs w:val="21"/>
                    </w:rPr>
                  </w:pPr>
                  <w:r>
                    <w:rPr>
                      <w:rFonts w:ascii="宋体" w:hAnsi="宋体" w:eastAsia="宋体"/>
                      <w:sz w:val="23"/>
                      <w:szCs w:val="23"/>
                    </w:rPr>
                    <w:t>0.0499</w:t>
                  </w:r>
                </w:p>
              </w:tc>
            </w:tr>
            <w:tr w14:paraId="14B95E2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E827715">
                  <w:pPr>
                    <w:jc w:val="center"/>
                    <w:rPr>
                      <w:rFonts w:ascii="Times New Roman" w:hAnsi="Times New Roman" w:eastAsia="宋体" w:cs="Times New Roman"/>
                      <w:szCs w:val="21"/>
                    </w:rPr>
                  </w:pPr>
                  <w:r>
                    <w:rPr>
                      <w:rFonts w:ascii="宋体" w:hAnsi="宋体" w:eastAsia="宋体"/>
                      <w:sz w:val="23"/>
                      <w:szCs w:val="23"/>
                    </w:rPr>
                    <w:t>3000.0</w:t>
                  </w:r>
                </w:p>
              </w:tc>
              <w:tc>
                <w:tcPr>
                  <w:tcW w:w="1633" w:type="pct"/>
                  <w:vAlign w:val="center"/>
                </w:tcPr>
                <w:p w14:paraId="1E1F640E">
                  <w:pPr>
                    <w:jc w:val="center"/>
                    <w:rPr>
                      <w:rFonts w:ascii="Times New Roman" w:hAnsi="Times New Roman" w:eastAsia="宋体" w:cs="Times New Roman"/>
                      <w:szCs w:val="21"/>
                    </w:rPr>
                  </w:pPr>
                  <w:r>
                    <w:rPr>
                      <w:rFonts w:ascii="宋体" w:hAnsi="宋体" w:eastAsia="宋体"/>
                      <w:sz w:val="23"/>
                      <w:szCs w:val="23"/>
                    </w:rPr>
                    <w:t>0.5838</w:t>
                  </w:r>
                </w:p>
              </w:tc>
              <w:tc>
                <w:tcPr>
                  <w:tcW w:w="1664" w:type="pct"/>
                  <w:vAlign w:val="center"/>
                </w:tcPr>
                <w:p w14:paraId="354E37A4">
                  <w:pPr>
                    <w:jc w:val="center"/>
                    <w:rPr>
                      <w:rFonts w:ascii="Times New Roman" w:hAnsi="Times New Roman" w:eastAsia="宋体" w:cs="Times New Roman"/>
                      <w:szCs w:val="21"/>
                    </w:rPr>
                  </w:pPr>
                  <w:r>
                    <w:rPr>
                      <w:rFonts w:ascii="宋体" w:hAnsi="宋体" w:eastAsia="宋体"/>
                      <w:sz w:val="23"/>
                      <w:szCs w:val="23"/>
                    </w:rPr>
                    <w:t>0.0649</w:t>
                  </w:r>
                </w:p>
              </w:tc>
            </w:tr>
            <w:tr w14:paraId="6382599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65DD443">
                  <w:pPr>
                    <w:jc w:val="center"/>
                    <w:rPr>
                      <w:rFonts w:ascii="Times New Roman" w:hAnsi="Times New Roman" w:eastAsia="宋体" w:cs="Times New Roman"/>
                      <w:szCs w:val="21"/>
                    </w:rPr>
                  </w:pPr>
                  <w:r>
                    <w:rPr>
                      <w:rFonts w:ascii="宋体" w:hAnsi="宋体" w:eastAsia="宋体"/>
                      <w:sz w:val="23"/>
                      <w:szCs w:val="23"/>
                    </w:rPr>
                    <w:t>5000.0</w:t>
                  </w:r>
                </w:p>
              </w:tc>
              <w:tc>
                <w:tcPr>
                  <w:tcW w:w="1633" w:type="pct"/>
                  <w:vAlign w:val="center"/>
                </w:tcPr>
                <w:p w14:paraId="78A4DCDD">
                  <w:pPr>
                    <w:jc w:val="center"/>
                    <w:rPr>
                      <w:rFonts w:ascii="Times New Roman" w:hAnsi="Times New Roman" w:eastAsia="宋体" w:cs="Times New Roman"/>
                      <w:szCs w:val="21"/>
                    </w:rPr>
                  </w:pPr>
                  <w:r>
                    <w:rPr>
                      <w:rFonts w:ascii="宋体" w:hAnsi="宋体" w:eastAsia="宋体"/>
                      <w:sz w:val="23"/>
                      <w:szCs w:val="23"/>
                    </w:rPr>
                    <w:t>0.0917</w:t>
                  </w:r>
                </w:p>
              </w:tc>
              <w:tc>
                <w:tcPr>
                  <w:tcW w:w="1664" w:type="pct"/>
                  <w:vAlign w:val="center"/>
                </w:tcPr>
                <w:p w14:paraId="67B9F1E9">
                  <w:pPr>
                    <w:jc w:val="center"/>
                    <w:rPr>
                      <w:rFonts w:ascii="Times New Roman" w:hAnsi="Times New Roman" w:eastAsia="宋体" w:cs="Times New Roman"/>
                      <w:szCs w:val="21"/>
                    </w:rPr>
                  </w:pPr>
                  <w:r>
                    <w:rPr>
                      <w:rFonts w:ascii="宋体" w:hAnsi="宋体" w:eastAsia="宋体"/>
                      <w:sz w:val="23"/>
                      <w:szCs w:val="23"/>
                    </w:rPr>
                    <w:t>0.0102</w:t>
                  </w:r>
                </w:p>
              </w:tc>
            </w:tr>
            <w:tr w14:paraId="25DC94C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1AB345C1">
                  <w:pPr>
                    <w:jc w:val="center"/>
                    <w:rPr>
                      <w:rFonts w:ascii="Times New Roman" w:hAnsi="Times New Roman" w:eastAsia="宋体" w:cs="Times New Roman"/>
                      <w:szCs w:val="21"/>
                    </w:rPr>
                  </w:pPr>
                  <w:r>
                    <w:rPr>
                      <w:rFonts w:ascii="宋体" w:hAnsi="宋体" w:eastAsia="宋体"/>
                      <w:sz w:val="23"/>
                      <w:szCs w:val="23"/>
                    </w:rPr>
                    <w:t>10000.0</w:t>
                  </w:r>
                </w:p>
              </w:tc>
              <w:tc>
                <w:tcPr>
                  <w:tcW w:w="1633" w:type="pct"/>
                  <w:vAlign w:val="center"/>
                </w:tcPr>
                <w:p w14:paraId="6A87BF6C">
                  <w:pPr>
                    <w:jc w:val="center"/>
                    <w:rPr>
                      <w:rFonts w:ascii="Times New Roman" w:hAnsi="Times New Roman" w:eastAsia="宋体" w:cs="Times New Roman"/>
                      <w:szCs w:val="21"/>
                    </w:rPr>
                  </w:pPr>
                  <w:r>
                    <w:rPr>
                      <w:rFonts w:ascii="宋体" w:hAnsi="宋体" w:eastAsia="宋体"/>
                      <w:sz w:val="23"/>
                      <w:szCs w:val="23"/>
                    </w:rPr>
                    <w:t>0.1557</w:t>
                  </w:r>
                </w:p>
              </w:tc>
              <w:tc>
                <w:tcPr>
                  <w:tcW w:w="1664" w:type="pct"/>
                  <w:vAlign w:val="center"/>
                </w:tcPr>
                <w:p w14:paraId="74C788EB">
                  <w:pPr>
                    <w:jc w:val="center"/>
                    <w:rPr>
                      <w:rFonts w:ascii="Times New Roman" w:hAnsi="Times New Roman" w:eastAsia="宋体" w:cs="Times New Roman"/>
                      <w:szCs w:val="21"/>
                    </w:rPr>
                  </w:pPr>
                  <w:r>
                    <w:rPr>
                      <w:rFonts w:ascii="宋体" w:hAnsi="宋体" w:eastAsia="宋体"/>
                      <w:sz w:val="23"/>
                      <w:szCs w:val="23"/>
                    </w:rPr>
                    <w:t>0.0173</w:t>
                  </w:r>
                </w:p>
              </w:tc>
            </w:tr>
            <w:tr w14:paraId="1A59E5C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1A44AEC6">
                  <w:pPr>
                    <w:jc w:val="center"/>
                    <w:rPr>
                      <w:rFonts w:ascii="Times New Roman" w:hAnsi="Times New Roman" w:eastAsia="宋体" w:cs="Times New Roman"/>
                      <w:szCs w:val="21"/>
                    </w:rPr>
                  </w:pPr>
                  <w:r>
                    <w:rPr>
                      <w:rFonts w:ascii="宋体" w:hAnsi="宋体" w:eastAsia="宋体"/>
                      <w:sz w:val="23"/>
                      <w:szCs w:val="23"/>
                    </w:rPr>
                    <w:t>20000.0</w:t>
                  </w:r>
                </w:p>
              </w:tc>
              <w:tc>
                <w:tcPr>
                  <w:tcW w:w="1633" w:type="pct"/>
                  <w:vAlign w:val="center"/>
                </w:tcPr>
                <w:p w14:paraId="57F1ADE8">
                  <w:pPr>
                    <w:jc w:val="center"/>
                    <w:rPr>
                      <w:rFonts w:ascii="Times New Roman" w:hAnsi="Times New Roman" w:eastAsia="宋体" w:cs="Times New Roman"/>
                      <w:szCs w:val="21"/>
                    </w:rPr>
                  </w:pPr>
                  <w:r>
                    <w:rPr>
                      <w:rFonts w:ascii="宋体" w:hAnsi="宋体" w:eastAsia="宋体"/>
                      <w:sz w:val="23"/>
                      <w:szCs w:val="23"/>
                    </w:rPr>
                    <w:t>0.0115</w:t>
                  </w:r>
                </w:p>
              </w:tc>
              <w:tc>
                <w:tcPr>
                  <w:tcW w:w="1664" w:type="pct"/>
                  <w:vAlign w:val="center"/>
                </w:tcPr>
                <w:p w14:paraId="6DA97E29">
                  <w:pPr>
                    <w:jc w:val="center"/>
                    <w:rPr>
                      <w:rFonts w:ascii="Times New Roman" w:hAnsi="Times New Roman" w:eastAsia="宋体" w:cs="Times New Roman"/>
                      <w:szCs w:val="21"/>
                    </w:rPr>
                  </w:pPr>
                  <w:r>
                    <w:rPr>
                      <w:rFonts w:ascii="宋体" w:hAnsi="宋体" w:eastAsia="宋体"/>
                      <w:sz w:val="23"/>
                      <w:szCs w:val="23"/>
                    </w:rPr>
                    <w:t>0.0013</w:t>
                  </w:r>
                </w:p>
              </w:tc>
            </w:tr>
            <w:tr w14:paraId="425891E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5D0D8F1">
                  <w:pPr>
                    <w:jc w:val="center"/>
                    <w:rPr>
                      <w:rFonts w:ascii="Times New Roman" w:hAnsi="Times New Roman" w:eastAsia="宋体" w:cs="Times New Roman"/>
                      <w:szCs w:val="21"/>
                    </w:rPr>
                  </w:pPr>
                  <w:r>
                    <w:rPr>
                      <w:rFonts w:ascii="宋体" w:hAnsi="宋体" w:eastAsia="宋体"/>
                      <w:sz w:val="23"/>
                      <w:szCs w:val="23"/>
                    </w:rPr>
                    <w:t>25000.0</w:t>
                  </w:r>
                </w:p>
              </w:tc>
              <w:tc>
                <w:tcPr>
                  <w:tcW w:w="1633" w:type="pct"/>
                  <w:vAlign w:val="center"/>
                </w:tcPr>
                <w:p w14:paraId="381F3A44">
                  <w:pPr>
                    <w:jc w:val="center"/>
                    <w:rPr>
                      <w:rFonts w:ascii="Times New Roman" w:hAnsi="Times New Roman" w:eastAsia="宋体" w:cs="Times New Roman"/>
                      <w:szCs w:val="21"/>
                    </w:rPr>
                  </w:pPr>
                  <w:r>
                    <w:rPr>
                      <w:rFonts w:ascii="宋体" w:hAnsi="宋体" w:eastAsia="宋体"/>
                      <w:sz w:val="23"/>
                      <w:szCs w:val="23"/>
                    </w:rPr>
                    <w:t>0.0478</w:t>
                  </w:r>
                </w:p>
              </w:tc>
              <w:tc>
                <w:tcPr>
                  <w:tcW w:w="1664" w:type="pct"/>
                  <w:vAlign w:val="center"/>
                </w:tcPr>
                <w:p w14:paraId="210B1CB2">
                  <w:pPr>
                    <w:jc w:val="center"/>
                    <w:rPr>
                      <w:rFonts w:ascii="Times New Roman" w:hAnsi="Times New Roman" w:eastAsia="宋体" w:cs="Times New Roman"/>
                      <w:szCs w:val="21"/>
                    </w:rPr>
                  </w:pPr>
                  <w:r>
                    <w:rPr>
                      <w:rFonts w:ascii="宋体" w:hAnsi="宋体" w:eastAsia="宋体"/>
                      <w:sz w:val="23"/>
                      <w:szCs w:val="23"/>
                    </w:rPr>
                    <w:t>0.0053</w:t>
                  </w:r>
                </w:p>
              </w:tc>
            </w:tr>
            <w:tr w14:paraId="5FE1FB8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5AE268CA">
                  <w:pPr>
                    <w:jc w:val="center"/>
                    <w:rPr>
                      <w:rFonts w:ascii="Times New Roman" w:hAnsi="Times New Roman" w:eastAsia="宋体" w:cs="Times New Roman"/>
                      <w:szCs w:val="21"/>
                    </w:rPr>
                  </w:pPr>
                  <w:r>
                    <w:rPr>
                      <w:rFonts w:ascii="Times New Roman" w:hAnsi="Times New Roman" w:eastAsia="宋体" w:cs="Times New Roman"/>
                      <w:szCs w:val="21"/>
                    </w:rPr>
                    <w:t>下风向最大浓度</w:t>
                  </w:r>
                </w:p>
              </w:tc>
              <w:tc>
                <w:tcPr>
                  <w:tcW w:w="1633" w:type="pct"/>
                  <w:vAlign w:val="center"/>
                </w:tcPr>
                <w:p w14:paraId="3ADB02B9">
                  <w:pPr>
                    <w:jc w:val="center"/>
                    <w:rPr>
                      <w:rFonts w:ascii="Times New Roman" w:hAnsi="Times New Roman" w:eastAsia="宋体" w:cs="Times New Roman"/>
                      <w:szCs w:val="21"/>
                    </w:rPr>
                  </w:pPr>
                  <w:r>
                    <w:rPr>
                      <w:rFonts w:ascii="宋体" w:hAnsi="宋体" w:eastAsia="宋体"/>
                      <w:sz w:val="23"/>
                      <w:szCs w:val="23"/>
                    </w:rPr>
                    <w:t>32.1710</w:t>
                  </w:r>
                </w:p>
              </w:tc>
              <w:tc>
                <w:tcPr>
                  <w:tcW w:w="1664" w:type="pct"/>
                  <w:vAlign w:val="center"/>
                </w:tcPr>
                <w:p w14:paraId="7F0437EA">
                  <w:pPr>
                    <w:jc w:val="center"/>
                    <w:rPr>
                      <w:rFonts w:ascii="Times New Roman" w:hAnsi="Times New Roman" w:eastAsia="宋体" w:cs="Times New Roman"/>
                      <w:szCs w:val="21"/>
                    </w:rPr>
                  </w:pPr>
                  <w:r>
                    <w:rPr>
                      <w:rFonts w:ascii="宋体" w:hAnsi="宋体" w:eastAsia="宋体"/>
                      <w:sz w:val="23"/>
                      <w:szCs w:val="23"/>
                    </w:rPr>
                    <w:t>3.5746</w:t>
                  </w:r>
                </w:p>
              </w:tc>
            </w:tr>
            <w:tr w14:paraId="4674253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B7A4220">
                  <w:pPr>
                    <w:jc w:val="center"/>
                    <w:rPr>
                      <w:rFonts w:ascii="Times New Roman" w:hAnsi="Times New Roman" w:eastAsia="宋体" w:cs="Times New Roman"/>
                      <w:szCs w:val="21"/>
                    </w:rPr>
                  </w:pPr>
                  <w:r>
                    <w:rPr>
                      <w:rFonts w:ascii="Times New Roman" w:hAnsi="Times New Roman" w:eastAsia="宋体" w:cs="Times New Roman"/>
                      <w:szCs w:val="21"/>
                    </w:rPr>
                    <w:t>下风向最大浓度出现距离</w:t>
                  </w:r>
                </w:p>
              </w:tc>
              <w:tc>
                <w:tcPr>
                  <w:tcW w:w="1633" w:type="pct"/>
                  <w:vAlign w:val="center"/>
                </w:tcPr>
                <w:p w14:paraId="1C47C3A8">
                  <w:pPr>
                    <w:jc w:val="center"/>
                    <w:rPr>
                      <w:rFonts w:ascii="Times New Roman" w:hAnsi="Times New Roman" w:eastAsia="宋体" w:cs="Times New Roman"/>
                      <w:szCs w:val="21"/>
                    </w:rPr>
                  </w:pPr>
                  <w:r>
                    <w:rPr>
                      <w:rFonts w:ascii="宋体" w:hAnsi="宋体" w:eastAsia="宋体"/>
                      <w:sz w:val="23"/>
                      <w:szCs w:val="23"/>
                    </w:rPr>
                    <w:t>178.0</w:t>
                  </w:r>
                </w:p>
              </w:tc>
              <w:tc>
                <w:tcPr>
                  <w:tcW w:w="1664" w:type="pct"/>
                  <w:vAlign w:val="center"/>
                </w:tcPr>
                <w:p w14:paraId="0829CB97">
                  <w:pPr>
                    <w:jc w:val="center"/>
                    <w:rPr>
                      <w:rFonts w:ascii="Times New Roman" w:hAnsi="Times New Roman" w:eastAsia="宋体" w:cs="Times New Roman"/>
                      <w:szCs w:val="21"/>
                    </w:rPr>
                  </w:pPr>
                  <w:r>
                    <w:rPr>
                      <w:rFonts w:ascii="宋体" w:hAnsi="宋体" w:eastAsia="宋体"/>
                      <w:sz w:val="23"/>
                      <w:szCs w:val="23"/>
                    </w:rPr>
                    <w:t>178.0</w:t>
                  </w:r>
                </w:p>
              </w:tc>
            </w:tr>
            <w:tr w14:paraId="16285B4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0C576A4">
                  <w:pPr>
                    <w:jc w:val="center"/>
                    <w:rPr>
                      <w:rFonts w:ascii="Times New Roman" w:hAnsi="Times New Roman" w:eastAsia="宋体" w:cs="Times New Roman"/>
                      <w:szCs w:val="21"/>
                    </w:rPr>
                  </w:pPr>
                  <w:r>
                    <w:rPr>
                      <w:rFonts w:ascii="Times New Roman" w:hAnsi="Times New Roman" w:eastAsia="宋体" w:cs="Times New Roman"/>
                      <w:szCs w:val="21"/>
                    </w:rPr>
                    <w:t>D10%最远距离</w:t>
                  </w:r>
                </w:p>
              </w:tc>
              <w:tc>
                <w:tcPr>
                  <w:tcW w:w="1633" w:type="pct"/>
                  <w:vAlign w:val="center"/>
                </w:tcPr>
                <w:p w14:paraId="6265577B">
                  <w:pPr>
                    <w:jc w:val="center"/>
                    <w:rPr>
                      <w:rFonts w:ascii="Times New Roman" w:hAnsi="Times New Roman" w:eastAsia="宋体" w:cs="Times New Roman"/>
                      <w:szCs w:val="21"/>
                    </w:rPr>
                  </w:pPr>
                  <w:r>
                    <w:rPr>
                      <w:rFonts w:ascii="宋体" w:hAnsi="宋体" w:eastAsia="宋体"/>
                      <w:sz w:val="23"/>
                      <w:szCs w:val="23"/>
                    </w:rPr>
                    <w:t>/</w:t>
                  </w:r>
                </w:p>
              </w:tc>
              <w:tc>
                <w:tcPr>
                  <w:tcW w:w="1664" w:type="pct"/>
                  <w:vAlign w:val="center"/>
                </w:tcPr>
                <w:p w14:paraId="64D9E4B8">
                  <w:pPr>
                    <w:jc w:val="center"/>
                    <w:rPr>
                      <w:rFonts w:ascii="Times New Roman" w:hAnsi="Times New Roman" w:eastAsia="宋体" w:cs="Times New Roman"/>
                      <w:szCs w:val="21"/>
                    </w:rPr>
                  </w:pPr>
                  <w:r>
                    <w:rPr>
                      <w:rFonts w:ascii="宋体" w:hAnsi="宋体" w:eastAsia="宋体"/>
                      <w:sz w:val="23"/>
                      <w:szCs w:val="23"/>
                    </w:rPr>
                    <w:t>/</w:t>
                  </w:r>
                </w:p>
              </w:tc>
            </w:tr>
          </w:tbl>
          <w:p w14:paraId="2542BD56">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结果显示，项目颗粒物废气不会对区域大气环境造成不良影响。</w:t>
            </w:r>
          </w:p>
          <w:p w14:paraId="0C66607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（8）污染物排放核算</w:t>
            </w:r>
          </w:p>
          <w:p w14:paraId="4E8F6F00">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sz w:val="24"/>
              </w:rPr>
              <w:t>表7-13 大气污染物有组织排放量核算表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0"/>
              <w:gridCol w:w="1418"/>
              <w:gridCol w:w="989"/>
              <w:gridCol w:w="1612"/>
              <w:gridCol w:w="1804"/>
              <w:gridCol w:w="1749"/>
            </w:tblGrid>
            <w:tr w14:paraId="6F6300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29" w:type="pct"/>
                  <w:shd w:val="clear" w:color="auto" w:fill="auto"/>
                  <w:vAlign w:val="center"/>
                </w:tcPr>
                <w:p w14:paraId="6FA22E8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856" w:type="pct"/>
                  <w:shd w:val="clear" w:color="auto" w:fill="auto"/>
                  <w:vAlign w:val="center"/>
                </w:tcPr>
                <w:p w14:paraId="3BE122C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排放口编号</w:t>
                  </w:r>
                </w:p>
              </w:tc>
              <w:tc>
                <w:tcPr>
                  <w:tcW w:w="597" w:type="pct"/>
                  <w:shd w:val="clear" w:color="auto" w:fill="auto"/>
                  <w:vAlign w:val="center"/>
                </w:tcPr>
                <w:p w14:paraId="4701003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973" w:type="pct"/>
                  <w:shd w:val="clear" w:color="auto" w:fill="auto"/>
                  <w:vAlign w:val="center"/>
                </w:tcPr>
                <w:p w14:paraId="0C73285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核算排放浓度/</w:t>
                  </w:r>
                </w:p>
                <w:p w14:paraId="38DF2E9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w:t>
                  </w:r>
                  <w:r>
                    <w:rPr>
                      <w:rFonts w:ascii="Times New Roman" w:hAnsi="Times New Roman" w:eastAsia="宋体" w:cs="Times New Roman"/>
                      <w:szCs w:val="21"/>
                    </w:rPr>
                    <w:t>μg/m</w:t>
                  </w:r>
                  <w:r>
                    <w:rPr>
                      <w:rFonts w:ascii="Times New Roman" w:hAnsi="Times New Roman" w:eastAsia="宋体" w:cs="Times New Roman"/>
                      <w:szCs w:val="21"/>
                      <w:vertAlign w:val="superscript"/>
                    </w:rPr>
                    <w:t>3</w:t>
                  </w:r>
                  <w:r>
                    <w:rPr>
                      <w:rFonts w:hint="eastAsia" w:ascii="Times New Roman" w:hAnsi="Times New Roman" w:eastAsia="宋体" w:cs="Times New Roman"/>
                      <w:szCs w:val="21"/>
                      <w:vertAlign w:val="superscript"/>
                      <w:lang w:eastAsia="zh-CN"/>
                    </w:rPr>
                    <w:t>)</w:t>
                  </w:r>
                </w:p>
              </w:tc>
              <w:tc>
                <w:tcPr>
                  <w:tcW w:w="1089" w:type="pct"/>
                  <w:shd w:val="clear" w:color="auto" w:fill="auto"/>
                  <w:vAlign w:val="center"/>
                </w:tcPr>
                <w:p w14:paraId="650BAF1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核算排放速率/（kg/h）</w:t>
                  </w:r>
                </w:p>
              </w:tc>
              <w:tc>
                <w:tcPr>
                  <w:tcW w:w="1056" w:type="pct"/>
                  <w:shd w:val="clear" w:color="auto" w:fill="auto"/>
                  <w:vAlign w:val="center"/>
                </w:tcPr>
                <w:p w14:paraId="0C49342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核算年排放量/（t/a）</w:t>
                  </w:r>
                </w:p>
              </w:tc>
            </w:tr>
            <w:tr w14:paraId="6C39ED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shd w:val="clear" w:color="auto" w:fill="auto"/>
                  <w:vAlign w:val="center"/>
                </w:tcPr>
                <w:p w14:paraId="440AC52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主要排放口</w:t>
                  </w:r>
                </w:p>
              </w:tc>
            </w:tr>
            <w:tr w14:paraId="5763C4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29" w:type="pct"/>
                  <w:shd w:val="clear" w:color="auto" w:fill="auto"/>
                  <w:vAlign w:val="center"/>
                </w:tcPr>
                <w:p w14:paraId="055C88D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56" w:type="pct"/>
                  <w:shd w:val="clear" w:color="auto" w:fill="auto"/>
                  <w:vAlign w:val="center"/>
                </w:tcPr>
                <w:p w14:paraId="49FA183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DA001</w:t>
                  </w:r>
                </w:p>
              </w:tc>
              <w:tc>
                <w:tcPr>
                  <w:tcW w:w="597" w:type="pct"/>
                  <w:shd w:val="clear" w:color="auto" w:fill="auto"/>
                  <w:vAlign w:val="center"/>
                </w:tcPr>
                <w:p w14:paraId="1A80B33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973" w:type="pct"/>
                  <w:shd w:val="clear" w:color="auto" w:fill="auto"/>
                  <w:vAlign w:val="center"/>
                </w:tcPr>
                <w:p w14:paraId="5668947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4750</w:t>
                  </w:r>
                </w:p>
              </w:tc>
              <w:tc>
                <w:tcPr>
                  <w:tcW w:w="1089" w:type="pct"/>
                  <w:shd w:val="clear" w:color="auto" w:fill="auto"/>
                  <w:vAlign w:val="center"/>
                </w:tcPr>
                <w:p w14:paraId="051424E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0.024</w:t>
                  </w:r>
                </w:p>
              </w:tc>
              <w:tc>
                <w:tcPr>
                  <w:tcW w:w="1056" w:type="pct"/>
                  <w:shd w:val="clear" w:color="auto" w:fill="auto"/>
                  <w:vAlign w:val="center"/>
                </w:tcPr>
                <w:p w14:paraId="70D9321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0.057</w:t>
                  </w:r>
                </w:p>
              </w:tc>
            </w:tr>
            <w:tr w14:paraId="79B8A4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85" w:type="pct"/>
                  <w:gridSpan w:val="2"/>
                  <w:shd w:val="clear" w:color="auto" w:fill="auto"/>
                  <w:vAlign w:val="center"/>
                </w:tcPr>
                <w:p w14:paraId="2964C79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主要排放口合计</w:t>
                  </w:r>
                </w:p>
              </w:tc>
              <w:tc>
                <w:tcPr>
                  <w:tcW w:w="2659" w:type="pct"/>
                  <w:gridSpan w:val="3"/>
                  <w:shd w:val="clear" w:color="auto" w:fill="auto"/>
                  <w:vAlign w:val="center"/>
                </w:tcPr>
                <w:p w14:paraId="1A4AC84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1056" w:type="pct"/>
                  <w:shd w:val="clear" w:color="auto" w:fill="auto"/>
                  <w:vAlign w:val="center"/>
                </w:tcPr>
                <w:p w14:paraId="41F1F10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0.057</w:t>
                  </w:r>
                </w:p>
              </w:tc>
            </w:tr>
            <w:tr w14:paraId="5E9099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shd w:val="clear" w:color="auto" w:fill="auto"/>
                  <w:vAlign w:val="center"/>
                </w:tcPr>
                <w:p w14:paraId="3B8453D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无一般排放口</w:t>
                  </w:r>
                </w:p>
              </w:tc>
            </w:tr>
            <w:tr w14:paraId="7111C8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85" w:type="pct"/>
                  <w:gridSpan w:val="2"/>
                  <w:shd w:val="clear" w:color="auto" w:fill="auto"/>
                  <w:vAlign w:val="center"/>
                </w:tcPr>
                <w:p w14:paraId="6C5D80C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有组织排放总计</w:t>
                  </w:r>
                </w:p>
              </w:tc>
              <w:tc>
                <w:tcPr>
                  <w:tcW w:w="2659" w:type="pct"/>
                  <w:gridSpan w:val="3"/>
                  <w:shd w:val="clear" w:color="auto" w:fill="auto"/>
                  <w:vAlign w:val="center"/>
                </w:tcPr>
                <w:p w14:paraId="5A22B58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1056" w:type="pct"/>
                  <w:shd w:val="clear" w:color="auto" w:fill="auto"/>
                  <w:vAlign w:val="center"/>
                </w:tcPr>
                <w:p w14:paraId="009BB8E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0.057</w:t>
                  </w:r>
                </w:p>
              </w:tc>
            </w:tr>
          </w:tbl>
          <w:p w14:paraId="5255A607">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表7-14 大气污染物无组织排放量核算表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795"/>
              <w:gridCol w:w="798"/>
              <w:gridCol w:w="816"/>
              <w:gridCol w:w="1363"/>
              <w:gridCol w:w="1943"/>
              <w:gridCol w:w="1294"/>
              <w:gridCol w:w="847"/>
            </w:tblGrid>
            <w:tr w14:paraId="0D97B6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vMerge w:val="restart"/>
                  <w:shd w:val="clear" w:color="auto" w:fill="auto"/>
                  <w:vAlign w:val="center"/>
                </w:tcPr>
                <w:p w14:paraId="3ACF4B0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481" w:type="pct"/>
                  <w:vMerge w:val="restart"/>
                  <w:shd w:val="clear" w:color="auto" w:fill="auto"/>
                  <w:vAlign w:val="center"/>
                </w:tcPr>
                <w:p w14:paraId="3D7D7E3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排放口编号</w:t>
                  </w:r>
                </w:p>
              </w:tc>
              <w:tc>
                <w:tcPr>
                  <w:tcW w:w="483" w:type="pct"/>
                  <w:vMerge w:val="restart"/>
                  <w:shd w:val="clear" w:color="auto" w:fill="auto"/>
                  <w:vAlign w:val="center"/>
                </w:tcPr>
                <w:p w14:paraId="125FF2C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产污环节</w:t>
                  </w:r>
                </w:p>
              </w:tc>
              <w:tc>
                <w:tcPr>
                  <w:tcW w:w="494" w:type="pct"/>
                  <w:vMerge w:val="restart"/>
                  <w:shd w:val="clear" w:color="auto" w:fill="auto"/>
                  <w:vAlign w:val="center"/>
                </w:tcPr>
                <w:p w14:paraId="05F26EC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824" w:type="pct"/>
                  <w:vMerge w:val="restart"/>
                  <w:shd w:val="clear" w:color="auto" w:fill="auto"/>
                  <w:vAlign w:val="center"/>
                </w:tcPr>
                <w:p w14:paraId="408F922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主要污染防治措施</w:t>
                  </w:r>
                </w:p>
              </w:tc>
              <w:tc>
                <w:tcPr>
                  <w:tcW w:w="1952" w:type="pct"/>
                  <w:gridSpan w:val="2"/>
                  <w:shd w:val="clear" w:color="auto" w:fill="auto"/>
                  <w:vAlign w:val="center"/>
                </w:tcPr>
                <w:p w14:paraId="5EE6597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国家或地方污染物排放标准</w:t>
                  </w:r>
                </w:p>
              </w:tc>
              <w:tc>
                <w:tcPr>
                  <w:tcW w:w="510" w:type="pct"/>
                  <w:vMerge w:val="restart"/>
                  <w:shd w:val="clear" w:color="auto" w:fill="auto"/>
                  <w:vAlign w:val="center"/>
                </w:tcPr>
                <w:p w14:paraId="4603747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年排放量（t/a）</w:t>
                  </w:r>
                </w:p>
              </w:tc>
            </w:tr>
            <w:tr w14:paraId="6D96E1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vMerge w:val="continue"/>
                  <w:shd w:val="clear" w:color="auto" w:fill="auto"/>
                  <w:vAlign w:val="center"/>
                </w:tcPr>
                <w:p w14:paraId="10367D01">
                  <w:pPr>
                    <w:adjustRightInd w:val="0"/>
                    <w:snapToGrid w:val="0"/>
                    <w:jc w:val="center"/>
                    <w:rPr>
                      <w:rFonts w:ascii="Times New Roman" w:hAnsi="Times New Roman" w:eastAsia="宋体" w:cs="Times New Roman"/>
                      <w:szCs w:val="21"/>
                    </w:rPr>
                  </w:pPr>
                </w:p>
              </w:tc>
              <w:tc>
                <w:tcPr>
                  <w:tcW w:w="481" w:type="pct"/>
                  <w:vMerge w:val="continue"/>
                  <w:shd w:val="clear" w:color="auto" w:fill="auto"/>
                  <w:vAlign w:val="center"/>
                </w:tcPr>
                <w:p w14:paraId="1566501B">
                  <w:pPr>
                    <w:adjustRightInd w:val="0"/>
                    <w:snapToGrid w:val="0"/>
                    <w:jc w:val="center"/>
                    <w:rPr>
                      <w:rFonts w:ascii="Times New Roman" w:hAnsi="Times New Roman" w:eastAsia="宋体" w:cs="Times New Roman"/>
                      <w:szCs w:val="21"/>
                    </w:rPr>
                  </w:pPr>
                </w:p>
              </w:tc>
              <w:tc>
                <w:tcPr>
                  <w:tcW w:w="483" w:type="pct"/>
                  <w:vMerge w:val="continue"/>
                  <w:shd w:val="clear" w:color="auto" w:fill="auto"/>
                  <w:vAlign w:val="center"/>
                </w:tcPr>
                <w:p w14:paraId="111BCCE4">
                  <w:pPr>
                    <w:adjustRightInd w:val="0"/>
                    <w:snapToGrid w:val="0"/>
                    <w:jc w:val="center"/>
                    <w:rPr>
                      <w:rFonts w:ascii="Times New Roman" w:hAnsi="Times New Roman" w:eastAsia="宋体" w:cs="Times New Roman"/>
                      <w:szCs w:val="21"/>
                    </w:rPr>
                  </w:pPr>
                </w:p>
              </w:tc>
              <w:tc>
                <w:tcPr>
                  <w:tcW w:w="494" w:type="pct"/>
                  <w:vMerge w:val="continue"/>
                  <w:shd w:val="clear" w:color="auto" w:fill="auto"/>
                  <w:vAlign w:val="center"/>
                </w:tcPr>
                <w:p w14:paraId="728FF954">
                  <w:pPr>
                    <w:adjustRightInd w:val="0"/>
                    <w:snapToGrid w:val="0"/>
                    <w:jc w:val="center"/>
                    <w:rPr>
                      <w:rFonts w:ascii="Times New Roman" w:hAnsi="Times New Roman" w:eastAsia="宋体" w:cs="Times New Roman"/>
                      <w:szCs w:val="21"/>
                    </w:rPr>
                  </w:pPr>
                </w:p>
              </w:tc>
              <w:tc>
                <w:tcPr>
                  <w:tcW w:w="824" w:type="pct"/>
                  <w:vMerge w:val="continue"/>
                  <w:shd w:val="clear" w:color="auto" w:fill="auto"/>
                  <w:vAlign w:val="center"/>
                </w:tcPr>
                <w:p w14:paraId="185CF5B1">
                  <w:pPr>
                    <w:adjustRightInd w:val="0"/>
                    <w:snapToGrid w:val="0"/>
                    <w:jc w:val="center"/>
                    <w:rPr>
                      <w:rFonts w:ascii="Times New Roman" w:hAnsi="Times New Roman" w:eastAsia="宋体" w:cs="Times New Roman"/>
                      <w:szCs w:val="21"/>
                    </w:rPr>
                  </w:pPr>
                </w:p>
              </w:tc>
              <w:tc>
                <w:tcPr>
                  <w:tcW w:w="1170" w:type="pct"/>
                  <w:shd w:val="clear" w:color="auto" w:fill="auto"/>
                  <w:vAlign w:val="center"/>
                </w:tcPr>
                <w:p w14:paraId="414A499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标准名称</w:t>
                  </w:r>
                </w:p>
              </w:tc>
              <w:tc>
                <w:tcPr>
                  <w:tcW w:w="782" w:type="pct"/>
                  <w:shd w:val="clear" w:color="auto" w:fill="auto"/>
                  <w:vAlign w:val="center"/>
                </w:tcPr>
                <w:p w14:paraId="59F6DC5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浓度限值/（μg/m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510" w:type="pct"/>
                  <w:vMerge w:val="continue"/>
                  <w:shd w:val="clear" w:color="auto" w:fill="auto"/>
                  <w:vAlign w:val="center"/>
                </w:tcPr>
                <w:p w14:paraId="6E708478">
                  <w:pPr>
                    <w:adjustRightInd w:val="0"/>
                    <w:snapToGrid w:val="0"/>
                    <w:jc w:val="center"/>
                    <w:rPr>
                      <w:rFonts w:ascii="Times New Roman" w:hAnsi="Times New Roman" w:eastAsia="宋体" w:cs="Times New Roman"/>
                      <w:szCs w:val="21"/>
                    </w:rPr>
                  </w:pPr>
                </w:p>
              </w:tc>
            </w:tr>
            <w:tr w14:paraId="647A0D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shd w:val="clear" w:color="auto" w:fill="auto"/>
                  <w:vAlign w:val="center"/>
                </w:tcPr>
                <w:p w14:paraId="505AEF5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481" w:type="pct"/>
                  <w:shd w:val="clear" w:color="auto" w:fill="auto"/>
                  <w:vAlign w:val="center"/>
                </w:tcPr>
                <w:p w14:paraId="4B9E028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483" w:type="pct"/>
                  <w:shd w:val="clear" w:color="auto" w:fill="auto"/>
                  <w:vAlign w:val="center"/>
                </w:tcPr>
                <w:p w14:paraId="07D3C7E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进料、输送</w:t>
                  </w:r>
                </w:p>
              </w:tc>
              <w:tc>
                <w:tcPr>
                  <w:tcW w:w="494" w:type="pct"/>
                  <w:shd w:val="clear" w:color="auto" w:fill="auto"/>
                  <w:vAlign w:val="center"/>
                </w:tcPr>
                <w:p w14:paraId="62A931C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824" w:type="pct"/>
                  <w:shd w:val="clear" w:color="auto" w:fill="auto"/>
                  <w:vAlign w:val="center"/>
                </w:tcPr>
                <w:p w14:paraId="0FE85E7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密闭+除尘器</w:t>
                  </w:r>
                </w:p>
              </w:tc>
              <w:tc>
                <w:tcPr>
                  <w:tcW w:w="1170" w:type="pct"/>
                  <w:shd w:val="clear" w:color="auto" w:fill="auto"/>
                  <w:vAlign w:val="center"/>
                </w:tcPr>
                <w:p w14:paraId="607DB32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《大气污染物综合排放标准》（GB16297-1996）</w:t>
                  </w:r>
                </w:p>
              </w:tc>
              <w:tc>
                <w:tcPr>
                  <w:tcW w:w="782" w:type="pct"/>
                  <w:shd w:val="clear" w:color="auto" w:fill="auto"/>
                  <w:vAlign w:val="center"/>
                </w:tcPr>
                <w:p w14:paraId="514EE5E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w:t>
                  </w:r>
                </w:p>
              </w:tc>
              <w:tc>
                <w:tcPr>
                  <w:tcW w:w="510" w:type="pct"/>
                  <w:shd w:val="clear" w:color="auto" w:fill="auto"/>
                  <w:vAlign w:val="center"/>
                </w:tcPr>
                <w:p w14:paraId="5AD625E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0.3</w:t>
                  </w:r>
                </w:p>
              </w:tc>
            </w:tr>
            <w:tr w14:paraId="01A115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8"/>
                  <w:shd w:val="clear" w:color="auto" w:fill="auto"/>
                  <w:vAlign w:val="center"/>
                </w:tcPr>
                <w:p w14:paraId="3976121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无组织排放总计</w:t>
                  </w:r>
                </w:p>
              </w:tc>
            </w:tr>
            <w:tr w14:paraId="0F6FBB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715" w:type="pct"/>
                  <w:gridSpan w:val="4"/>
                  <w:shd w:val="clear" w:color="auto" w:fill="auto"/>
                  <w:vAlign w:val="center"/>
                </w:tcPr>
                <w:p w14:paraId="1BBD40D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无组织排放总计</w:t>
                  </w:r>
                </w:p>
              </w:tc>
              <w:tc>
                <w:tcPr>
                  <w:tcW w:w="1994" w:type="pct"/>
                  <w:gridSpan w:val="2"/>
                  <w:shd w:val="clear" w:color="auto" w:fill="auto"/>
                  <w:vAlign w:val="center"/>
                </w:tcPr>
                <w:p w14:paraId="466C55F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291" w:type="pct"/>
                  <w:gridSpan w:val="2"/>
                  <w:shd w:val="clear" w:color="auto" w:fill="auto"/>
                  <w:vAlign w:val="center"/>
                </w:tcPr>
                <w:p w14:paraId="452AA10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0.3</w:t>
                  </w:r>
                </w:p>
              </w:tc>
            </w:tr>
          </w:tbl>
          <w:p w14:paraId="4C833993">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表7-15 大气污染物年排放量核算表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2762"/>
              <w:gridCol w:w="2767"/>
            </w:tblGrid>
            <w:tr w14:paraId="7A6949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60" w:type="dxa"/>
                  <w:shd w:val="clear" w:color="auto" w:fill="auto"/>
                </w:tcPr>
                <w:p w14:paraId="6144A16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2769" w:type="dxa"/>
                  <w:shd w:val="clear" w:color="auto" w:fill="auto"/>
                </w:tcPr>
                <w:p w14:paraId="20F0E6E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2773" w:type="dxa"/>
                  <w:shd w:val="clear" w:color="auto" w:fill="auto"/>
                </w:tcPr>
                <w:p w14:paraId="54D7EB4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年排放量/（t/a）</w:t>
                  </w:r>
                </w:p>
              </w:tc>
            </w:tr>
            <w:tr w14:paraId="3C0D48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60" w:type="dxa"/>
                  <w:shd w:val="clear" w:color="auto" w:fill="auto"/>
                </w:tcPr>
                <w:p w14:paraId="3423434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2769" w:type="dxa"/>
                  <w:shd w:val="clear" w:color="auto" w:fill="auto"/>
                  <w:vAlign w:val="center"/>
                </w:tcPr>
                <w:p w14:paraId="47D9857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2773" w:type="dxa"/>
                  <w:shd w:val="clear" w:color="auto" w:fill="auto"/>
                </w:tcPr>
                <w:p w14:paraId="7EE1EB5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0.357</w:t>
                  </w:r>
                </w:p>
              </w:tc>
            </w:tr>
          </w:tbl>
          <w:p w14:paraId="6491515E">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表7-16 污染源非正常排放量核算表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8"/>
              <w:gridCol w:w="882"/>
              <w:gridCol w:w="866"/>
              <w:gridCol w:w="888"/>
              <w:gridCol w:w="1146"/>
              <w:gridCol w:w="1010"/>
              <w:gridCol w:w="889"/>
              <w:gridCol w:w="866"/>
              <w:gridCol w:w="867"/>
            </w:tblGrid>
            <w:tr w14:paraId="4D965A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35EB63A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884" w:type="dxa"/>
                  <w:shd w:val="clear" w:color="auto" w:fill="auto"/>
                  <w:vAlign w:val="center"/>
                </w:tcPr>
                <w:p w14:paraId="225AFC1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污染源</w:t>
                  </w:r>
                </w:p>
              </w:tc>
              <w:tc>
                <w:tcPr>
                  <w:tcW w:w="869" w:type="dxa"/>
                  <w:shd w:val="clear" w:color="auto" w:fill="auto"/>
                  <w:vAlign w:val="center"/>
                </w:tcPr>
                <w:p w14:paraId="178528C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非正常排放原因</w:t>
                  </w:r>
                </w:p>
              </w:tc>
              <w:tc>
                <w:tcPr>
                  <w:tcW w:w="891" w:type="dxa"/>
                  <w:shd w:val="clear" w:color="auto" w:fill="auto"/>
                  <w:vAlign w:val="center"/>
                </w:tcPr>
                <w:p w14:paraId="6A7A969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146" w:type="dxa"/>
                  <w:shd w:val="clear" w:color="auto" w:fill="auto"/>
                  <w:vAlign w:val="center"/>
                </w:tcPr>
                <w:p w14:paraId="7BEFE41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非正常排放浓度/（μg/m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010" w:type="dxa"/>
                  <w:shd w:val="clear" w:color="auto" w:fill="auto"/>
                  <w:vAlign w:val="center"/>
                </w:tcPr>
                <w:p w14:paraId="3D0E19E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非正常排放速率/（kg/h）</w:t>
                  </w:r>
                </w:p>
              </w:tc>
              <w:tc>
                <w:tcPr>
                  <w:tcW w:w="891" w:type="dxa"/>
                  <w:shd w:val="clear" w:color="auto" w:fill="auto"/>
                  <w:vAlign w:val="center"/>
                </w:tcPr>
                <w:p w14:paraId="61047AC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单次持续时间/h</w:t>
                  </w:r>
                </w:p>
              </w:tc>
              <w:tc>
                <w:tcPr>
                  <w:tcW w:w="869" w:type="dxa"/>
                  <w:shd w:val="clear" w:color="auto" w:fill="auto"/>
                  <w:vAlign w:val="center"/>
                </w:tcPr>
                <w:p w14:paraId="03E6DF3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年发生频次/次</w:t>
                  </w:r>
                </w:p>
              </w:tc>
              <w:tc>
                <w:tcPr>
                  <w:tcW w:w="870" w:type="dxa"/>
                  <w:shd w:val="clear" w:color="auto" w:fill="auto"/>
                  <w:vAlign w:val="center"/>
                </w:tcPr>
                <w:p w14:paraId="4B0D056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应对措施</w:t>
                  </w:r>
                </w:p>
              </w:tc>
            </w:tr>
            <w:tr w14:paraId="570F06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1C235E8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84" w:type="dxa"/>
                  <w:shd w:val="clear" w:color="auto" w:fill="auto"/>
                  <w:vAlign w:val="center"/>
                </w:tcPr>
                <w:p w14:paraId="13EE031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869" w:type="dxa"/>
                  <w:shd w:val="clear" w:color="auto" w:fill="auto"/>
                  <w:vAlign w:val="center"/>
                </w:tcPr>
                <w:p w14:paraId="2CF8421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环保设施故障</w:t>
                  </w:r>
                </w:p>
              </w:tc>
              <w:tc>
                <w:tcPr>
                  <w:tcW w:w="891" w:type="dxa"/>
                  <w:shd w:val="clear" w:color="auto" w:fill="auto"/>
                  <w:vAlign w:val="center"/>
                </w:tcPr>
                <w:p w14:paraId="4B0D79C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146" w:type="dxa"/>
                  <w:shd w:val="clear" w:color="auto" w:fill="auto"/>
                  <w:vAlign w:val="center"/>
                </w:tcPr>
                <w:p w14:paraId="5F058AF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010" w:type="dxa"/>
                  <w:shd w:val="clear" w:color="auto" w:fill="auto"/>
                  <w:vAlign w:val="center"/>
                </w:tcPr>
                <w:p w14:paraId="72B08D4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11.875</w:t>
                  </w:r>
                </w:p>
              </w:tc>
              <w:tc>
                <w:tcPr>
                  <w:tcW w:w="891" w:type="dxa"/>
                  <w:shd w:val="clear" w:color="auto" w:fill="auto"/>
                  <w:vAlign w:val="center"/>
                </w:tcPr>
                <w:p w14:paraId="7A29BAE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0.17</w:t>
                  </w:r>
                </w:p>
              </w:tc>
              <w:tc>
                <w:tcPr>
                  <w:tcW w:w="869" w:type="dxa"/>
                  <w:shd w:val="clear" w:color="auto" w:fill="auto"/>
                  <w:vAlign w:val="center"/>
                </w:tcPr>
                <w:p w14:paraId="2DF5355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70" w:type="dxa"/>
                  <w:shd w:val="clear" w:color="auto" w:fill="auto"/>
                  <w:vAlign w:val="center"/>
                </w:tcPr>
                <w:p w14:paraId="330B642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停止生产</w:t>
                  </w:r>
                </w:p>
              </w:tc>
            </w:tr>
            <w:tr w14:paraId="77749D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7689F0F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884" w:type="dxa"/>
                  <w:shd w:val="clear" w:color="auto" w:fill="auto"/>
                  <w:vAlign w:val="center"/>
                </w:tcPr>
                <w:p w14:paraId="24ED198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进料、输送</w:t>
                  </w:r>
                  <w:r>
                    <w:rPr>
                      <w:rFonts w:ascii="Times New Roman" w:hAnsi="Times New Roman" w:eastAsia="宋体" w:cs="Times New Roman"/>
                      <w:szCs w:val="21"/>
                    </w:rPr>
                    <w:t>粉尘</w:t>
                  </w:r>
                </w:p>
              </w:tc>
              <w:tc>
                <w:tcPr>
                  <w:tcW w:w="869" w:type="dxa"/>
                  <w:shd w:val="clear" w:color="auto" w:fill="auto"/>
                  <w:vAlign w:val="center"/>
                </w:tcPr>
                <w:p w14:paraId="36F9311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环保设施故障</w:t>
                  </w:r>
                </w:p>
              </w:tc>
              <w:tc>
                <w:tcPr>
                  <w:tcW w:w="891" w:type="dxa"/>
                  <w:shd w:val="clear" w:color="auto" w:fill="auto"/>
                  <w:vAlign w:val="center"/>
                </w:tcPr>
                <w:p w14:paraId="10DC885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146" w:type="dxa"/>
                  <w:shd w:val="clear" w:color="auto" w:fill="auto"/>
                  <w:vAlign w:val="center"/>
                </w:tcPr>
                <w:p w14:paraId="7767FED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010" w:type="dxa"/>
                  <w:shd w:val="clear" w:color="auto" w:fill="auto"/>
                  <w:vAlign w:val="center"/>
                </w:tcPr>
                <w:p w14:paraId="6BA7B07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0.125</w:t>
                  </w:r>
                </w:p>
              </w:tc>
              <w:tc>
                <w:tcPr>
                  <w:tcW w:w="891" w:type="dxa"/>
                  <w:shd w:val="clear" w:color="auto" w:fill="auto"/>
                  <w:vAlign w:val="center"/>
                </w:tcPr>
                <w:p w14:paraId="1B2A31A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0.17</w:t>
                  </w:r>
                </w:p>
              </w:tc>
              <w:tc>
                <w:tcPr>
                  <w:tcW w:w="869" w:type="dxa"/>
                  <w:shd w:val="clear" w:color="auto" w:fill="auto"/>
                  <w:vAlign w:val="center"/>
                </w:tcPr>
                <w:p w14:paraId="3CBECA5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70" w:type="dxa"/>
                  <w:shd w:val="clear" w:color="auto" w:fill="auto"/>
                  <w:vAlign w:val="center"/>
                </w:tcPr>
                <w:p w14:paraId="7E64AE0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停止生产</w:t>
                  </w:r>
                </w:p>
              </w:tc>
            </w:tr>
          </w:tbl>
          <w:p w14:paraId="4FC9486D">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（9）项目环境防护距离</w:t>
            </w:r>
          </w:p>
          <w:p w14:paraId="77EC5CFA">
            <w:pPr>
              <w:adjustRightInd w:val="0"/>
              <w:snapToGrid w:val="0"/>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大气环境防护距离的计算</w:t>
            </w:r>
          </w:p>
          <w:p w14:paraId="41B7EBCA">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 大气环境》（HJ2.2-2018）对于项目厂界浓度满足大气污染物厂界浓度限值的，但厂界外大气污染物短期贡献浓度超过环境质量限值的，可以自厂界向外设置一定范围的大气环境防护区域，以确保大气环境防护区域外的污染物贡献浓度满足环境质量标准。</w:t>
            </w:r>
          </w:p>
          <w:p w14:paraId="47DD7FB8">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大气环境防护距离的计算方法采用《环境影响评价技术导则—大气环境》（HJ2.2-2008）中SCREEN3模式中的大气环境防护距离进行计算。计算结果：非甲烷总烃、TSP场界监控点最大占标率低于10%，无超标点，无需设置大气环境防护距离。</w:t>
            </w:r>
          </w:p>
          <w:p w14:paraId="17799FCC">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综上所述，本项目采取以上治理措施后，大气污染物可实现达标排放，对区域大气环境影响较小。</w:t>
            </w:r>
          </w:p>
          <w:p w14:paraId="2FF40271">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2、营运期水环境影响分析</w:t>
            </w:r>
          </w:p>
          <w:p w14:paraId="3F0E7EC5">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（1）地表水环境影响分析</w:t>
            </w:r>
          </w:p>
          <w:p w14:paraId="2A221D9D">
            <w:pPr>
              <w:tabs>
                <w:tab w:val="left" w:pos="5670"/>
              </w:tabs>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本项目运营期的废水主要有生产废水核生活污水。</w:t>
            </w:r>
          </w:p>
          <w:p w14:paraId="79D6E5E6">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项目运营期厂区内实行“清污分流、雨污分流”制，雨水经屋面雨水采用雨水斗收集后汇入市政雨水管网；</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w:t>
            </w:r>
            <w:r>
              <w:rPr>
                <w:rFonts w:hint="eastAsia" w:ascii="Times New Roman" w:hAnsi="Times New Roman" w:eastAsia="宋体" w:cs="Times New Roman"/>
                <w:bCs/>
                <w:sz w:val="24"/>
              </w:rPr>
              <w:t>，</w:t>
            </w:r>
            <w:r>
              <w:rPr>
                <w:rFonts w:ascii="Times New Roman" w:hAnsi="Times New Roman" w:eastAsia="宋体" w:cs="Times New Roman"/>
                <w:bCs/>
                <w:sz w:val="24"/>
              </w:rPr>
              <w:t>不外排；</w:t>
            </w:r>
            <w:r>
              <w:rPr>
                <w:rFonts w:ascii="Times New Roman" w:hAnsi="Times New Roman" w:eastAsia="宋体" w:cs="Times New Roman"/>
                <w:sz w:val="24"/>
              </w:rPr>
              <w:t>项目生活污水，其排水量为0.64m</w:t>
            </w:r>
            <w:r>
              <w:rPr>
                <w:rFonts w:ascii="Times New Roman" w:hAnsi="Times New Roman" w:eastAsia="宋体" w:cs="Times New Roman"/>
                <w:sz w:val="24"/>
                <w:vertAlign w:val="superscript"/>
              </w:rPr>
              <w:t>3</w:t>
            </w:r>
            <w:r>
              <w:rPr>
                <w:rFonts w:ascii="Times New Roman" w:hAnsi="Times New Roman" w:eastAsia="宋体" w:cs="Times New Roman"/>
                <w:sz w:val="24"/>
              </w:rPr>
              <w:t>/d，生活废水</w:t>
            </w:r>
            <w:r>
              <w:rPr>
                <w:rFonts w:hint="eastAsia" w:ascii="Times New Roman" w:hAnsi="Times New Roman" w:eastAsia="宋体" w:cs="Times New Roman"/>
                <w:sz w:val="24"/>
              </w:rPr>
              <w:t>利用二级生化处理设施</w:t>
            </w:r>
            <w:r>
              <w:rPr>
                <w:rFonts w:ascii="Times New Roman" w:hAnsi="Times New Roman" w:eastAsia="宋体" w:cs="Times New Roman"/>
                <w:sz w:val="24"/>
              </w:rPr>
              <w:t>进行收集处理后用于</w:t>
            </w:r>
            <w:r>
              <w:rPr>
                <w:rFonts w:ascii="Times New Roman" w:hAnsi="Times New Roman" w:eastAsia="宋体" w:cs="Times New Roman"/>
                <w:bCs/>
                <w:sz w:val="24"/>
              </w:rPr>
              <w:t>周边农灌，不外排。项目周边有大片农田，完全可消纳这部分废水。</w:t>
            </w:r>
          </w:p>
          <w:p w14:paraId="443EAEE7">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评价等级</w:t>
            </w:r>
          </w:p>
          <w:p w14:paraId="33C8A19F">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2.3-2018），项目属于水污染影响型建设项目。水污染影响型建设项目根据排放方式和废水排放量划分评价等级，见下表：</w:t>
            </w:r>
          </w:p>
          <w:p w14:paraId="32ED121A">
            <w:pPr>
              <w:spacing w:line="360" w:lineRule="auto"/>
              <w:jc w:val="center"/>
              <w:rPr>
                <w:rFonts w:ascii="Times New Roman" w:hAnsi="Times New Roman" w:eastAsia="宋体" w:cs="Times New Roman"/>
                <w:bCs/>
                <w:sz w:val="24"/>
              </w:rPr>
            </w:pPr>
            <w:r>
              <w:rPr>
                <w:rFonts w:ascii="Times New Roman" w:hAnsi="Times New Roman" w:eastAsia="宋体" w:cs="Times New Roman"/>
                <w:bCs/>
                <w:sz w:val="24"/>
              </w:rPr>
              <w:t>表7-17  水污染影响型建设项目评价等级判定</w:t>
            </w:r>
          </w:p>
          <w:tbl>
            <w:tblPr>
              <w:tblStyle w:val="26"/>
              <w:tblW w:w="8033"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09"/>
              <w:gridCol w:w="3080"/>
              <w:gridCol w:w="3444"/>
            </w:tblGrid>
            <w:tr w14:paraId="3C8AEE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Merge w:val="restart"/>
                  <w:vAlign w:val="center"/>
                </w:tcPr>
                <w:p w14:paraId="4BDC31E8">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评价等级</w:t>
                  </w:r>
                </w:p>
              </w:tc>
              <w:tc>
                <w:tcPr>
                  <w:tcW w:w="6524" w:type="dxa"/>
                  <w:gridSpan w:val="2"/>
                  <w:vAlign w:val="center"/>
                </w:tcPr>
                <w:p w14:paraId="59736F8A">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判定依据</w:t>
                  </w:r>
                </w:p>
              </w:tc>
            </w:tr>
            <w:tr w14:paraId="4D845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Merge w:val="continue"/>
                  <w:vAlign w:val="center"/>
                </w:tcPr>
                <w:p w14:paraId="38E4F2C3">
                  <w:pPr>
                    <w:snapToGrid w:val="0"/>
                    <w:jc w:val="center"/>
                    <w:rPr>
                      <w:rFonts w:ascii="Times New Roman" w:hAnsi="Times New Roman" w:eastAsia="宋体" w:cs="Times New Roman"/>
                      <w:b/>
                      <w:bCs/>
                      <w:spacing w:val="-2"/>
                    </w:rPr>
                  </w:pPr>
                </w:p>
              </w:tc>
              <w:tc>
                <w:tcPr>
                  <w:tcW w:w="3080" w:type="dxa"/>
                  <w:vAlign w:val="center"/>
                </w:tcPr>
                <w:p w14:paraId="4242072B">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排放方式</w:t>
                  </w:r>
                </w:p>
              </w:tc>
              <w:tc>
                <w:tcPr>
                  <w:tcW w:w="3444" w:type="dxa"/>
                  <w:vAlign w:val="center"/>
                </w:tcPr>
                <w:p w14:paraId="7A19DEC6">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废水排放量Q/（m</w:t>
                  </w:r>
                  <w:r>
                    <w:rPr>
                      <w:rFonts w:ascii="Times New Roman" w:hAnsi="Times New Roman" w:eastAsia="宋体" w:cs="Times New Roman"/>
                      <w:b/>
                      <w:bCs/>
                      <w:spacing w:val="-2"/>
                      <w:vertAlign w:val="superscript"/>
                    </w:rPr>
                    <w:t>3</w:t>
                  </w:r>
                  <w:r>
                    <w:rPr>
                      <w:rFonts w:ascii="Times New Roman" w:hAnsi="Times New Roman" w:eastAsia="宋体" w:cs="Times New Roman"/>
                      <w:b/>
                      <w:bCs/>
                      <w:spacing w:val="-2"/>
                    </w:rPr>
                    <w:t>/d）；水污染物当量数W/（无量纲）</w:t>
                  </w:r>
                </w:p>
              </w:tc>
            </w:tr>
            <w:tr w14:paraId="029D7B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Align w:val="center"/>
                </w:tcPr>
                <w:p w14:paraId="6804F775">
                  <w:pPr>
                    <w:snapToGrid w:val="0"/>
                    <w:jc w:val="center"/>
                    <w:rPr>
                      <w:rFonts w:ascii="Times New Roman" w:hAnsi="Times New Roman" w:eastAsia="宋体" w:cs="Times New Roman"/>
                      <w:spacing w:val="-2"/>
                    </w:rPr>
                  </w:pPr>
                  <w:r>
                    <w:rPr>
                      <w:rFonts w:ascii="Times New Roman" w:hAnsi="Times New Roman" w:eastAsia="宋体" w:cs="Times New Roman"/>
                      <w:spacing w:val="-2"/>
                    </w:rPr>
                    <w:t>一级</w:t>
                  </w:r>
                </w:p>
              </w:tc>
              <w:tc>
                <w:tcPr>
                  <w:tcW w:w="3080" w:type="dxa"/>
                  <w:vAlign w:val="center"/>
                </w:tcPr>
                <w:p w14:paraId="21964249">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3444" w:type="dxa"/>
                  <w:vAlign w:val="center"/>
                </w:tcPr>
                <w:p w14:paraId="1C79AAE3">
                  <w:pPr>
                    <w:snapToGrid w:val="0"/>
                    <w:jc w:val="center"/>
                    <w:rPr>
                      <w:rFonts w:ascii="Times New Roman" w:hAnsi="Times New Roman" w:eastAsia="宋体" w:cs="Times New Roman"/>
                      <w:spacing w:val="-2"/>
                    </w:rPr>
                  </w:pPr>
                  <w:r>
                    <w:rPr>
                      <w:rFonts w:ascii="Times New Roman" w:hAnsi="Times New Roman" w:eastAsia="宋体" w:cs="Times New Roman"/>
                      <w:spacing w:val="-2"/>
                    </w:rPr>
                    <w:t>Q≥20000或W≥600000</w:t>
                  </w:r>
                </w:p>
              </w:tc>
            </w:tr>
            <w:tr w14:paraId="5476CA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Align w:val="center"/>
                </w:tcPr>
                <w:p w14:paraId="6E870248">
                  <w:pPr>
                    <w:snapToGrid w:val="0"/>
                    <w:jc w:val="center"/>
                    <w:rPr>
                      <w:rFonts w:ascii="Times New Roman" w:hAnsi="Times New Roman" w:eastAsia="宋体" w:cs="Times New Roman"/>
                      <w:spacing w:val="-2"/>
                    </w:rPr>
                  </w:pPr>
                  <w:r>
                    <w:rPr>
                      <w:rFonts w:ascii="Times New Roman" w:hAnsi="Times New Roman" w:eastAsia="宋体" w:cs="Times New Roman"/>
                      <w:spacing w:val="-2"/>
                    </w:rPr>
                    <w:t>二级</w:t>
                  </w:r>
                </w:p>
              </w:tc>
              <w:tc>
                <w:tcPr>
                  <w:tcW w:w="3080" w:type="dxa"/>
                  <w:vAlign w:val="center"/>
                </w:tcPr>
                <w:p w14:paraId="4C6F6C75">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3444" w:type="dxa"/>
                  <w:vAlign w:val="center"/>
                </w:tcPr>
                <w:p w14:paraId="69A0AF6D">
                  <w:pPr>
                    <w:snapToGrid w:val="0"/>
                    <w:jc w:val="center"/>
                    <w:rPr>
                      <w:rFonts w:ascii="Times New Roman" w:hAnsi="Times New Roman" w:eastAsia="宋体" w:cs="Times New Roman"/>
                      <w:spacing w:val="-2"/>
                    </w:rPr>
                  </w:pPr>
                  <w:r>
                    <w:rPr>
                      <w:rFonts w:ascii="Times New Roman" w:hAnsi="Times New Roman" w:eastAsia="宋体" w:cs="Times New Roman"/>
                      <w:spacing w:val="-2"/>
                    </w:rPr>
                    <w:t>其他</w:t>
                  </w:r>
                </w:p>
              </w:tc>
            </w:tr>
            <w:tr w14:paraId="0E3AC3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Align w:val="center"/>
                </w:tcPr>
                <w:p w14:paraId="6C362709">
                  <w:pPr>
                    <w:snapToGrid w:val="0"/>
                    <w:jc w:val="center"/>
                    <w:rPr>
                      <w:rFonts w:ascii="Times New Roman" w:hAnsi="Times New Roman" w:eastAsia="宋体" w:cs="Times New Roman"/>
                      <w:spacing w:val="-2"/>
                    </w:rPr>
                  </w:pPr>
                  <w:r>
                    <w:rPr>
                      <w:rFonts w:ascii="Times New Roman" w:hAnsi="Times New Roman" w:eastAsia="宋体" w:cs="Times New Roman"/>
                      <w:spacing w:val="-2"/>
                    </w:rPr>
                    <w:t>三级A</w:t>
                  </w:r>
                </w:p>
              </w:tc>
              <w:tc>
                <w:tcPr>
                  <w:tcW w:w="3080" w:type="dxa"/>
                  <w:vAlign w:val="center"/>
                </w:tcPr>
                <w:p w14:paraId="7484818C">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3444" w:type="dxa"/>
                  <w:vAlign w:val="center"/>
                </w:tcPr>
                <w:p w14:paraId="1A6ACCAD">
                  <w:pPr>
                    <w:snapToGrid w:val="0"/>
                    <w:jc w:val="center"/>
                    <w:rPr>
                      <w:rFonts w:ascii="Times New Roman" w:hAnsi="Times New Roman" w:eastAsia="宋体" w:cs="Times New Roman"/>
                      <w:spacing w:val="-2"/>
                    </w:rPr>
                  </w:pPr>
                  <w:r>
                    <w:rPr>
                      <w:rFonts w:ascii="Times New Roman" w:hAnsi="Times New Roman" w:eastAsia="宋体" w:cs="Times New Roman"/>
                      <w:spacing w:val="-2"/>
                    </w:rPr>
                    <w:t>Q＜200且W＜6000</w:t>
                  </w:r>
                </w:p>
              </w:tc>
            </w:tr>
            <w:tr w14:paraId="3DBDB9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09" w:type="dxa"/>
                  <w:vAlign w:val="center"/>
                </w:tcPr>
                <w:p w14:paraId="7F6001EC">
                  <w:pPr>
                    <w:snapToGrid w:val="0"/>
                    <w:jc w:val="center"/>
                    <w:rPr>
                      <w:rFonts w:ascii="Times New Roman" w:hAnsi="Times New Roman" w:eastAsia="宋体" w:cs="Times New Roman"/>
                      <w:spacing w:val="-2"/>
                    </w:rPr>
                  </w:pPr>
                  <w:r>
                    <w:rPr>
                      <w:rFonts w:ascii="Times New Roman" w:hAnsi="Times New Roman" w:eastAsia="宋体" w:cs="Times New Roman"/>
                      <w:spacing w:val="-2"/>
                    </w:rPr>
                    <w:t>三级B</w:t>
                  </w:r>
                </w:p>
              </w:tc>
              <w:tc>
                <w:tcPr>
                  <w:tcW w:w="3080" w:type="dxa"/>
                  <w:vAlign w:val="center"/>
                </w:tcPr>
                <w:p w14:paraId="2136BEFC">
                  <w:pPr>
                    <w:snapToGrid w:val="0"/>
                    <w:jc w:val="center"/>
                    <w:rPr>
                      <w:rFonts w:ascii="Times New Roman" w:hAnsi="Times New Roman" w:eastAsia="宋体" w:cs="Times New Roman"/>
                      <w:spacing w:val="-2"/>
                    </w:rPr>
                  </w:pPr>
                  <w:r>
                    <w:rPr>
                      <w:rFonts w:ascii="Times New Roman" w:hAnsi="Times New Roman" w:eastAsia="宋体" w:cs="Times New Roman"/>
                      <w:spacing w:val="-2"/>
                    </w:rPr>
                    <w:t>间接排放</w:t>
                  </w:r>
                </w:p>
              </w:tc>
              <w:tc>
                <w:tcPr>
                  <w:tcW w:w="3444" w:type="dxa"/>
                  <w:vAlign w:val="center"/>
                </w:tcPr>
                <w:p w14:paraId="4C4993F3">
                  <w:pPr>
                    <w:snapToGrid w:val="0"/>
                    <w:jc w:val="center"/>
                    <w:rPr>
                      <w:rFonts w:ascii="Times New Roman" w:hAnsi="Times New Roman" w:eastAsia="宋体" w:cs="Times New Roman"/>
                      <w:spacing w:val="-2"/>
                    </w:rPr>
                  </w:pPr>
                  <w:r>
                    <w:rPr>
                      <w:rFonts w:ascii="Times New Roman" w:hAnsi="Times New Roman" w:eastAsia="宋体" w:cs="Times New Roman"/>
                      <w:spacing w:val="-2"/>
                    </w:rPr>
                    <w:t>—</w:t>
                  </w:r>
                </w:p>
              </w:tc>
            </w:tr>
            <w:tr w14:paraId="42E431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8033" w:type="dxa"/>
                  <w:gridSpan w:val="3"/>
                  <w:vAlign w:val="center"/>
                </w:tcPr>
                <w:p w14:paraId="3279B721">
                  <w:pPr>
                    <w:snapToGrid w:val="0"/>
                    <w:jc w:val="left"/>
                    <w:rPr>
                      <w:rFonts w:ascii="Times New Roman" w:hAnsi="Times New Roman" w:eastAsia="宋体" w:cs="Times New Roman"/>
                      <w:sz w:val="18"/>
                      <w:szCs w:val="18"/>
                    </w:rPr>
                  </w:pPr>
                  <w:r>
                    <w:rPr>
                      <w:rFonts w:ascii="Times New Roman" w:hAnsi="Times New Roman" w:eastAsia="宋体" w:cs="Times New Roman"/>
                      <w:sz w:val="18"/>
                      <w:szCs w:val="18"/>
                    </w:rPr>
                    <w:t>注1：水污染物当量数等于该污染物的年排放量除以该污染物的污染当量值，计算排放污染物的污染物当量数，应区分第一类水污染物和其他类水污染物，统计第一类污染物当量数总和，然后与其他类污染物按照污染物当量从大到小排序，取最大当量数作为建设项目评价等级确定的依据。</w:t>
                  </w:r>
                </w:p>
                <w:p w14:paraId="02733AC5">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2：废水排放量按行业排放标准中规定的废水种类统计，没有相关行业排放标准要求的通过工程分析合理确定，应统计含热量大的冷却水的排放量，可不统计间歇冷却水，循环水以及其他含污染物极少的清净下水的排放量。</w:t>
                  </w:r>
                </w:p>
                <w:p w14:paraId="19A23983">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注3：厂区存在堆积物（露天堆放的原料，燃料、废渣等以及垃圾堆放场）、降尘污染的，应将初期雨水纳入废水排放量，相应的主要污染物纳入水污染当量计算。</w:t>
                  </w:r>
                </w:p>
                <w:p w14:paraId="7F8514EE">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注4：建设项目直接排放第一类污染物的，其评价等级为一级；建设项目直接排放的污染物为受纳水体超标因子的，评价等级不低于二级。</w:t>
                  </w:r>
                </w:p>
                <w:p w14:paraId="2F80E41A">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注5：直接排放受纳水体影响范围涉及饮用水水源保护区、饮用水取水口、重点保护与</w:t>
                  </w:r>
                  <w:r>
                    <w:rPr>
                      <w:rFonts w:hint="eastAsia" w:ascii="Times New Roman" w:hAnsi="Times New Roman" w:eastAsia="宋体" w:cs="Times New Roman"/>
                      <w:spacing w:val="-2"/>
                      <w:sz w:val="18"/>
                      <w:szCs w:val="18"/>
                      <w:lang w:eastAsia="zh-CN"/>
                    </w:rPr>
                    <w:t>珍稀</w:t>
                  </w:r>
                  <w:r>
                    <w:rPr>
                      <w:rFonts w:ascii="Times New Roman" w:hAnsi="Times New Roman" w:eastAsia="宋体" w:cs="Times New Roman"/>
                      <w:spacing w:val="-2"/>
                      <w:sz w:val="18"/>
                      <w:szCs w:val="18"/>
                    </w:rPr>
                    <w:t>水生生物的栖息地、重要水生生物的自然产卵场等保护目标时，评价等级不低于二级。</w:t>
                  </w:r>
                </w:p>
                <w:p w14:paraId="7EBB73D0">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注6：建设项目向河流、湖库排放温排水引起收纳水体水文变化超过水环境质量标准要求，且评价范围有水温敏感目标时，评价等级为一级。</w:t>
                  </w:r>
                </w:p>
                <w:p w14:paraId="7856DF81">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注7：建设项目利用海水未做调节温度介质，排水≥500万m</w:t>
                  </w:r>
                  <w:r>
                    <w:rPr>
                      <w:rFonts w:ascii="Times New Roman" w:hAnsi="Times New Roman" w:eastAsia="宋体" w:cs="Times New Roman"/>
                      <w:spacing w:val="-2"/>
                      <w:sz w:val="18"/>
                      <w:szCs w:val="18"/>
                      <w:vertAlign w:val="superscript"/>
                    </w:rPr>
                    <w:t>3</w:t>
                  </w:r>
                  <w:r>
                    <w:rPr>
                      <w:rFonts w:ascii="Times New Roman" w:hAnsi="Times New Roman" w:eastAsia="宋体" w:cs="Times New Roman"/>
                      <w:spacing w:val="-2"/>
                      <w:sz w:val="18"/>
                      <w:szCs w:val="18"/>
                    </w:rPr>
                    <w:t>/d，评价等级为一级排水量﹤500万m</w:t>
                  </w:r>
                  <w:r>
                    <w:rPr>
                      <w:rFonts w:ascii="Times New Roman" w:hAnsi="Times New Roman" w:eastAsia="宋体" w:cs="Times New Roman"/>
                      <w:spacing w:val="-2"/>
                      <w:sz w:val="18"/>
                      <w:szCs w:val="18"/>
                      <w:vertAlign w:val="superscript"/>
                    </w:rPr>
                    <w:t>3</w:t>
                  </w:r>
                  <w:r>
                    <w:rPr>
                      <w:rFonts w:ascii="Times New Roman" w:hAnsi="Times New Roman" w:eastAsia="宋体" w:cs="Times New Roman"/>
                      <w:spacing w:val="-2"/>
                      <w:sz w:val="18"/>
                      <w:szCs w:val="18"/>
                    </w:rPr>
                    <w:t>/d，评价等级为二级。</w:t>
                  </w:r>
                </w:p>
                <w:p w14:paraId="37C95C43">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注8：仅涉及清净下水排放的，如其排水水质满足收纳水体水环境质量要求的，评价等级为三级A。</w:t>
                  </w:r>
                </w:p>
                <w:p w14:paraId="42E54EAE">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注9：依托现有排放口，且对外环境未新增污染物的直接排放建设项目，评价等级参照间接排放，定位三级B。</w:t>
                  </w:r>
                </w:p>
                <w:p w14:paraId="720848F7">
                  <w:pPr>
                    <w:pStyle w:val="171"/>
                    <w:spacing w:line="240" w:lineRule="auto"/>
                    <w:ind w:firstLine="0" w:firstLineChars="0"/>
                    <w:rPr>
                      <w:rFonts w:ascii="Times New Roman" w:hAnsi="Times New Roman" w:eastAsia="宋体" w:cs="Times New Roman"/>
                      <w:spacing w:val="-2"/>
                      <w:sz w:val="21"/>
                      <w:szCs w:val="21"/>
                    </w:rPr>
                  </w:pPr>
                  <w:r>
                    <w:rPr>
                      <w:rFonts w:ascii="Times New Roman" w:hAnsi="Times New Roman" w:eastAsia="宋体" w:cs="Times New Roman"/>
                      <w:spacing w:val="-2"/>
                      <w:sz w:val="18"/>
                      <w:szCs w:val="18"/>
                    </w:rPr>
                    <w:t>注10：建设项目生产工艺中有废水产生，但作为回水利用，不排放到外环境的，按三级B评价。</w:t>
                  </w:r>
                </w:p>
              </w:tc>
            </w:tr>
          </w:tbl>
          <w:p w14:paraId="473F7885">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项目生产废水</w:t>
            </w:r>
            <w:r>
              <w:rPr>
                <w:rFonts w:hint="eastAsia" w:ascii="Times New Roman" w:hAnsi="Times New Roman" w:eastAsia="宋体" w:cs="Times New Roman"/>
                <w:sz w:val="24"/>
              </w:rPr>
              <w:t>自然蒸发不外排</w:t>
            </w:r>
            <w:r>
              <w:rPr>
                <w:rFonts w:ascii="Times New Roman" w:hAnsi="Times New Roman" w:eastAsia="宋体" w:cs="Times New Roman"/>
                <w:sz w:val="24"/>
              </w:rPr>
              <w:t>，生活污水回用农灌属于间接排放，按照三级B评价。</w:t>
            </w:r>
          </w:p>
          <w:p w14:paraId="68FF52BE">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②</w:t>
            </w:r>
            <w:r>
              <w:rPr>
                <w:rFonts w:ascii="Times New Roman" w:hAnsi="Times New Roman" w:eastAsia="宋体" w:cs="Times New Roman"/>
                <w:sz w:val="24"/>
              </w:rPr>
              <w:t>评价时期</w:t>
            </w:r>
          </w:p>
          <w:p w14:paraId="2616275B">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2.3-2018），三级B评价可不考虑评价时期。</w:t>
            </w:r>
          </w:p>
          <w:p w14:paraId="3AF089DA">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③</w:t>
            </w:r>
            <w:r>
              <w:rPr>
                <w:rFonts w:ascii="Times New Roman" w:hAnsi="Times New Roman" w:eastAsia="宋体" w:cs="Times New Roman"/>
                <w:sz w:val="24"/>
              </w:rPr>
              <w:t>评价范围</w:t>
            </w:r>
          </w:p>
          <w:p w14:paraId="38E54816">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2.3-2018）5.3.2.2，三级B其评价范围应符合以下要求：a）应满足其依托污水处理设施环境可行性分析的要求；b）涉及地表水环境风险的，应覆盖环境风险影响范围所及的水环境保护目标水域。</w:t>
            </w:r>
          </w:p>
          <w:p w14:paraId="4F0B504E">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4 \* GB3 </w:instrText>
            </w:r>
            <w:r>
              <w:rPr>
                <w:rFonts w:ascii="Times New Roman" w:hAnsi="Times New Roman" w:eastAsia="宋体" w:cs="Times New Roman"/>
                <w:sz w:val="24"/>
              </w:rPr>
              <w:fldChar w:fldCharType="separate"/>
            </w:r>
            <w:r>
              <w:rPr>
                <w:rFonts w:hint="eastAsia" w:ascii="宋体" w:hAnsi="宋体" w:eastAsia="宋体" w:cs="宋体"/>
                <w:sz w:val="24"/>
              </w:rPr>
              <w:t>④</w:t>
            </w:r>
            <w:r>
              <w:rPr>
                <w:rFonts w:ascii="Times New Roman" w:hAnsi="Times New Roman" w:eastAsia="宋体" w:cs="Times New Roman"/>
                <w:sz w:val="24"/>
              </w:rPr>
              <w:fldChar w:fldCharType="end"/>
            </w:r>
            <w:r>
              <w:rPr>
                <w:rFonts w:ascii="Times New Roman" w:hAnsi="Times New Roman" w:eastAsia="宋体" w:cs="Times New Roman"/>
                <w:sz w:val="24"/>
              </w:rPr>
              <w:t>依托可行性分析：</w:t>
            </w:r>
          </w:p>
          <w:p w14:paraId="001491C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bCs/>
                <w:sz w:val="24"/>
              </w:rPr>
              <w:t>员工</w:t>
            </w:r>
            <w:r>
              <w:rPr>
                <w:rFonts w:hint="eastAsia" w:ascii="Times New Roman" w:hAnsi="Times New Roman" w:eastAsia="宋体" w:cs="Times New Roman"/>
                <w:bCs/>
                <w:sz w:val="24"/>
              </w:rPr>
              <w:t>2</w:t>
            </w:r>
            <w:r>
              <w:rPr>
                <w:rFonts w:ascii="Times New Roman" w:hAnsi="Times New Roman" w:eastAsia="宋体" w:cs="Times New Roman"/>
                <w:bCs/>
                <w:sz w:val="24"/>
              </w:rPr>
              <w:t>0</w:t>
            </w:r>
            <w:r>
              <w:rPr>
                <w:rFonts w:hint="eastAsia" w:ascii="Times New Roman" w:hAnsi="Times New Roman" w:eastAsia="宋体" w:cs="Times New Roman"/>
                <w:bCs/>
                <w:sz w:val="24"/>
              </w:rPr>
              <w:t>人</w:t>
            </w:r>
            <w:r>
              <w:rPr>
                <w:rFonts w:ascii="Times New Roman" w:hAnsi="Times New Roman" w:eastAsia="宋体" w:cs="Times New Roman"/>
                <w:bCs/>
                <w:sz w:val="24"/>
              </w:rPr>
              <w:t>，生活污水</w:t>
            </w:r>
            <w:r>
              <w:rPr>
                <w:rFonts w:ascii="Times New Roman" w:hAnsi="Times New Roman" w:eastAsia="宋体" w:cs="Times New Roman"/>
                <w:bCs/>
                <w:sz w:val="24"/>
                <w:szCs w:val="24"/>
              </w:rPr>
              <w:t>依托现有</w:t>
            </w:r>
            <w:r>
              <w:rPr>
                <w:rFonts w:ascii="Times New Roman" w:hAnsi="Times New Roman" w:eastAsia="宋体" w:cs="Times New Roman"/>
                <w:bCs/>
                <w:sz w:val="24"/>
              </w:rPr>
              <w:t>的地埋式预处理池进行处理后</w:t>
            </w:r>
            <w:r>
              <w:rPr>
                <w:rFonts w:hint="eastAsia" w:ascii="Times New Roman" w:hAnsi="Times New Roman" w:eastAsia="宋体" w:cs="Times New Roman"/>
                <w:bCs/>
                <w:sz w:val="24"/>
              </w:rPr>
              <w:t>对周边</w:t>
            </w:r>
            <w:r>
              <w:rPr>
                <w:rFonts w:ascii="Times New Roman" w:hAnsi="Times New Roman" w:eastAsia="宋体" w:cs="Times New Roman"/>
                <w:bCs/>
                <w:sz w:val="24"/>
              </w:rPr>
              <w:t>菜地和绿化农肥，不直接外排；</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轮胎冲洗水自然蒸发，不外排，</w:t>
            </w:r>
            <w:r>
              <w:rPr>
                <w:rFonts w:ascii="Times New Roman" w:hAnsi="Times New Roman" w:eastAsia="宋体" w:cs="Times New Roman"/>
                <w:sz w:val="24"/>
              </w:rPr>
              <w:t>不会对</w:t>
            </w:r>
            <w:r>
              <w:rPr>
                <w:rFonts w:hint="eastAsia" w:ascii="Times New Roman" w:hAnsi="Times New Roman" w:eastAsia="宋体" w:cs="Times New Roman"/>
                <w:sz w:val="24"/>
              </w:rPr>
              <w:t>庞沟</w:t>
            </w:r>
            <w:r>
              <w:rPr>
                <w:rFonts w:ascii="Times New Roman" w:hAnsi="Times New Roman" w:eastAsia="宋体" w:cs="Times New Roman"/>
                <w:sz w:val="24"/>
              </w:rPr>
              <w:t>的水环境产生影响。</w:t>
            </w:r>
          </w:p>
          <w:p w14:paraId="30299081">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5 \* GB3 </w:instrText>
            </w:r>
            <w:r>
              <w:rPr>
                <w:rFonts w:ascii="Times New Roman" w:hAnsi="Times New Roman" w:eastAsia="宋体" w:cs="Times New Roman"/>
                <w:sz w:val="24"/>
              </w:rPr>
              <w:fldChar w:fldCharType="separate"/>
            </w:r>
            <w:r>
              <w:rPr>
                <w:rFonts w:hint="eastAsia" w:ascii="宋体" w:hAnsi="宋体" w:eastAsia="宋体" w:cs="宋体"/>
                <w:sz w:val="24"/>
              </w:rPr>
              <w:t>⑤</w:t>
            </w:r>
            <w:r>
              <w:rPr>
                <w:rFonts w:ascii="Times New Roman" w:hAnsi="Times New Roman" w:eastAsia="宋体" w:cs="Times New Roman"/>
                <w:sz w:val="24"/>
              </w:rPr>
              <w:fldChar w:fldCharType="end"/>
            </w:r>
            <w:r>
              <w:rPr>
                <w:rFonts w:ascii="Times New Roman" w:hAnsi="Times New Roman" w:eastAsia="宋体" w:cs="Times New Roman"/>
                <w:sz w:val="24"/>
              </w:rPr>
              <w:t>项目废水污染物排放信息</w:t>
            </w:r>
          </w:p>
          <w:p w14:paraId="45997F74">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项目废水污染物排放信息详见下表7-18：</w:t>
            </w:r>
          </w:p>
          <w:p w14:paraId="2CBB5D68">
            <w:pPr>
              <w:spacing w:line="360" w:lineRule="auto"/>
              <w:jc w:val="center"/>
              <w:rPr>
                <w:rFonts w:ascii="Times New Roman" w:hAnsi="Times New Roman" w:eastAsia="宋体" w:cs="Times New Roman"/>
                <w:bCs/>
                <w:sz w:val="24"/>
              </w:rPr>
            </w:pPr>
            <w:r>
              <w:rPr>
                <w:rFonts w:ascii="Times New Roman" w:hAnsi="Times New Roman" w:eastAsia="宋体" w:cs="Times New Roman"/>
                <w:bCs/>
                <w:sz w:val="24"/>
              </w:rPr>
              <w:t>表7-18  项目废水类别、污染物及污染治理设施信息表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74"/>
              <w:gridCol w:w="1277"/>
              <w:gridCol w:w="3165"/>
              <w:gridCol w:w="3166"/>
            </w:tblGrid>
            <w:tr w14:paraId="62322B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2AFB3793">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911" w:type="pct"/>
                  <w:vAlign w:val="center"/>
                </w:tcPr>
                <w:p w14:paraId="028FBF40">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911" w:type="pct"/>
                  <w:vAlign w:val="center"/>
                </w:tcPr>
                <w:p w14:paraId="5FA89A3E">
                  <w:pPr>
                    <w:jc w:val="center"/>
                    <w:rPr>
                      <w:rFonts w:ascii="Times New Roman" w:hAnsi="Times New Roman" w:eastAsia="宋体" w:cs="Times New Roman"/>
                      <w:szCs w:val="21"/>
                    </w:rPr>
                  </w:pPr>
                  <w:r>
                    <w:rPr>
                      <w:rFonts w:ascii="Times New Roman" w:hAnsi="Times New Roman" w:eastAsia="宋体" w:cs="Times New Roman"/>
                      <w:szCs w:val="21"/>
                    </w:rPr>
                    <w:t>2</w:t>
                  </w:r>
                </w:p>
              </w:tc>
            </w:tr>
            <w:tr w14:paraId="072D9C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39C9D158">
                  <w:pPr>
                    <w:jc w:val="center"/>
                    <w:rPr>
                      <w:rFonts w:ascii="Times New Roman" w:hAnsi="Times New Roman" w:eastAsia="宋体" w:cs="Times New Roman"/>
                      <w:szCs w:val="21"/>
                    </w:rPr>
                  </w:pPr>
                  <w:r>
                    <w:rPr>
                      <w:rFonts w:ascii="Times New Roman" w:hAnsi="Times New Roman" w:eastAsia="宋体" w:cs="Times New Roman"/>
                      <w:szCs w:val="21"/>
                    </w:rPr>
                    <w:t>废水类别</w:t>
                  </w:r>
                </w:p>
              </w:tc>
              <w:tc>
                <w:tcPr>
                  <w:tcW w:w="1911" w:type="pct"/>
                  <w:vAlign w:val="center"/>
                </w:tcPr>
                <w:p w14:paraId="0E70F3D0">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1911" w:type="pct"/>
                  <w:vAlign w:val="center"/>
                </w:tcPr>
                <w:p w14:paraId="1E463A0C">
                  <w:pPr>
                    <w:jc w:val="center"/>
                    <w:rPr>
                      <w:rFonts w:ascii="Times New Roman" w:hAnsi="Times New Roman" w:eastAsia="宋体" w:cs="Times New Roman"/>
                      <w:szCs w:val="21"/>
                    </w:rPr>
                  </w:pPr>
                  <w:r>
                    <w:rPr>
                      <w:rFonts w:ascii="Times New Roman" w:hAnsi="Times New Roman" w:eastAsia="宋体" w:cs="Times New Roman"/>
                      <w:szCs w:val="21"/>
                    </w:rPr>
                    <w:t>生产废水</w:t>
                  </w:r>
                </w:p>
              </w:tc>
            </w:tr>
            <w:tr w14:paraId="4FB32C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7BE43D87">
                  <w:pPr>
                    <w:jc w:val="center"/>
                    <w:rPr>
                      <w:rFonts w:ascii="Times New Roman" w:hAnsi="Times New Roman" w:eastAsia="宋体" w:cs="Times New Roman"/>
                      <w:szCs w:val="21"/>
                    </w:rPr>
                  </w:pPr>
                  <w:r>
                    <w:rPr>
                      <w:rFonts w:ascii="Times New Roman" w:hAnsi="Times New Roman" w:eastAsia="宋体" w:cs="Times New Roman"/>
                      <w:szCs w:val="21"/>
                    </w:rPr>
                    <w:t>污染物种类</w:t>
                  </w:r>
                </w:p>
              </w:tc>
              <w:tc>
                <w:tcPr>
                  <w:tcW w:w="1911" w:type="pct"/>
                  <w:vAlign w:val="center"/>
                </w:tcPr>
                <w:p w14:paraId="7E196FEE">
                  <w:pPr>
                    <w:jc w:val="center"/>
                    <w:rPr>
                      <w:rFonts w:ascii="Times New Roman" w:hAnsi="Times New Roman" w:eastAsia="宋体" w:cs="Times New Roman"/>
                      <w:szCs w:val="21"/>
                    </w:rPr>
                  </w:pPr>
                  <w:r>
                    <w:rPr>
                      <w:rFonts w:ascii="Times New Roman" w:hAnsi="Times New Roman" w:eastAsia="宋体" w:cs="Times New Roman"/>
                      <w:szCs w:val="21"/>
                    </w:rPr>
                    <w:t>COD、NH</w:t>
                  </w:r>
                  <w:r>
                    <w:rPr>
                      <w:rFonts w:ascii="Times New Roman" w:hAnsi="Times New Roman" w:eastAsia="宋体" w:cs="Times New Roman"/>
                      <w:szCs w:val="21"/>
                      <w:vertAlign w:val="subscript"/>
                    </w:rPr>
                    <w:t>3</w:t>
                  </w:r>
                  <w:r>
                    <w:rPr>
                      <w:rFonts w:ascii="Times New Roman" w:hAnsi="Times New Roman" w:eastAsia="宋体" w:cs="Times New Roman"/>
                      <w:szCs w:val="21"/>
                    </w:rPr>
                    <w:t>-N、TP等</w:t>
                  </w:r>
                </w:p>
              </w:tc>
              <w:tc>
                <w:tcPr>
                  <w:tcW w:w="1911" w:type="pct"/>
                  <w:vAlign w:val="center"/>
                </w:tcPr>
                <w:p w14:paraId="30E80276">
                  <w:pPr>
                    <w:jc w:val="center"/>
                    <w:rPr>
                      <w:rFonts w:ascii="Times New Roman" w:hAnsi="Times New Roman" w:eastAsia="宋体" w:cs="Times New Roman"/>
                      <w:szCs w:val="21"/>
                    </w:rPr>
                  </w:pPr>
                  <w:r>
                    <w:rPr>
                      <w:rFonts w:ascii="Times New Roman" w:hAnsi="Times New Roman" w:eastAsia="宋体" w:cs="Times New Roman"/>
                      <w:szCs w:val="21"/>
                    </w:rPr>
                    <w:t>SS等</w:t>
                  </w:r>
                </w:p>
              </w:tc>
            </w:tr>
            <w:tr w14:paraId="362834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27B4923A">
                  <w:pPr>
                    <w:jc w:val="center"/>
                    <w:rPr>
                      <w:rFonts w:ascii="Times New Roman" w:hAnsi="Times New Roman" w:eastAsia="宋体" w:cs="Times New Roman"/>
                      <w:szCs w:val="21"/>
                    </w:rPr>
                  </w:pPr>
                  <w:r>
                    <w:rPr>
                      <w:rFonts w:ascii="Times New Roman" w:hAnsi="Times New Roman" w:eastAsia="宋体" w:cs="Times New Roman"/>
                      <w:szCs w:val="21"/>
                    </w:rPr>
                    <w:t>排放去向</w:t>
                  </w:r>
                </w:p>
              </w:tc>
              <w:tc>
                <w:tcPr>
                  <w:tcW w:w="1911" w:type="pct"/>
                  <w:vAlign w:val="center"/>
                </w:tcPr>
                <w:p w14:paraId="555A76CA">
                  <w:pPr>
                    <w:jc w:val="center"/>
                    <w:rPr>
                      <w:rFonts w:ascii="Times New Roman" w:hAnsi="Times New Roman" w:eastAsia="宋体" w:cs="Times New Roman"/>
                      <w:szCs w:val="21"/>
                    </w:rPr>
                  </w:pPr>
                  <w:r>
                    <w:rPr>
                      <w:rFonts w:ascii="Times New Roman" w:hAnsi="Times New Roman" w:eastAsia="宋体" w:cs="Times New Roman"/>
                      <w:szCs w:val="21"/>
                    </w:rPr>
                    <w:t>回用周边农田灌溉</w:t>
                  </w:r>
                </w:p>
              </w:tc>
              <w:tc>
                <w:tcPr>
                  <w:tcW w:w="1911" w:type="pct"/>
                  <w:vAlign w:val="center"/>
                </w:tcPr>
                <w:p w14:paraId="0A8BF44F">
                  <w:pPr>
                    <w:jc w:val="center"/>
                    <w:rPr>
                      <w:rFonts w:ascii="Times New Roman" w:hAnsi="Times New Roman" w:eastAsia="宋体" w:cs="Times New Roman"/>
                      <w:szCs w:val="21"/>
                    </w:rPr>
                  </w:pPr>
                  <w:r>
                    <w:rPr>
                      <w:rFonts w:hint="eastAsia" w:ascii="Times New Roman" w:hAnsi="Times New Roman" w:eastAsia="宋体" w:cs="Times New Roman"/>
                      <w:szCs w:val="21"/>
                    </w:rPr>
                    <w:t>自然蒸发</w:t>
                  </w:r>
                </w:p>
              </w:tc>
            </w:tr>
            <w:tr w14:paraId="5D2024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3F7D3AA4">
                  <w:pPr>
                    <w:jc w:val="center"/>
                    <w:rPr>
                      <w:rFonts w:ascii="Times New Roman" w:hAnsi="Times New Roman" w:eastAsia="宋体" w:cs="Times New Roman"/>
                      <w:szCs w:val="21"/>
                    </w:rPr>
                  </w:pPr>
                  <w:r>
                    <w:rPr>
                      <w:rFonts w:ascii="Times New Roman" w:hAnsi="Times New Roman" w:eastAsia="宋体" w:cs="Times New Roman"/>
                      <w:szCs w:val="21"/>
                    </w:rPr>
                    <w:t>排放规律</w:t>
                  </w:r>
                </w:p>
              </w:tc>
              <w:tc>
                <w:tcPr>
                  <w:tcW w:w="1911" w:type="pct"/>
                  <w:vAlign w:val="center"/>
                </w:tcPr>
                <w:p w14:paraId="423F6D96">
                  <w:pPr>
                    <w:jc w:val="left"/>
                    <w:rPr>
                      <w:rFonts w:ascii="Times New Roman" w:hAnsi="Times New Roman" w:eastAsia="宋体" w:cs="Times New Roman"/>
                      <w:szCs w:val="21"/>
                    </w:rPr>
                  </w:pPr>
                  <w:r>
                    <w:rPr>
                      <w:rFonts w:ascii="Times New Roman" w:hAnsi="Times New Roman" w:eastAsia="宋体" w:cs="Times New Roman"/>
                      <w:szCs w:val="21"/>
                    </w:rPr>
                    <w:t>间断排放，排放期间流量不稳定，但有周期性规律</w:t>
                  </w:r>
                </w:p>
              </w:tc>
              <w:tc>
                <w:tcPr>
                  <w:tcW w:w="1911" w:type="pct"/>
                  <w:vAlign w:val="center"/>
                </w:tcPr>
                <w:p w14:paraId="165BDC53">
                  <w:pPr>
                    <w:jc w:val="center"/>
                    <w:rPr>
                      <w:rFonts w:ascii="Times New Roman" w:hAnsi="Times New Roman" w:eastAsia="宋体" w:cs="Times New Roman"/>
                      <w:szCs w:val="21"/>
                    </w:rPr>
                  </w:pPr>
                  <w:r>
                    <w:rPr>
                      <w:rFonts w:ascii="Times New Roman" w:hAnsi="Times New Roman" w:eastAsia="宋体" w:cs="Times New Roman"/>
                      <w:szCs w:val="21"/>
                    </w:rPr>
                    <w:t>不外排</w:t>
                  </w:r>
                </w:p>
              </w:tc>
            </w:tr>
            <w:tr w14:paraId="7164E2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restart"/>
                  <w:vAlign w:val="center"/>
                </w:tcPr>
                <w:p w14:paraId="3534C06F">
                  <w:pPr>
                    <w:jc w:val="center"/>
                    <w:rPr>
                      <w:rFonts w:ascii="Times New Roman" w:hAnsi="Times New Roman" w:eastAsia="宋体" w:cs="Times New Roman"/>
                      <w:szCs w:val="21"/>
                    </w:rPr>
                  </w:pPr>
                  <w:r>
                    <w:rPr>
                      <w:rFonts w:ascii="Times New Roman" w:hAnsi="Times New Roman" w:eastAsia="宋体" w:cs="Times New Roman"/>
                      <w:szCs w:val="21"/>
                    </w:rPr>
                    <w:t>污染治理设施</w:t>
                  </w:r>
                </w:p>
              </w:tc>
              <w:tc>
                <w:tcPr>
                  <w:tcW w:w="771" w:type="pct"/>
                  <w:vAlign w:val="center"/>
                </w:tcPr>
                <w:p w14:paraId="43C7283B">
                  <w:pPr>
                    <w:jc w:val="center"/>
                    <w:rPr>
                      <w:rFonts w:ascii="Times New Roman" w:hAnsi="Times New Roman" w:eastAsia="宋体" w:cs="Times New Roman"/>
                      <w:szCs w:val="21"/>
                    </w:rPr>
                  </w:pPr>
                  <w:r>
                    <w:rPr>
                      <w:rFonts w:ascii="Times New Roman" w:hAnsi="Times New Roman" w:eastAsia="宋体" w:cs="Times New Roman"/>
                      <w:szCs w:val="21"/>
                    </w:rPr>
                    <w:t>设施编号</w:t>
                  </w:r>
                </w:p>
              </w:tc>
              <w:tc>
                <w:tcPr>
                  <w:tcW w:w="1911" w:type="pct"/>
                  <w:vAlign w:val="center"/>
                </w:tcPr>
                <w:p w14:paraId="4A5F4B54">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911" w:type="pct"/>
                  <w:vAlign w:val="center"/>
                </w:tcPr>
                <w:p w14:paraId="44D9C4EF">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5C7A94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continue"/>
                  <w:vAlign w:val="center"/>
                </w:tcPr>
                <w:p w14:paraId="46518AD5">
                  <w:pPr>
                    <w:jc w:val="center"/>
                    <w:rPr>
                      <w:rFonts w:ascii="Times New Roman" w:hAnsi="Times New Roman" w:eastAsia="宋体" w:cs="Times New Roman"/>
                      <w:szCs w:val="21"/>
                    </w:rPr>
                  </w:pPr>
                </w:p>
              </w:tc>
              <w:tc>
                <w:tcPr>
                  <w:tcW w:w="771" w:type="pct"/>
                  <w:vAlign w:val="center"/>
                </w:tcPr>
                <w:p w14:paraId="4147FAD9">
                  <w:pPr>
                    <w:jc w:val="center"/>
                    <w:rPr>
                      <w:rFonts w:ascii="Times New Roman" w:hAnsi="Times New Roman" w:eastAsia="宋体" w:cs="Times New Roman"/>
                      <w:szCs w:val="21"/>
                    </w:rPr>
                  </w:pPr>
                  <w:r>
                    <w:rPr>
                      <w:rFonts w:ascii="Times New Roman" w:hAnsi="Times New Roman" w:eastAsia="宋体" w:cs="Times New Roman"/>
                      <w:szCs w:val="21"/>
                    </w:rPr>
                    <w:t>设施名称</w:t>
                  </w:r>
                </w:p>
              </w:tc>
              <w:tc>
                <w:tcPr>
                  <w:tcW w:w="1911" w:type="pct"/>
                  <w:vAlign w:val="center"/>
                </w:tcPr>
                <w:p w14:paraId="016F3F23">
                  <w:pPr>
                    <w:jc w:val="center"/>
                    <w:rPr>
                      <w:rFonts w:ascii="Times New Roman" w:hAnsi="Times New Roman" w:eastAsia="宋体" w:cs="Times New Roman"/>
                      <w:szCs w:val="21"/>
                    </w:rPr>
                  </w:pPr>
                  <w:r>
                    <w:rPr>
                      <w:rFonts w:hint="eastAsia" w:ascii="Times New Roman" w:hAnsi="Times New Roman" w:eastAsia="宋体" w:cs="Times New Roman"/>
                      <w:szCs w:val="21"/>
                    </w:rPr>
                    <w:t>二级生化设施</w:t>
                  </w:r>
                </w:p>
              </w:tc>
              <w:tc>
                <w:tcPr>
                  <w:tcW w:w="1911" w:type="pct"/>
                  <w:vAlign w:val="center"/>
                </w:tcPr>
                <w:p w14:paraId="23D5CF33">
                  <w:pPr>
                    <w:jc w:val="center"/>
                    <w:rPr>
                      <w:rFonts w:ascii="Times New Roman" w:hAnsi="Times New Roman" w:eastAsia="宋体" w:cs="Times New Roman"/>
                      <w:szCs w:val="21"/>
                    </w:rPr>
                  </w:pPr>
                  <w:r>
                    <w:rPr>
                      <w:rFonts w:hint="eastAsia" w:ascii="Times New Roman" w:hAnsi="Times New Roman" w:eastAsia="宋体" w:cs="Times New Roman"/>
                      <w:bCs/>
                      <w:szCs w:val="16"/>
                    </w:rPr>
                    <w:t>轮胎清洗池</w:t>
                  </w:r>
                </w:p>
              </w:tc>
            </w:tr>
            <w:tr w14:paraId="7BFCE8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continue"/>
                  <w:vAlign w:val="center"/>
                </w:tcPr>
                <w:p w14:paraId="65AC1198">
                  <w:pPr>
                    <w:jc w:val="center"/>
                    <w:rPr>
                      <w:rFonts w:ascii="Times New Roman" w:hAnsi="Times New Roman" w:eastAsia="宋体" w:cs="Times New Roman"/>
                      <w:szCs w:val="21"/>
                    </w:rPr>
                  </w:pPr>
                </w:p>
              </w:tc>
              <w:tc>
                <w:tcPr>
                  <w:tcW w:w="771" w:type="pct"/>
                  <w:vAlign w:val="center"/>
                </w:tcPr>
                <w:p w14:paraId="152BD986">
                  <w:pPr>
                    <w:jc w:val="center"/>
                    <w:rPr>
                      <w:rFonts w:ascii="Times New Roman" w:hAnsi="Times New Roman" w:eastAsia="宋体" w:cs="Times New Roman"/>
                      <w:szCs w:val="21"/>
                    </w:rPr>
                  </w:pPr>
                  <w:r>
                    <w:rPr>
                      <w:rFonts w:ascii="Times New Roman" w:hAnsi="Times New Roman" w:eastAsia="宋体" w:cs="Times New Roman"/>
                      <w:szCs w:val="21"/>
                    </w:rPr>
                    <w:t>设施工艺</w:t>
                  </w:r>
                </w:p>
              </w:tc>
              <w:tc>
                <w:tcPr>
                  <w:tcW w:w="1911" w:type="pct"/>
                  <w:vAlign w:val="center"/>
                </w:tcPr>
                <w:p w14:paraId="4E44B355">
                  <w:pPr>
                    <w:jc w:val="center"/>
                    <w:rPr>
                      <w:rFonts w:ascii="Times New Roman" w:hAnsi="Times New Roman" w:eastAsia="宋体" w:cs="Times New Roman"/>
                      <w:szCs w:val="21"/>
                    </w:rPr>
                  </w:pPr>
                  <w:r>
                    <w:rPr>
                      <w:rFonts w:ascii="Times New Roman" w:hAnsi="Times New Roman" w:eastAsia="宋体" w:cs="Times New Roman"/>
                      <w:szCs w:val="21"/>
                    </w:rPr>
                    <w:t>沉淀、厌氧发酵</w:t>
                  </w:r>
                </w:p>
              </w:tc>
              <w:tc>
                <w:tcPr>
                  <w:tcW w:w="1911" w:type="pct"/>
                  <w:vAlign w:val="center"/>
                </w:tcPr>
                <w:p w14:paraId="3CA0B2EC">
                  <w:pPr>
                    <w:jc w:val="center"/>
                    <w:rPr>
                      <w:rFonts w:ascii="Times New Roman" w:hAnsi="Times New Roman" w:eastAsia="宋体" w:cs="Times New Roman"/>
                      <w:szCs w:val="21"/>
                    </w:rPr>
                  </w:pPr>
                  <w:r>
                    <w:rPr>
                      <w:rFonts w:ascii="Times New Roman" w:hAnsi="Times New Roman" w:eastAsia="宋体" w:cs="Times New Roman"/>
                      <w:szCs w:val="21"/>
                    </w:rPr>
                    <w:t>沉淀</w:t>
                  </w:r>
                </w:p>
              </w:tc>
            </w:tr>
            <w:tr w14:paraId="65FD0E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30804967">
                  <w:pPr>
                    <w:jc w:val="center"/>
                    <w:rPr>
                      <w:rFonts w:ascii="Times New Roman" w:hAnsi="Times New Roman" w:eastAsia="宋体" w:cs="Times New Roman"/>
                      <w:szCs w:val="21"/>
                    </w:rPr>
                  </w:pPr>
                  <w:r>
                    <w:rPr>
                      <w:rFonts w:ascii="Times New Roman" w:hAnsi="Times New Roman" w:eastAsia="宋体" w:cs="Times New Roman"/>
                      <w:szCs w:val="21"/>
                    </w:rPr>
                    <w:t>排放口编号</w:t>
                  </w:r>
                </w:p>
              </w:tc>
              <w:tc>
                <w:tcPr>
                  <w:tcW w:w="1911" w:type="pct"/>
                  <w:vAlign w:val="center"/>
                </w:tcPr>
                <w:p w14:paraId="448CB994">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911" w:type="pct"/>
                  <w:vAlign w:val="center"/>
                </w:tcPr>
                <w:p w14:paraId="65B82F57">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5313A2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38305AED">
                  <w:pPr>
                    <w:jc w:val="center"/>
                    <w:rPr>
                      <w:rFonts w:ascii="Times New Roman" w:hAnsi="Times New Roman" w:eastAsia="宋体" w:cs="Times New Roman"/>
                      <w:szCs w:val="21"/>
                    </w:rPr>
                  </w:pPr>
                  <w:r>
                    <w:rPr>
                      <w:rFonts w:ascii="Times New Roman" w:hAnsi="Times New Roman" w:eastAsia="宋体" w:cs="Times New Roman"/>
                      <w:szCs w:val="21"/>
                    </w:rPr>
                    <w:t>排放口设置是否符合要求</w:t>
                  </w:r>
                </w:p>
              </w:tc>
              <w:tc>
                <w:tcPr>
                  <w:tcW w:w="1911" w:type="pct"/>
                  <w:vAlign w:val="center"/>
                </w:tcPr>
                <w:p w14:paraId="321D0EB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是   </w:t>
                  </w:r>
                  <w:r>
                    <w:rPr>
                      <w:rFonts w:hint="eastAsia" w:ascii="Times New Roman" w:hAnsi="Times New Roman" w:eastAsia="宋体" w:cs="Times New Roman"/>
                      <w:szCs w:val="21"/>
                    </w:rPr>
                    <w:t>□</w:t>
                  </w:r>
                  <w:r>
                    <w:rPr>
                      <w:rFonts w:ascii="Times New Roman" w:hAnsi="Times New Roman" w:eastAsia="宋体" w:cs="Times New Roman"/>
                      <w:szCs w:val="21"/>
                    </w:rPr>
                    <w:t>否</w:t>
                  </w:r>
                </w:p>
              </w:tc>
              <w:tc>
                <w:tcPr>
                  <w:tcW w:w="1911" w:type="pct"/>
                  <w:vAlign w:val="center"/>
                </w:tcPr>
                <w:p w14:paraId="1FCB3DE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是   </w:t>
                  </w:r>
                  <w:r>
                    <w:rPr>
                      <w:rFonts w:hint="eastAsia" w:ascii="Times New Roman" w:hAnsi="Times New Roman" w:eastAsia="宋体" w:cs="Times New Roman"/>
                      <w:szCs w:val="21"/>
                    </w:rPr>
                    <w:t>□</w:t>
                  </w:r>
                  <w:r>
                    <w:rPr>
                      <w:rFonts w:ascii="Times New Roman" w:hAnsi="Times New Roman" w:eastAsia="宋体" w:cs="Times New Roman"/>
                      <w:szCs w:val="21"/>
                    </w:rPr>
                    <w:t>否</w:t>
                  </w:r>
                </w:p>
              </w:tc>
            </w:tr>
            <w:tr w14:paraId="3F58F7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8" w:type="pct"/>
                  <w:gridSpan w:val="2"/>
                  <w:vAlign w:val="center"/>
                </w:tcPr>
                <w:p w14:paraId="333D080B">
                  <w:pPr>
                    <w:jc w:val="center"/>
                    <w:rPr>
                      <w:rFonts w:ascii="Times New Roman" w:hAnsi="Times New Roman" w:eastAsia="宋体" w:cs="Times New Roman"/>
                      <w:szCs w:val="21"/>
                    </w:rPr>
                  </w:pPr>
                  <w:r>
                    <w:rPr>
                      <w:rFonts w:ascii="Times New Roman" w:hAnsi="Times New Roman" w:eastAsia="宋体" w:cs="Times New Roman"/>
                      <w:szCs w:val="21"/>
                    </w:rPr>
                    <w:t>排放口类型</w:t>
                  </w:r>
                </w:p>
              </w:tc>
              <w:tc>
                <w:tcPr>
                  <w:tcW w:w="1911" w:type="pct"/>
                  <w:vAlign w:val="center"/>
                </w:tcPr>
                <w:p w14:paraId="476A6BBB">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企业总排</w:t>
                  </w:r>
                </w:p>
                <w:p w14:paraId="58B3C7B0">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雨水排放 </w:t>
                  </w:r>
                </w:p>
                <w:p w14:paraId="04009437">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清净下水排放</w:t>
                  </w:r>
                </w:p>
                <w:p w14:paraId="2542BD53">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温排水排放</w:t>
                  </w:r>
                </w:p>
                <w:p w14:paraId="0C65ED9A">
                  <w:pPr>
                    <w:adjustRightInd w:val="0"/>
                    <w:snapToGrid w:val="0"/>
                    <w:jc w:val="left"/>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车间或车间处理设施排放口</w:t>
                  </w:r>
                </w:p>
              </w:tc>
              <w:tc>
                <w:tcPr>
                  <w:tcW w:w="1911" w:type="pct"/>
                  <w:vAlign w:val="center"/>
                </w:tcPr>
                <w:p w14:paraId="3D58D542">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企业总排</w:t>
                  </w:r>
                </w:p>
                <w:p w14:paraId="13FA142E">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雨水排放 </w:t>
                  </w:r>
                </w:p>
                <w:p w14:paraId="7BE4DBF5">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清净下水排放</w:t>
                  </w:r>
                </w:p>
                <w:p w14:paraId="15D74F80">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温排水排放</w:t>
                  </w:r>
                </w:p>
                <w:p w14:paraId="0011A0F8">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车间或车间处理设施排放口</w:t>
                  </w:r>
                </w:p>
              </w:tc>
            </w:tr>
          </w:tbl>
          <w:p w14:paraId="532745AB">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（2）地下水环境影响分析</w:t>
            </w:r>
          </w:p>
          <w:p w14:paraId="24A8A291">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1 \* GB3</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评价等级确认</w:t>
            </w:r>
          </w:p>
          <w:p w14:paraId="7471484C">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根据《环境影响评价技术导则地下水环境》（HJ610-2016），建设项目地下水环境影响评价工作等级划分见下表。</w:t>
            </w:r>
          </w:p>
          <w:p w14:paraId="38EF9195">
            <w:pPr>
              <w:pStyle w:val="12"/>
              <w:spacing w:line="480" w:lineRule="exact"/>
              <w:jc w:val="center"/>
              <w:rPr>
                <w:rFonts w:ascii="Times New Roman" w:hAnsi="Times New Roman" w:eastAsia="宋体" w:cs="Times New Roman"/>
              </w:rPr>
            </w:pPr>
            <w:r>
              <w:rPr>
                <w:rFonts w:ascii="Times New Roman" w:hAnsi="Times New Roman" w:eastAsia="宋体" w:cs="Times New Roman"/>
              </w:rPr>
              <w:t>表7-19 建设项目地下水评价工作等级划分表</w:t>
            </w:r>
          </w:p>
          <w:tbl>
            <w:tblPr>
              <w:tblStyle w:val="26"/>
              <w:tblW w:w="817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165"/>
              <w:gridCol w:w="1875"/>
              <w:gridCol w:w="1843"/>
              <w:gridCol w:w="2287"/>
            </w:tblGrid>
            <w:tr w14:paraId="3364E5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12" w:space="0"/>
                    <w:left w:val="single" w:color="auto" w:sz="12" w:space="0"/>
                    <w:bottom w:val="single" w:color="auto" w:sz="6" w:space="0"/>
                    <w:right w:val="single" w:color="auto" w:sz="6" w:space="0"/>
                    <w:tl2br w:val="single" w:color="auto" w:sz="6" w:space="0"/>
                  </w:tcBorders>
                </w:tcPr>
                <w:p w14:paraId="59B0D246">
                  <w:pPr>
                    <w:jc w:val="right"/>
                    <w:rPr>
                      <w:rFonts w:ascii="Times New Roman" w:hAnsi="Times New Roman" w:eastAsia="宋体" w:cs="Times New Roman"/>
                    </w:rPr>
                  </w:pPr>
                  <w:r>
                    <w:rPr>
                      <w:rFonts w:ascii="Times New Roman" w:hAnsi="Times New Roman" w:eastAsia="宋体" w:cs="Times New Roman"/>
                    </w:rPr>
                    <w:t>项目类别</w:t>
                  </w:r>
                </w:p>
                <w:p w14:paraId="6F7FBCC4">
                  <w:pPr>
                    <w:jc w:val="left"/>
                    <w:rPr>
                      <w:rFonts w:ascii="Times New Roman" w:hAnsi="Times New Roman" w:eastAsia="宋体" w:cs="Times New Roman"/>
                    </w:rPr>
                  </w:pPr>
                  <w:r>
                    <w:rPr>
                      <w:rFonts w:ascii="Times New Roman" w:hAnsi="Times New Roman" w:eastAsia="宋体" w:cs="Times New Roman"/>
                    </w:rPr>
                    <w:t>环境敏感程度</w:t>
                  </w:r>
                </w:p>
              </w:tc>
              <w:tc>
                <w:tcPr>
                  <w:tcW w:w="1875" w:type="dxa"/>
                  <w:tcBorders>
                    <w:top w:val="single" w:color="auto" w:sz="12" w:space="0"/>
                    <w:left w:val="single" w:color="auto" w:sz="6" w:space="0"/>
                    <w:bottom w:val="single" w:color="auto" w:sz="6" w:space="0"/>
                    <w:right w:val="single" w:color="auto" w:sz="6" w:space="0"/>
                  </w:tcBorders>
                  <w:vAlign w:val="center"/>
                </w:tcPr>
                <w:p w14:paraId="12799647">
                  <w:pPr>
                    <w:jc w:val="center"/>
                    <w:rPr>
                      <w:rFonts w:ascii="Times New Roman" w:hAnsi="Times New Roman" w:eastAsia="宋体" w:cs="Times New Roman"/>
                    </w:rPr>
                  </w:pPr>
                  <w:r>
                    <w:rPr>
                      <w:rFonts w:ascii="Times New Roman" w:hAnsi="Times New Roman" w:eastAsia="宋体" w:cs="Times New Roman"/>
                    </w:rPr>
                    <w:t>I类项目</w:t>
                  </w:r>
                </w:p>
              </w:tc>
              <w:tc>
                <w:tcPr>
                  <w:tcW w:w="1843" w:type="dxa"/>
                  <w:tcBorders>
                    <w:top w:val="single" w:color="auto" w:sz="12" w:space="0"/>
                    <w:left w:val="single" w:color="auto" w:sz="6" w:space="0"/>
                    <w:bottom w:val="single" w:color="auto" w:sz="6" w:space="0"/>
                    <w:right w:val="single" w:color="auto" w:sz="6" w:space="0"/>
                  </w:tcBorders>
                  <w:vAlign w:val="center"/>
                </w:tcPr>
                <w:p w14:paraId="5D86EAFF">
                  <w:pPr>
                    <w:jc w:val="center"/>
                    <w:rPr>
                      <w:rFonts w:ascii="Times New Roman" w:hAnsi="Times New Roman" w:eastAsia="宋体" w:cs="Times New Roman"/>
                    </w:rPr>
                  </w:pPr>
                  <w:r>
                    <w:rPr>
                      <w:rFonts w:ascii="Times New Roman" w:hAnsi="Times New Roman" w:eastAsia="宋体" w:cs="Times New Roman"/>
                    </w:rPr>
                    <w:t>Ⅱ类项目</w:t>
                  </w:r>
                </w:p>
              </w:tc>
              <w:tc>
                <w:tcPr>
                  <w:tcW w:w="2287" w:type="dxa"/>
                  <w:tcBorders>
                    <w:top w:val="single" w:color="auto" w:sz="12" w:space="0"/>
                    <w:left w:val="single" w:color="auto" w:sz="6" w:space="0"/>
                    <w:bottom w:val="single" w:color="auto" w:sz="6" w:space="0"/>
                    <w:right w:val="single" w:color="auto" w:sz="12" w:space="0"/>
                  </w:tcBorders>
                  <w:vAlign w:val="center"/>
                </w:tcPr>
                <w:p w14:paraId="1BF2243C">
                  <w:pPr>
                    <w:jc w:val="center"/>
                    <w:rPr>
                      <w:rFonts w:ascii="Times New Roman" w:hAnsi="Times New Roman" w:eastAsia="宋体" w:cs="Times New Roman"/>
                    </w:rPr>
                  </w:pPr>
                  <w:r>
                    <w:rPr>
                      <w:rFonts w:ascii="Times New Roman" w:hAnsi="Times New Roman" w:eastAsia="宋体" w:cs="Times New Roman"/>
                    </w:rPr>
                    <w:t>Ⅲ类项目</w:t>
                  </w:r>
                </w:p>
              </w:tc>
            </w:tr>
            <w:tr w14:paraId="5911E6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6" w:space="0"/>
                    <w:right w:val="single" w:color="auto" w:sz="6" w:space="0"/>
                  </w:tcBorders>
                </w:tcPr>
                <w:p w14:paraId="40BF28C0">
                  <w:pPr>
                    <w:jc w:val="center"/>
                    <w:rPr>
                      <w:rFonts w:ascii="Times New Roman" w:hAnsi="Times New Roman" w:eastAsia="宋体" w:cs="Times New Roman"/>
                    </w:rPr>
                  </w:pPr>
                  <w:r>
                    <w:rPr>
                      <w:rFonts w:ascii="Times New Roman" w:hAnsi="Times New Roman" w:eastAsia="宋体" w:cs="Times New Roman"/>
                    </w:rPr>
                    <w:t>敏感</w:t>
                  </w:r>
                </w:p>
              </w:tc>
              <w:tc>
                <w:tcPr>
                  <w:tcW w:w="1875" w:type="dxa"/>
                  <w:tcBorders>
                    <w:top w:val="single" w:color="auto" w:sz="6" w:space="0"/>
                    <w:left w:val="single" w:color="auto" w:sz="6" w:space="0"/>
                    <w:bottom w:val="single" w:color="auto" w:sz="6" w:space="0"/>
                    <w:right w:val="single" w:color="auto" w:sz="6" w:space="0"/>
                  </w:tcBorders>
                </w:tcPr>
                <w:p w14:paraId="008B280B">
                  <w:pPr>
                    <w:jc w:val="center"/>
                    <w:rPr>
                      <w:rFonts w:ascii="Times New Roman" w:hAnsi="Times New Roman" w:eastAsia="宋体" w:cs="Times New Roman"/>
                    </w:rPr>
                  </w:pPr>
                  <w:r>
                    <w:rPr>
                      <w:rFonts w:ascii="Times New Roman" w:hAnsi="Times New Roman" w:eastAsia="宋体" w:cs="Times New Roman"/>
                    </w:rPr>
                    <w:t>一</w:t>
                  </w:r>
                </w:p>
              </w:tc>
              <w:tc>
                <w:tcPr>
                  <w:tcW w:w="1843" w:type="dxa"/>
                  <w:tcBorders>
                    <w:top w:val="single" w:color="auto" w:sz="6" w:space="0"/>
                    <w:left w:val="single" w:color="auto" w:sz="6" w:space="0"/>
                    <w:bottom w:val="single" w:color="auto" w:sz="6" w:space="0"/>
                    <w:right w:val="single" w:color="auto" w:sz="6" w:space="0"/>
                  </w:tcBorders>
                </w:tcPr>
                <w:p w14:paraId="758BDCC0">
                  <w:pPr>
                    <w:jc w:val="center"/>
                    <w:rPr>
                      <w:rFonts w:ascii="Times New Roman" w:hAnsi="Times New Roman" w:eastAsia="宋体" w:cs="Times New Roman"/>
                    </w:rPr>
                  </w:pPr>
                  <w:r>
                    <w:rPr>
                      <w:rFonts w:ascii="Times New Roman" w:hAnsi="Times New Roman" w:eastAsia="宋体" w:cs="Times New Roman"/>
                    </w:rPr>
                    <w:t>一</w:t>
                  </w:r>
                </w:p>
              </w:tc>
              <w:tc>
                <w:tcPr>
                  <w:tcW w:w="2287" w:type="dxa"/>
                  <w:tcBorders>
                    <w:top w:val="single" w:color="auto" w:sz="6" w:space="0"/>
                    <w:left w:val="single" w:color="auto" w:sz="6" w:space="0"/>
                    <w:bottom w:val="single" w:color="auto" w:sz="6" w:space="0"/>
                    <w:right w:val="single" w:color="auto" w:sz="12" w:space="0"/>
                  </w:tcBorders>
                </w:tcPr>
                <w:p w14:paraId="11A098C8">
                  <w:pPr>
                    <w:jc w:val="center"/>
                    <w:rPr>
                      <w:rFonts w:ascii="Times New Roman" w:hAnsi="Times New Roman" w:eastAsia="宋体" w:cs="Times New Roman"/>
                    </w:rPr>
                  </w:pPr>
                  <w:r>
                    <w:rPr>
                      <w:rFonts w:ascii="Times New Roman" w:hAnsi="Times New Roman" w:eastAsia="宋体" w:cs="Times New Roman"/>
                    </w:rPr>
                    <w:t>二</w:t>
                  </w:r>
                </w:p>
              </w:tc>
            </w:tr>
            <w:tr w14:paraId="238CF7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6" w:space="0"/>
                    <w:right w:val="single" w:color="auto" w:sz="6" w:space="0"/>
                  </w:tcBorders>
                </w:tcPr>
                <w:p w14:paraId="1EBFFA25">
                  <w:pPr>
                    <w:jc w:val="center"/>
                    <w:rPr>
                      <w:rFonts w:ascii="Times New Roman" w:hAnsi="Times New Roman" w:eastAsia="宋体" w:cs="Times New Roman"/>
                    </w:rPr>
                  </w:pPr>
                  <w:r>
                    <w:rPr>
                      <w:rFonts w:ascii="Times New Roman" w:hAnsi="Times New Roman" w:eastAsia="宋体" w:cs="Times New Roman"/>
                    </w:rPr>
                    <w:t>较敏感</w:t>
                  </w:r>
                </w:p>
              </w:tc>
              <w:tc>
                <w:tcPr>
                  <w:tcW w:w="1875" w:type="dxa"/>
                  <w:tcBorders>
                    <w:top w:val="single" w:color="auto" w:sz="6" w:space="0"/>
                    <w:left w:val="single" w:color="auto" w:sz="6" w:space="0"/>
                    <w:bottom w:val="single" w:color="auto" w:sz="6" w:space="0"/>
                    <w:right w:val="single" w:color="auto" w:sz="6" w:space="0"/>
                  </w:tcBorders>
                </w:tcPr>
                <w:p w14:paraId="45EC2E4A">
                  <w:pPr>
                    <w:jc w:val="center"/>
                    <w:rPr>
                      <w:rFonts w:ascii="Times New Roman" w:hAnsi="Times New Roman" w:eastAsia="宋体" w:cs="Times New Roman"/>
                    </w:rPr>
                  </w:pPr>
                  <w:r>
                    <w:rPr>
                      <w:rFonts w:ascii="Times New Roman" w:hAnsi="Times New Roman" w:eastAsia="宋体" w:cs="Times New Roman"/>
                    </w:rPr>
                    <w:t>一</w:t>
                  </w:r>
                </w:p>
              </w:tc>
              <w:tc>
                <w:tcPr>
                  <w:tcW w:w="1843" w:type="dxa"/>
                  <w:tcBorders>
                    <w:top w:val="single" w:color="auto" w:sz="6" w:space="0"/>
                    <w:left w:val="single" w:color="auto" w:sz="6" w:space="0"/>
                    <w:bottom w:val="single" w:color="auto" w:sz="6" w:space="0"/>
                    <w:right w:val="single" w:color="auto" w:sz="6" w:space="0"/>
                  </w:tcBorders>
                </w:tcPr>
                <w:p w14:paraId="10B8A65A">
                  <w:pPr>
                    <w:jc w:val="center"/>
                    <w:rPr>
                      <w:rFonts w:ascii="Times New Roman" w:hAnsi="Times New Roman" w:eastAsia="宋体" w:cs="Times New Roman"/>
                    </w:rPr>
                  </w:pPr>
                  <w:r>
                    <w:rPr>
                      <w:rFonts w:ascii="Times New Roman" w:hAnsi="Times New Roman" w:eastAsia="宋体" w:cs="Times New Roman"/>
                    </w:rPr>
                    <w:t>二</w:t>
                  </w:r>
                </w:p>
              </w:tc>
              <w:tc>
                <w:tcPr>
                  <w:tcW w:w="2287" w:type="dxa"/>
                  <w:tcBorders>
                    <w:top w:val="single" w:color="auto" w:sz="6" w:space="0"/>
                    <w:left w:val="single" w:color="auto" w:sz="6" w:space="0"/>
                    <w:bottom w:val="single" w:color="auto" w:sz="6" w:space="0"/>
                    <w:right w:val="single" w:color="auto" w:sz="12" w:space="0"/>
                  </w:tcBorders>
                </w:tcPr>
                <w:p w14:paraId="16D27987">
                  <w:pPr>
                    <w:jc w:val="center"/>
                    <w:rPr>
                      <w:rFonts w:ascii="Times New Roman" w:hAnsi="Times New Roman" w:eastAsia="宋体" w:cs="Times New Roman"/>
                    </w:rPr>
                  </w:pPr>
                  <w:r>
                    <w:rPr>
                      <w:rFonts w:ascii="Times New Roman" w:hAnsi="Times New Roman" w:eastAsia="宋体" w:cs="Times New Roman"/>
                    </w:rPr>
                    <w:t>三</w:t>
                  </w:r>
                </w:p>
              </w:tc>
            </w:tr>
            <w:tr w14:paraId="174A44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12" w:space="0"/>
                    <w:right w:val="single" w:color="auto" w:sz="6" w:space="0"/>
                  </w:tcBorders>
                </w:tcPr>
                <w:p w14:paraId="72067432">
                  <w:pPr>
                    <w:jc w:val="center"/>
                    <w:rPr>
                      <w:rFonts w:ascii="Times New Roman" w:hAnsi="Times New Roman" w:eastAsia="宋体" w:cs="Times New Roman"/>
                    </w:rPr>
                  </w:pPr>
                  <w:r>
                    <w:rPr>
                      <w:rFonts w:ascii="Times New Roman" w:hAnsi="Times New Roman" w:eastAsia="宋体" w:cs="Times New Roman"/>
                    </w:rPr>
                    <w:t>不敏感</w:t>
                  </w:r>
                </w:p>
              </w:tc>
              <w:tc>
                <w:tcPr>
                  <w:tcW w:w="1875" w:type="dxa"/>
                  <w:tcBorders>
                    <w:top w:val="single" w:color="auto" w:sz="6" w:space="0"/>
                    <w:left w:val="single" w:color="auto" w:sz="6" w:space="0"/>
                    <w:bottom w:val="single" w:color="auto" w:sz="12" w:space="0"/>
                    <w:right w:val="single" w:color="auto" w:sz="6" w:space="0"/>
                  </w:tcBorders>
                </w:tcPr>
                <w:p w14:paraId="7CA4A5E2">
                  <w:pPr>
                    <w:jc w:val="center"/>
                    <w:rPr>
                      <w:rFonts w:ascii="Times New Roman" w:hAnsi="Times New Roman" w:eastAsia="宋体" w:cs="Times New Roman"/>
                    </w:rPr>
                  </w:pPr>
                  <w:r>
                    <w:rPr>
                      <w:rFonts w:ascii="Times New Roman" w:hAnsi="Times New Roman" w:eastAsia="宋体" w:cs="Times New Roman"/>
                    </w:rPr>
                    <w:t>二</w:t>
                  </w:r>
                </w:p>
              </w:tc>
              <w:tc>
                <w:tcPr>
                  <w:tcW w:w="1843" w:type="dxa"/>
                  <w:tcBorders>
                    <w:top w:val="single" w:color="auto" w:sz="6" w:space="0"/>
                    <w:left w:val="single" w:color="auto" w:sz="6" w:space="0"/>
                    <w:bottom w:val="single" w:color="auto" w:sz="12" w:space="0"/>
                    <w:right w:val="single" w:color="auto" w:sz="6" w:space="0"/>
                  </w:tcBorders>
                </w:tcPr>
                <w:p w14:paraId="537CDBE4">
                  <w:pPr>
                    <w:jc w:val="center"/>
                    <w:rPr>
                      <w:rFonts w:ascii="Times New Roman" w:hAnsi="Times New Roman" w:eastAsia="宋体" w:cs="Times New Roman"/>
                    </w:rPr>
                  </w:pPr>
                  <w:r>
                    <w:rPr>
                      <w:rFonts w:ascii="Times New Roman" w:hAnsi="Times New Roman" w:eastAsia="宋体" w:cs="Times New Roman"/>
                    </w:rPr>
                    <w:t>三</w:t>
                  </w:r>
                </w:p>
              </w:tc>
              <w:tc>
                <w:tcPr>
                  <w:tcW w:w="2287" w:type="dxa"/>
                  <w:tcBorders>
                    <w:top w:val="single" w:color="auto" w:sz="6" w:space="0"/>
                    <w:left w:val="single" w:color="auto" w:sz="6" w:space="0"/>
                    <w:bottom w:val="single" w:color="auto" w:sz="12" w:space="0"/>
                    <w:right w:val="single" w:color="auto" w:sz="12" w:space="0"/>
                  </w:tcBorders>
                </w:tcPr>
                <w:p w14:paraId="780C9F5A">
                  <w:pPr>
                    <w:jc w:val="center"/>
                    <w:rPr>
                      <w:rFonts w:ascii="Times New Roman" w:hAnsi="Times New Roman" w:eastAsia="宋体" w:cs="Times New Roman"/>
                    </w:rPr>
                  </w:pPr>
                  <w:r>
                    <w:rPr>
                      <w:rFonts w:ascii="Times New Roman" w:hAnsi="Times New Roman" w:eastAsia="宋体" w:cs="Times New Roman"/>
                    </w:rPr>
                    <w:t>三</w:t>
                  </w:r>
                </w:p>
              </w:tc>
            </w:tr>
          </w:tbl>
          <w:p w14:paraId="1737443B">
            <w:pPr>
              <w:pStyle w:val="12"/>
              <w:spacing w:line="480" w:lineRule="exact"/>
              <w:jc w:val="center"/>
              <w:rPr>
                <w:rFonts w:ascii="Times New Roman" w:hAnsi="Times New Roman" w:eastAsia="宋体" w:cs="Times New Roman"/>
              </w:rPr>
            </w:pPr>
            <w:r>
              <w:rPr>
                <w:rFonts w:ascii="Times New Roman" w:hAnsi="Times New Roman" w:eastAsia="宋体" w:cs="Times New Roman"/>
              </w:rPr>
              <w:t>表7-20 建设项目的地下水环境敏感程度分级表</w:t>
            </w:r>
          </w:p>
          <w:tbl>
            <w:tblPr>
              <w:tblStyle w:val="26"/>
              <w:tblW w:w="819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77"/>
              <w:gridCol w:w="7017"/>
            </w:tblGrid>
            <w:tr w14:paraId="2B95A4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9" w:hRule="atLeast"/>
                <w:tblHeader/>
                <w:jc w:val="center"/>
              </w:trPr>
              <w:tc>
                <w:tcPr>
                  <w:tcW w:w="1177" w:type="dxa"/>
                  <w:tcBorders>
                    <w:top w:val="single" w:color="auto" w:sz="12" w:space="0"/>
                    <w:left w:val="single" w:color="auto" w:sz="12" w:space="0"/>
                    <w:bottom w:val="single" w:color="auto" w:sz="6" w:space="0"/>
                    <w:right w:val="single" w:color="auto" w:sz="6" w:space="0"/>
                  </w:tcBorders>
                  <w:vAlign w:val="center"/>
                </w:tcPr>
                <w:p w14:paraId="3E415550">
                  <w:pPr>
                    <w:pStyle w:val="77"/>
                    <w:framePr w:hSpace="0" w:wrap="auto" w:vAnchor="margin" w:hAnchor="text" w:yAlign="inline"/>
                    <w:jc w:val="both"/>
                    <w:rPr>
                      <w:rFonts w:ascii="Times New Roman" w:hAnsi="Times New Roman" w:eastAsia="宋体" w:cs="Times New Roman"/>
                      <w:b w:val="0"/>
                      <w:snapToGrid w:val="0"/>
                      <w:sz w:val="21"/>
                    </w:rPr>
                  </w:pPr>
                  <w:r>
                    <w:rPr>
                      <w:rFonts w:ascii="Times New Roman" w:hAnsi="Times New Roman" w:eastAsia="宋体" w:cs="Times New Roman"/>
                      <w:b w:val="0"/>
                      <w:snapToGrid w:val="0"/>
                      <w:sz w:val="21"/>
                    </w:rPr>
                    <w:t>敏感程度</w:t>
                  </w:r>
                </w:p>
              </w:tc>
              <w:tc>
                <w:tcPr>
                  <w:tcW w:w="7017" w:type="dxa"/>
                  <w:tcBorders>
                    <w:top w:val="single" w:color="auto" w:sz="12" w:space="0"/>
                    <w:left w:val="single" w:color="auto" w:sz="6" w:space="0"/>
                    <w:bottom w:val="single" w:color="auto" w:sz="6" w:space="0"/>
                    <w:right w:val="single" w:color="auto" w:sz="12" w:space="0"/>
                  </w:tcBorders>
                  <w:vAlign w:val="center"/>
                </w:tcPr>
                <w:p w14:paraId="6B72BBA5">
                  <w:pPr>
                    <w:pStyle w:val="77"/>
                    <w:framePr w:hSpace="0" w:wrap="auto" w:vAnchor="margin" w:hAnchor="text" w:yAlign="inline"/>
                    <w:ind w:firstLine="420"/>
                    <w:rPr>
                      <w:rFonts w:ascii="Times New Roman" w:hAnsi="Times New Roman" w:eastAsia="宋体" w:cs="Times New Roman"/>
                      <w:b w:val="0"/>
                      <w:snapToGrid w:val="0"/>
                      <w:sz w:val="21"/>
                    </w:rPr>
                  </w:pPr>
                  <w:r>
                    <w:rPr>
                      <w:rFonts w:ascii="Times New Roman" w:hAnsi="Times New Roman" w:eastAsia="宋体" w:cs="Times New Roman"/>
                      <w:b w:val="0"/>
                      <w:snapToGrid w:val="0"/>
                      <w:sz w:val="21"/>
                    </w:rPr>
                    <w:t>地下水环境敏感特征</w:t>
                  </w:r>
                </w:p>
              </w:tc>
            </w:tr>
            <w:tr w14:paraId="64C473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6" w:hRule="atLeast"/>
                <w:jc w:val="center"/>
              </w:trPr>
              <w:tc>
                <w:tcPr>
                  <w:tcW w:w="1177" w:type="dxa"/>
                  <w:tcBorders>
                    <w:top w:val="single" w:color="auto" w:sz="6" w:space="0"/>
                    <w:left w:val="single" w:color="auto" w:sz="12" w:space="0"/>
                    <w:bottom w:val="single" w:color="auto" w:sz="6" w:space="0"/>
                    <w:right w:val="single" w:color="auto" w:sz="6" w:space="0"/>
                  </w:tcBorders>
                  <w:vAlign w:val="center"/>
                </w:tcPr>
                <w:p w14:paraId="26C62AC8">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敏感</w:t>
                  </w:r>
                </w:p>
              </w:tc>
              <w:tc>
                <w:tcPr>
                  <w:tcW w:w="7017" w:type="dxa"/>
                  <w:tcBorders>
                    <w:top w:val="single" w:color="auto" w:sz="6" w:space="0"/>
                    <w:left w:val="single" w:color="auto" w:sz="6" w:space="0"/>
                    <w:bottom w:val="single" w:color="auto" w:sz="6" w:space="0"/>
                    <w:right w:val="single" w:color="auto" w:sz="12" w:space="0"/>
                  </w:tcBorders>
                  <w:vAlign w:val="center"/>
                </w:tcPr>
                <w:p w14:paraId="1B63F541">
                  <w:pPr>
                    <w:pStyle w:val="42"/>
                    <w:ind w:firstLine="420"/>
                    <w:jc w:val="left"/>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r>
            <w:tr w14:paraId="2CA952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6" w:hRule="atLeast"/>
                <w:jc w:val="center"/>
              </w:trPr>
              <w:tc>
                <w:tcPr>
                  <w:tcW w:w="1177" w:type="dxa"/>
                  <w:tcBorders>
                    <w:top w:val="single" w:color="auto" w:sz="6" w:space="0"/>
                    <w:left w:val="single" w:color="auto" w:sz="12" w:space="0"/>
                    <w:bottom w:val="single" w:color="auto" w:sz="6" w:space="0"/>
                    <w:right w:val="single" w:color="auto" w:sz="6" w:space="0"/>
                  </w:tcBorders>
                  <w:shd w:val="clear" w:color="auto" w:fill="auto"/>
                  <w:vAlign w:val="center"/>
                </w:tcPr>
                <w:p w14:paraId="5F98EB2E">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较敏感</w:t>
                  </w:r>
                </w:p>
              </w:tc>
              <w:tc>
                <w:tcPr>
                  <w:tcW w:w="7017" w:type="dxa"/>
                  <w:tcBorders>
                    <w:top w:val="single" w:color="auto" w:sz="6" w:space="0"/>
                    <w:left w:val="single" w:color="auto" w:sz="6" w:space="0"/>
                    <w:bottom w:val="single" w:color="auto" w:sz="6" w:space="0"/>
                    <w:right w:val="single" w:color="auto" w:sz="12" w:space="0"/>
                  </w:tcBorders>
                  <w:shd w:val="clear" w:color="auto" w:fill="auto"/>
                  <w:vAlign w:val="center"/>
                </w:tcPr>
                <w:p w14:paraId="08833588">
                  <w:pPr>
                    <w:pStyle w:val="42"/>
                    <w:ind w:firstLine="420"/>
                    <w:jc w:val="left"/>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a。</w:t>
                  </w:r>
                </w:p>
              </w:tc>
            </w:tr>
            <w:tr w14:paraId="4D705F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6" w:hRule="atLeast"/>
                <w:jc w:val="center"/>
              </w:trPr>
              <w:tc>
                <w:tcPr>
                  <w:tcW w:w="1177" w:type="dxa"/>
                  <w:tcBorders>
                    <w:top w:val="single" w:color="auto" w:sz="6" w:space="0"/>
                    <w:left w:val="single" w:color="auto" w:sz="12" w:space="0"/>
                    <w:bottom w:val="single" w:color="auto" w:sz="12" w:space="0"/>
                    <w:right w:val="single" w:color="auto" w:sz="6" w:space="0"/>
                  </w:tcBorders>
                  <w:shd w:val="clear" w:color="auto" w:fill="D0CECE"/>
                  <w:vAlign w:val="center"/>
                </w:tcPr>
                <w:p w14:paraId="76CF3697">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不敏感</w:t>
                  </w:r>
                </w:p>
              </w:tc>
              <w:tc>
                <w:tcPr>
                  <w:tcW w:w="7017" w:type="dxa"/>
                  <w:tcBorders>
                    <w:top w:val="single" w:color="auto" w:sz="6" w:space="0"/>
                    <w:left w:val="single" w:color="auto" w:sz="6" w:space="0"/>
                    <w:bottom w:val="single" w:color="auto" w:sz="12" w:space="0"/>
                    <w:right w:val="single" w:color="auto" w:sz="12" w:space="0"/>
                  </w:tcBorders>
                  <w:shd w:val="clear" w:color="auto" w:fill="D0CECE"/>
                  <w:vAlign w:val="center"/>
                </w:tcPr>
                <w:p w14:paraId="066E383E">
                  <w:pPr>
                    <w:pStyle w:val="42"/>
                    <w:ind w:firstLine="420"/>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上述地区之外的其他地区。</w:t>
                  </w:r>
                </w:p>
              </w:tc>
            </w:tr>
          </w:tbl>
          <w:p w14:paraId="6B1B7E99">
            <w:pPr>
              <w:ind w:firstLine="420"/>
              <w:rPr>
                <w:rFonts w:ascii="Times New Roman" w:hAnsi="Times New Roman" w:eastAsia="宋体" w:cs="Times New Roman"/>
              </w:rPr>
            </w:pPr>
            <w:r>
              <w:rPr>
                <w:rFonts w:ascii="Times New Roman" w:hAnsi="Times New Roman" w:eastAsia="宋体" w:cs="Times New Roman"/>
                <w:b/>
              </w:rPr>
              <w:t>注</w:t>
            </w:r>
            <w:r>
              <w:rPr>
                <w:rFonts w:ascii="Times New Roman" w:hAnsi="Times New Roman" w:eastAsia="宋体" w:cs="Times New Roman"/>
              </w:rPr>
              <w:t>：a“环境敏感区”是指《建设项目环境影响评价分类管理名录》中所界定的涉及地下水的环境敏感区。</w:t>
            </w:r>
          </w:p>
          <w:p w14:paraId="18D4AC72">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根据《地下水环境影响评价技术导则（HJ 610-2016）》中“附录A 地下水环境影响评价行业分类表”，项目行业类别为“J  非金属矿采选及制品制造”中的“69</w:t>
            </w:r>
            <w:r>
              <w:rPr>
                <w:rFonts w:hint="eastAsia" w:ascii="Times New Roman" w:hAnsi="Times New Roman" w:eastAsia="宋体" w:cs="Times New Roman"/>
                <w:sz w:val="24"/>
              </w:rPr>
              <w:t>、石墨及其他非金属矿物制品</w:t>
            </w:r>
            <w:r>
              <w:rPr>
                <w:rFonts w:ascii="Times New Roman" w:hAnsi="Times New Roman" w:eastAsia="宋体" w:cs="Times New Roman"/>
                <w:sz w:val="24"/>
              </w:rPr>
              <w:t xml:space="preserve">  （其</w:t>
            </w:r>
            <w:r>
              <w:rPr>
                <w:rFonts w:hint="eastAsia" w:ascii="Times New Roman" w:hAnsi="Times New Roman" w:eastAsia="宋体" w:cs="Times New Roman"/>
                <w:sz w:val="24"/>
              </w:rPr>
              <w:t>他</w:t>
            </w:r>
            <w:r>
              <w:rPr>
                <w:rFonts w:ascii="Times New Roman" w:hAnsi="Times New Roman" w:eastAsia="宋体" w:cs="Times New Roman"/>
                <w:sz w:val="24"/>
              </w:rPr>
              <w:t>）”，环评类别为“报告表”，对应地下水环境影响评价项目类别为“</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4 \* ROMAN </w:instrText>
            </w:r>
            <w:r>
              <w:rPr>
                <w:rFonts w:ascii="Times New Roman" w:hAnsi="Times New Roman" w:eastAsia="宋体" w:cs="Times New Roman"/>
                <w:sz w:val="24"/>
              </w:rPr>
              <w:fldChar w:fldCharType="separate"/>
            </w:r>
            <w:r>
              <w:rPr>
                <w:rFonts w:ascii="Times New Roman" w:hAnsi="Times New Roman" w:eastAsia="宋体" w:cs="Times New Roman"/>
                <w:sz w:val="24"/>
              </w:rPr>
              <w:t>IV</w:t>
            </w:r>
            <w:r>
              <w:rPr>
                <w:rFonts w:ascii="Times New Roman" w:hAnsi="Times New Roman" w:eastAsia="宋体" w:cs="Times New Roman"/>
                <w:sz w:val="24"/>
              </w:rPr>
              <w:fldChar w:fldCharType="end"/>
            </w:r>
            <w:r>
              <w:rPr>
                <w:rFonts w:ascii="Times New Roman" w:hAnsi="Times New Roman" w:eastAsia="宋体" w:cs="Times New Roman"/>
                <w:sz w:val="24"/>
              </w:rPr>
              <w:t>类”。</w:t>
            </w:r>
            <w:r>
              <w:rPr>
                <w:rFonts w:ascii="Times New Roman" w:hAnsi="Times New Roman" w:eastAsia="宋体" w:cs="Times New Roman"/>
              </w:rPr>
              <w:t xml:space="preserve"> </w:t>
            </w:r>
          </w:p>
          <w:p w14:paraId="31E84471">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2 \* GB3</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评价分析</w:t>
            </w:r>
          </w:p>
          <w:p w14:paraId="36967147">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根据《环境影响评价技术导则地下水环境》（HJ610-2016）4总则中“4.1一般性原则根据建设项目对地下水环境影响的程度，结合《建设项目环境影响评价分类管理名录》，将建设项目分为四类，详见附录A。</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1 \* ROMAN</w:instrText>
            </w:r>
            <w:r>
              <w:rPr>
                <w:rFonts w:ascii="Times New Roman" w:hAnsi="Times New Roman" w:eastAsia="宋体" w:cs="Times New Roman"/>
                <w:sz w:val="24"/>
              </w:rPr>
              <w:fldChar w:fldCharType="separate"/>
            </w:r>
            <w:r>
              <w:rPr>
                <w:rFonts w:ascii="Times New Roman" w:hAnsi="Times New Roman" w:eastAsia="宋体" w:cs="Times New Roman"/>
                <w:sz w:val="24"/>
              </w:rPr>
              <w:t>I</w:t>
            </w:r>
            <w:r>
              <w:rPr>
                <w:rFonts w:ascii="Times New Roman" w:hAnsi="Times New Roman" w:eastAsia="宋体" w:cs="Times New Roman"/>
                <w:sz w:val="24"/>
              </w:rPr>
              <w:fldChar w:fldCharType="end"/>
            </w:r>
            <w:r>
              <w:rPr>
                <w:rFonts w:ascii="Times New Roman" w:hAnsi="Times New Roman" w:eastAsia="宋体" w:cs="Times New Roman"/>
                <w:sz w:val="24"/>
              </w:rPr>
              <w:t>类、</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2 \* ROMAN</w:instrText>
            </w:r>
            <w:r>
              <w:rPr>
                <w:rFonts w:ascii="Times New Roman" w:hAnsi="Times New Roman" w:eastAsia="宋体" w:cs="Times New Roman"/>
                <w:sz w:val="24"/>
              </w:rPr>
              <w:fldChar w:fldCharType="separate"/>
            </w:r>
            <w:r>
              <w:rPr>
                <w:rFonts w:ascii="Times New Roman" w:hAnsi="Times New Roman" w:eastAsia="宋体" w:cs="Times New Roman"/>
                <w:sz w:val="24"/>
              </w:rPr>
              <w:t>II</w:t>
            </w:r>
            <w:r>
              <w:rPr>
                <w:rFonts w:ascii="Times New Roman" w:hAnsi="Times New Roman" w:eastAsia="宋体" w:cs="Times New Roman"/>
                <w:sz w:val="24"/>
              </w:rPr>
              <w:fldChar w:fldCharType="end"/>
            </w:r>
            <w:r>
              <w:rPr>
                <w:rFonts w:ascii="Times New Roman" w:hAnsi="Times New Roman" w:eastAsia="宋体" w:cs="Times New Roman"/>
                <w:sz w:val="24"/>
              </w:rPr>
              <w:t>类、</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3 \* ROMAN</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类建设项目的地下水环境影响评价应执行本标准，</w:t>
            </w: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4 \* ROMAN </w:instrText>
            </w:r>
            <w:r>
              <w:rPr>
                <w:rFonts w:ascii="Times New Roman" w:hAnsi="Times New Roman" w:eastAsia="宋体" w:cs="Times New Roman"/>
                <w:b/>
                <w:sz w:val="24"/>
              </w:rPr>
              <w:fldChar w:fldCharType="separate"/>
            </w:r>
            <w:r>
              <w:rPr>
                <w:rFonts w:ascii="Times New Roman" w:hAnsi="Times New Roman" w:eastAsia="宋体" w:cs="Times New Roman"/>
                <w:b/>
                <w:sz w:val="24"/>
              </w:rPr>
              <w:t>IV</w:t>
            </w:r>
            <w:r>
              <w:rPr>
                <w:rFonts w:ascii="Times New Roman" w:hAnsi="Times New Roman" w:eastAsia="宋体" w:cs="Times New Roman"/>
                <w:b/>
                <w:sz w:val="24"/>
              </w:rPr>
              <w:fldChar w:fldCharType="end"/>
            </w:r>
            <w:r>
              <w:rPr>
                <w:rFonts w:ascii="Times New Roman" w:hAnsi="Times New Roman" w:eastAsia="宋体" w:cs="Times New Roman"/>
                <w:b/>
                <w:sz w:val="24"/>
              </w:rPr>
              <w:t>类建设项目不开展地下水环境影响评价</w:t>
            </w:r>
            <w:r>
              <w:rPr>
                <w:rFonts w:ascii="Times New Roman" w:hAnsi="Times New Roman" w:eastAsia="宋体" w:cs="Times New Roman"/>
                <w:sz w:val="24"/>
              </w:rPr>
              <w:t>”。</w:t>
            </w:r>
          </w:p>
          <w:p w14:paraId="44847C8C">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故，根据《地下水环境影响评价技术导则（HJ 610-2016）》导则要求，本次不开展地下水环境影响评价。</w:t>
            </w:r>
          </w:p>
          <w:p w14:paraId="29AAD2D7">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通过工程分析，本项目地下水污染源主要为机修车间、危废暂存间等。上述</w:t>
            </w:r>
            <w:r>
              <w:rPr>
                <w:rFonts w:ascii="Times New Roman" w:hAnsi="Times New Roman" w:eastAsia="宋体" w:cs="Times New Roman"/>
                <w:sz w:val="24"/>
                <w:szCs w:val="24"/>
              </w:rPr>
              <w:t>设施在工程施工质量不佳和未作防渗处理条件下，均有可能对地下水造成污染。根据项目对地下水污染程度的可能性大小，分别将污染区分为重点防渗区</w:t>
            </w:r>
            <w:r>
              <w:rPr>
                <w:rFonts w:hint="eastAsia" w:ascii="Times New Roman" w:hAnsi="Times New Roman" w:eastAsia="宋体" w:cs="Times New Roman"/>
                <w:sz w:val="24"/>
                <w:szCs w:val="24"/>
              </w:rPr>
              <w:t>、</w:t>
            </w:r>
            <w:r>
              <w:rPr>
                <w:rFonts w:ascii="Times New Roman" w:hAnsi="Times New Roman" w:eastAsia="宋体" w:cs="Times New Roman"/>
                <w:sz w:val="24"/>
                <w:szCs w:val="24"/>
              </w:rPr>
              <w:t>一般防渗区</w:t>
            </w:r>
            <w:r>
              <w:rPr>
                <w:rFonts w:hint="eastAsia" w:ascii="Times New Roman" w:hAnsi="Times New Roman" w:eastAsia="宋体" w:cs="Times New Roman"/>
                <w:sz w:val="24"/>
                <w:szCs w:val="24"/>
              </w:rPr>
              <w:t>、简单防渗区</w:t>
            </w:r>
            <w:r>
              <w:rPr>
                <w:rFonts w:ascii="Times New Roman" w:hAnsi="Times New Roman" w:eastAsia="宋体" w:cs="Times New Roman"/>
                <w:sz w:val="24"/>
                <w:szCs w:val="24"/>
              </w:rPr>
              <w:t>。</w:t>
            </w:r>
          </w:p>
          <w:p w14:paraId="19673CA1">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业主介绍，将对</w:t>
            </w:r>
            <w:r>
              <w:rPr>
                <w:rFonts w:ascii="Times New Roman" w:hAnsi="Times New Roman" w:eastAsia="宋体" w:cs="Times New Roman"/>
                <w:sz w:val="24"/>
                <w:szCs w:val="24"/>
              </w:rPr>
              <w:t>厂房</w:t>
            </w:r>
            <w:r>
              <w:rPr>
                <w:rFonts w:hint="eastAsia" w:ascii="Times New Roman" w:hAnsi="Times New Roman" w:eastAsia="宋体" w:cs="Times New Roman"/>
                <w:sz w:val="24"/>
                <w:szCs w:val="24"/>
              </w:rPr>
              <w:t>、车间</w:t>
            </w:r>
            <w:r>
              <w:rPr>
                <w:rFonts w:ascii="Times New Roman" w:hAnsi="Times New Roman" w:eastAsia="宋体" w:cs="Times New Roman"/>
                <w:sz w:val="24"/>
                <w:szCs w:val="24"/>
              </w:rPr>
              <w:t>进行</w:t>
            </w:r>
            <w:r>
              <w:rPr>
                <w:rFonts w:hint="eastAsia" w:ascii="Times New Roman" w:hAnsi="Times New Roman" w:eastAsia="宋体" w:cs="Times New Roman"/>
                <w:sz w:val="24"/>
                <w:szCs w:val="24"/>
              </w:rPr>
              <w:t>简单防渗</w:t>
            </w:r>
            <w:r>
              <w:rPr>
                <w:rFonts w:ascii="Times New Roman" w:hAnsi="Times New Roman" w:eastAsia="宋体" w:cs="Times New Roman"/>
                <w:sz w:val="24"/>
                <w:szCs w:val="24"/>
              </w:rPr>
              <w:t>处理措施，采取混凝土浇筑措施，可有效降低</w:t>
            </w:r>
            <w:r>
              <w:rPr>
                <w:rFonts w:hint="eastAsia" w:ascii="Times New Roman" w:hAnsi="Times New Roman" w:eastAsia="宋体" w:cs="Times New Roman"/>
                <w:sz w:val="24"/>
                <w:szCs w:val="24"/>
              </w:rPr>
              <w:t>设备</w:t>
            </w:r>
            <w:r>
              <w:rPr>
                <w:rFonts w:ascii="Times New Roman" w:hAnsi="Times New Roman" w:eastAsia="宋体" w:cs="Times New Roman"/>
                <w:sz w:val="24"/>
                <w:szCs w:val="24"/>
              </w:rPr>
              <w:t>机油等滴漏对地下水的污染；对危废暂存</w:t>
            </w:r>
            <w:r>
              <w:rPr>
                <w:rFonts w:hint="eastAsia" w:ascii="Times New Roman" w:hAnsi="Times New Roman" w:eastAsia="宋体" w:cs="Times New Roman"/>
                <w:sz w:val="24"/>
                <w:szCs w:val="24"/>
              </w:rPr>
              <w:t>间、机修车间</w:t>
            </w:r>
            <w:r>
              <w:rPr>
                <w:rFonts w:ascii="Times New Roman" w:hAnsi="Times New Roman" w:eastAsia="宋体" w:cs="Times New Roman"/>
                <w:sz w:val="24"/>
                <w:szCs w:val="24"/>
              </w:rPr>
              <w:t>，本次评价提出如下防治措施：</w:t>
            </w:r>
          </w:p>
          <w:p w14:paraId="288D9AA5">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w:t>
            </w:r>
            <w:r>
              <w:rPr>
                <w:rFonts w:ascii="Times New Roman" w:hAnsi="Times New Roman" w:eastAsia="宋体" w:cs="Times New Roman"/>
                <w:sz w:val="24"/>
                <w:szCs w:val="24"/>
              </w:rPr>
              <w:t>危险废物贮存场所地基必须采取防渗措施，不得有裂缝；</w:t>
            </w:r>
          </w:p>
          <w:p w14:paraId="5B728195">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w:t>
            </w:r>
            <w:r>
              <w:rPr>
                <w:rFonts w:ascii="Times New Roman" w:hAnsi="Times New Roman" w:eastAsia="宋体" w:cs="Times New Roman"/>
                <w:sz w:val="24"/>
                <w:szCs w:val="24"/>
              </w:rPr>
              <w:t>根据危险废物特性分别采取不同型号大小的桶装容器收集，尽可能减少危险废物直接与地面接触的机会；</w:t>
            </w:r>
          </w:p>
          <w:p w14:paraId="52E22292">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w:t>
            </w:r>
            <w:r>
              <w:rPr>
                <w:rFonts w:ascii="Times New Roman" w:hAnsi="Times New Roman" w:eastAsia="宋体" w:cs="Times New Roman"/>
                <w:sz w:val="24"/>
                <w:szCs w:val="24"/>
              </w:rPr>
              <w:t>危险废物临时贮存场所应建在防风、防雨、防晒的室内车间</w:t>
            </w:r>
            <w:r>
              <w:rPr>
                <w:rFonts w:hint="eastAsia" w:ascii="Times New Roman" w:hAnsi="Times New Roman" w:eastAsia="宋体" w:cs="Times New Roman"/>
                <w:sz w:val="24"/>
                <w:szCs w:val="24"/>
              </w:rPr>
              <w:t>；</w:t>
            </w:r>
          </w:p>
          <w:p w14:paraId="48551507">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④在危险废物暂存点设置防渗托盘，防止油桶滴漏造成地面油渍而污损地面。</w:t>
            </w:r>
          </w:p>
          <w:p w14:paraId="03148D28">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通过上述措施处理后，本项目对地下水的污染影响较小。</w:t>
            </w:r>
          </w:p>
          <w:p w14:paraId="4677E251">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3、营运期噪声环境影响分析</w:t>
            </w:r>
          </w:p>
          <w:p w14:paraId="00320C68">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本项目噪声主要来源于生产设备的运行，主要为设备运行时产生的机械噪声，声源强度值为80~95dB（A），高噪声设备及其噪声源强见表5-4。</w:t>
            </w:r>
          </w:p>
          <w:p w14:paraId="1B12A722">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根据声环境评价导则的规定，选用预测模式，应用过程中将根据具体情况作必要简化。</w:t>
            </w:r>
          </w:p>
          <w:p w14:paraId="35A2836B">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（1）室外点声源在预测点的倍频带声压级</w:t>
            </w:r>
          </w:p>
          <w:p w14:paraId="36986D59">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某个点源在预测点的倍频带声压级</w:t>
            </w:r>
          </w:p>
          <w:p w14:paraId="10A7C222">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12"/>
                <w:sz w:val="24"/>
                <w:szCs w:val="24"/>
              </w:rPr>
              <w:object>
                <v:shape id="_x0000_i1027" o:spt="75" type="#_x0000_t75" style="height:21.55pt;width:178.9pt;" o:ole="t" fillcolor="#6D6D6D" filled="f" o:preferrelative="t" stroked="f" coordsize="21600,21600">
                  <v:path/>
                  <v:fill on="f" focussize="0,0"/>
                  <v:stroke on="f" joinstyle="miter"/>
                  <v:imagedata r:id="rId22" o:title=""/>
                  <o:lock v:ext="edit" aspectratio="t"/>
                  <w10:wrap type="none"/>
                  <w10:anchorlock/>
                </v:shape>
                <o:OLEObject Type="Embed" ProgID="Equation.3" ShapeID="_x0000_i1027" DrawAspect="Content" ObjectID="_1468075727" r:id="rId21">
                  <o:LockedField>false</o:LockedField>
                </o:OLEObject>
              </w:object>
            </w:r>
          </w:p>
          <w:p w14:paraId="0ECF3AD1">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（r）——点声源在预测点产生的倍频带声压级；</w:t>
            </w:r>
          </w:p>
          <w:p w14:paraId="3F101AB3">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）——参考位置r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处的倍频带声压级；</w:t>
            </w:r>
          </w:p>
          <w:p w14:paraId="67DD1666">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r——预测点距声源的距离，m；</w:t>
            </w:r>
          </w:p>
          <w:p w14:paraId="27B12AF0">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——参考位置距声源的距离，m；</w:t>
            </w:r>
          </w:p>
          <w:p w14:paraId="52C8F188">
            <w:pPr>
              <w:spacing w:line="360" w:lineRule="auto"/>
              <w:ind w:left="2639" w:leftChars="228" w:hanging="2160" w:hangingChars="900"/>
              <w:rPr>
                <w:rFonts w:ascii="Times New Roman" w:hAnsi="Times New Roman" w:eastAsia="宋体" w:cs="Times New Roman"/>
                <w:sz w:val="24"/>
                <w:szCs w:val="24"/>
              </w:rPr>
            </w:pPr>
            <w:r>
              <w:rPr>
                <w:rFonts w:ascii="Times New Roman" w:hAnsi="Times New Roman" w:eastAsia="宋体" w:cs="Times New Roman"/>
                <w:sz w:val="24"/>
                <w:szCs w:val="24"/>
              </w:rPr>
              <w:t xml:space="preserve">         ΔL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——各种因素引起的衰减量，包括声屏障、空气吸收和地面效应引起的衰减，其计算方式分别为：</w:t>
            </w:r>
          </w:p>
          <w:p w14:paraId="01E6DF07">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oct bar</w:t>
            </w:r>
            <w:r>
              <w:rPr>
                <w:rFonts w:ascii="Times New Roman" w:hAnsi="Times New Roman" w:eastAsia="宋体" w:cs="Times New Roman"/>
                <w:sz w:val="24"/>
                <w:szCs w:val="24"/>
              </w:rPr>
              <w:t>=</w:t>
            </w:r>
            <w:r>
              <w:rPr>
                <w:rFonts w:ascii="Times New Roman" w:hAnsi="Times New Roman" w:eastAsia="宋体" w:cs="Times New Roman"/>
                <w:position w:val="-32"/>
                <w:sz w:val="24"/>
                <w:szCs w:val="24"/>
              </w:rPr>
              <w:object>
                <v:shape id="_x0000_i1028" o:spt="75" type="#_x0000_t75" style="height:36.35pt;width:201.9pt;" o:ole="t" fillcolor="#6D6D6D" filled="f" o:preferrelative="t" stroked="f" coordsize="21600,21600">
                  <v:path/>
                  <v:fill on="f" focussize="0,0"/>
                  <v:stroke on="f" joinstyle="miter"/>
                  <v:imagedata r:id="rId24" o:title=""/>
                  <o:lock v:ext="edit" aspectratio="t"/>
                  <w10:wrap type="none"/>
                  <w10:anchorlock/>
                </v:shape>
                <o:OLEObject Type="Embed" ProgID="Equation.3" ShapeID="_x0000_i1028" DrawAspect="Content" ObjectID="_1468075728" r:id="rId23">
                  <o:LockedField>false</o:LockedField>
                </o:OLEObject>
              </w:object>
            </w:r>
          </w:p>
          <w:p w14:paraId="1106C33F">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oct atm</w:t>
            </w:r>
            <w:r>
              <w:rPr>
                <w:rFonts w:ascii="Times New Roman" w:hAnsi="Times New Roman" w:eastAsia="宋体" w:cs="Times New Roman"/>
                <w:sz w:val="24"/>
                <w:szCs w:val="24"/>
              </w:rPr>
              <w:t>=α(r-r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)/100；</w:t>
            </w:r>
          </w:p>
          <w:p w14:paraId="4B7D081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exc</w:t>
            </w:r>
            <w:r>
              <w:rPr>
                <w:rFonts w:ascii="Times New Roman" w:hAnsi="Times New Roman" w:eastAsia="宋体" w:cs="Times New Roman"/>
                <w:sz w:val="24"/>
                <w:szCs w:val="24"/>
              </w:rPr>
              <w:t>=5lg(r-r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w:t>
            </w:r>
          </w:p>
          <w:p w14:paraId="16ACB17A">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如果已知声源的倍频带声功率级L</w:t>
            </w:r>
            <w:r>
              <w:rPr>
                <w:rFonts w:ascii="Times New Roman" w:hAnsi="Times New Roman" w:eastAsia="宋体" w:cs="Times New Roman"/>
                <w:sz w:val="24"/>
                <w:szCs w:val="24"/>
                <w:vertAlign w:val="subscript"/>
              </w:rPr>
              <w:t>w cot</w:t>
            </w:r>
            <w:r>
              <w:rPr>
                <w:rFonts w:ascii="Times New Roman" w:hAnsi="Times New Roman" w:eastAsia="宋体" w:cs="Times New Roman"/>
                <w:sz w:val="24"/>
                <w:szCs w:val="24"/>
              </w:rPr>
              <w:t>，且声源可看作是位于地面上的，则：</w:t>
            </w:r>
          </w:p>
          <w:p w14:paraId="7A215B9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cot</w:t>
            </w: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w cot</w:t>
            </w:r>
            <w:r>
              <w:rPr>
                <w:rFonts w:ascii="Times New Roman" w:hAnsi="Times New Roman" w:eastAsia="宋体" w:cs="Times New Roman"/>
                <w:sz w:val="24"/>
                <w:szCs w:val="24"/>
              </w:rPr>
              <w:t>-20lgr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-8</w:t>
            </w:r>
          </w:p>
          <w:p w14:paraId="6CC40B51">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由各倍频带声压级合成计算出该声源产生的A声级L</w:t>
            </w:r>
            <w:r>
              <w:rPr>
                <w:rFonts w:ascii="Times New Roman" w:hAnsi="Times New Roman" w:eastAsia="宋体" w:cs="Times New Roman"/>
                <w:sz w:val="24"/>
                <w:szCs w:val="24"/>
                <w:vertAlign w:val="subscript"/>
              </w:rPr>
              <w:t>A</w:t>
            </w:r>
            <w:r>
              <w:rPr>
                <w:rFonts w:ascii="Times New Roman" w:hAnsi="Times New Roman" w:eastAsia="宋体" w:cs="Times New Roman"/>
                <w:sz w:val="24"/>
                <w:szCs w:val="24"/>
              </w:rPr>
              <w:t>：</w:t>
            </w:r>
          </w:p>
          <w:p w14:paraId="37F323AE">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29" o:spt="75" type="#_x0000_t75" style="height:35.65pt;width:129.9pt;" o:ole="t" fillcolor="#6D6D6D" filled="f" o:preferrelative="t" stroked="f" coordsize="21600,21600">
                  <v:path/>
                  <v:fill on="f" focussize="0,0"/>
                  <v:stroke on="f" joinstyle="miter"/>
                  <v:imagedata r:id="rId26" o:title=""/>
                  <o:lock v:ext="edit" aspectratio="t"/>
                  <w10:wrap type="none"/>
                  <w10:anchorlock/>
                </v:shape>
                <o:OLEObject Type="Embed" ProgID="Equation.3" ShapeID="_x0000_i1029" DrawAspect="Content" ObjectID="_1468075729" r:id="rId25">
                  <o:LockedField>false</o:LockedField>
                </o:OLEObject>
              </w:object>
            </w:r>
          </w:p>
          <w:p w14:paraId="05AC8A6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式中ΔLi为A计权网络修正值。</w:t>
            </w:r>
          </w:p>
          <w:p w14:paraId="474744A0">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④</w:t>
            </w:r>
            <w:r>
              <w:rPr>
                <w:rFonts w:ascii="Times New Roman" w:hAnsi="Times New Roman" w:eastAsia="宋体" w:cs="Times New Roman"/>
                <w:sz w:val="24"/>
                <w:szCs w:val="24"/>
              </w:rPr>
              <w:t>各声源在预测点产生的声级的合成</w:t>
            </w:r>
          </w:p>
          <w:p w14:paraId="14207D7A">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30" o:spt="75" type="#_x0000_t75" style="height:35.65pt;width:109.1pt;" o:ole="t" fillcolor="#6D6D6D" filled="f" o:preferrelative="t" stroked="f" coordsize="21600,21600">
                  <v:path/>
                  <v:fill on="f" focussize="0,0"/>
                  <v:stroke on="f" joinstyle="miter"/>
                  <v:imagedata r:id="rId28" o:title=""/>
                  <o:lock v:ext="edit" aspectratio="t"/>
                  <w10:wrap type="none"/>
                  <w10:anchorlock/>
                </v:shape>
                <o:OLEObject Type="Embed" ProgID="Equation.3" ShapeID="_x0000_i1030" DrawAspect="Content" ObjectID="_1468075730" r:id="rId27">
                  <o:LockedField>false</o:LockedField>
                </o:OLEObject>
              </w:object>
            </w:r>
          </w:p>
          <w:p w14:paraId="3D7A7282">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（2）室内点声源的预测</w:t>
            </w:r>
          </w:p>
          <w:p w14:paraId="1D87C01E">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室内靠近围护结构处的倍频带声压级：</w:t>
            </w:r>
          </w:p>
          <w:p w14:paraId="7BE1FF09">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2"/>
                <w:sz w:val="24"/>
                <w:szCs w:val="24"/>
              </w:rPr>
              <w:object>
                <v:shape id="_x0000_i1031" o:spt="75" type="#_x0000_t75" style="height:35.65pt;width:151.4pt;" o:ole="t" fillcolor="#6D6D6D" filled="f" o:preferrelative="t" stroked="f" coordsize="21600,21600">
                  <v:path/>
                  <v:fill on="f" focussize="0,0"/>
                  <v:stroke on="f" joinstyle="miter"/>
                  <v:imagedata r:id="rId30" o:title=""/>
                  <o:lock v:ext="edit" aspectratio="t"/>
                  <w10:wrap type="none"/>
                  <w10:anchorlock/>
                </v:shape>
                <o:OLEObject Type="Embed" ProgID="Equation.3" ShapeID="_x0000_i1031" DrawAspect="Content" ObjectID="_1468075731" r:id="rId29">
                  <o:LockedField>false</o:LockedField>
                </o:OLEObject>
              </w:object>
            </w:r>
          </w:p>
          <w:p w14:paraId="2801E8B1">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式中：r1为室内某源距离围护结构的距离；</w:t>
            </w:r>
          </w:p>
          <w:p w14:paraId="6C48A1D8">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R为房间常数；</w:t>
            </w:r>
          </w:p>
          <w:p w14:paraId="3975C99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Q为方向性因子。</w:t>
            </w:r>
          </w:p>
          <w:p w14:paraId="76C46678">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室内声源在靠近围护结构处产生的总倍频带声压级：</w:t>
            </w:r>
          </w:p>
          <w:p w14:paraId="679C1303">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32" o:spt="75" type="#_x0000_t75" style="height:35.65pt;width:144pt;" o:ole="t" fillcolor="#6D6D6D" filled="f" o:preferrelative="t" stroked="f" coordsize="21600,21600">
                  <v:path/>
                  <v:fill on="f" focussize="0,0"/>
                  <v:stroke on="f" joinstyle="miter"/>
                  <v:imagedata r:id="rId32" o:title=""/>
                  <o:lock v:ext="edit" aspectratio="t"/>
                  <w10:wrap type="none"/>
                  <w10:anchorlock/>
                </v:shape>
                <o:OLEObject Type="Embed" ProgID="Equation.3" ShapeID="_x0000_i1032" DrawAspect="Content" ObjectID="_1468075732" r:id="rId31">
                  <o:LockedField>false</o:LockedField>
                </o:OLEObject>
              </w:object>
            </w:r>
          </w:p>
          <w:p w14:paraId="69923906">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室外靠近围护结构处的总的声压级：</w:t>
            </w:r>
          </w:p>
          <w:p w14:paraId="29A27A57">
            <w:pPr>
              <w:pStyle w:val="11"/>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oct,1</w:t>
            </w:r>
            <w:r>
              <w:rPr>
                <w:rFonts w:ascii="Times New Roman" w:hAnsi="Times New Roman" w:eastAsia="宋体" w:cs="Times New Roman"/>
                <w:sz w:val="24"/>
                <w:szCs w:val="24"/>
              </w:rPr>
              <w:t>(T)=L</w:t>
            </w:r>
            <w:r>
              <w:rPr>
                <w:rFonts w:ascii="Times New Roman" w:hAnsi="Times New Roman" w:eastAsia="宋体" w:cs="Times New Roman"/>
                <w:sz w:val="24"/>
                <w:szCs w:val="24"/>
                <w:vertAlign w:val="subscript"/>
              </w:rPr>
              <w:t>0ct,1</w:t>
            </w:r>
            <w:r>
              <w:rPr>
                <w:rFonts w:ascii="Times New Roman" w:hAnsi="Times New Roman" w:eastAsia="宋体" w:cs="Times New Roman"/>
                <w:sz w:val="24"/>
                <w:szCs w:val="24"/>
              </w:rPr>
              <w:t>(T)-(T</w:t>
            </w:r>
            <w:r>
              <w:rPr>
                <w:rFonts w:ascii="Times New Roman" w:hAnsi="Times New Roman" w:eastAsia="宋体" w:cs="Times New Roman"/>
                <w:sz w:val="24"/>
                <w:szCs w:val="24"/>
                <w:vertAlign w:val="subscript"/>
              </w:rPr>
              <w:t>loct</w:t>
            </w:r>
            <w:r>
              <w:rPr>
                <w:rFonts w:ascii="Times New Roman" w:hAnsi="Times New Roman" w:eastAsia="宋体" w:cs="Times New Roman"/>
                <w:sz w:val="24"/>
                <w:szCs w:val="24"/>
              </w:rPr>
              <w:t>+6)</w:t>
            </w:r>
          </w:p>
          <w:p w14:paraId="593C294E">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④</w:t>
            </w:r>
            <w:r>
              <w:rPr>
                <w:rFonts w:ascii="Times New Roman" w:hAnsi="Times New Roman" w:eastAsia="宋体" w:cs="Times New Roman"/>
                <w:sz w:val="24"/>
                <w:szCs w:val="24"/>
              </w:rPr>
              <w:t>室外声压级换算成等效的室外声源：</w:t>
            </w:r>
          </w:p>
          <w:p w14:paraId="74097D09">
            <w:pPr>
              <w:spacing w:line="360" w:lineRule="auto"/>
              <w:jc w:val="center"/>
              <w:outlineLvl w:val="0"/>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w oct</w:t>
            </w: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oct,2</w:t>
            </w:r>
            <w:r>
              <w:rPr>
                <w:rFonts w:ascii="Times New Roman" w:hAnsi="Times New Roman" w:eastAsia="宋体" w:cs="Times New Roman"/>
                <w:sz w:val="24"/>
                <w:szCs w:val="24"/>
              </w:rPr>
              <w:t>(T)+10lgS</w:t>
            </w:r>
          </w:p>
          <w:p w14:paraId="2B0EAB19">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式中：S为透声面积。</w:t>
            </w:r>
          </w:p>
          <w:p w14:paraId="6CC6960D">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⑤</w:t>
            </w:r>
            <w:r>
              <w:rPr>
                <w:rFonts w:ascii="Times New Roman" w:hAnsi="Times New Roman" w:eastAsia="宋体" w:cs="Times New Roman"/>
                <w:sz w:val="24"/>
                <w:szCs w:val="24"/>
              </w:rPr>
              <w:t>等效室外声源的位置为围护结构的位置，其倍频带声功率级为L</w:t>
            </w:r>
            <w:r>
              <w:rPr>
                <w:rFonts w:ascii="Times New Roman" w:hAnsi="Times New Roman" w:eastAsia="宋体" w:cs="Times New Roman"/>
                <w:sz w:val="24"/>
                <w:szCs w:val="24"/>
                <w:vertAlign w:val="subscript"/>
              </w:rPr>
              <w:t>w oct</w:t>
            </w:r>
            <w:r>
              <w:rPr>
                <w:rFonts w:ascii="Times New Roman" w:hAnsi="Times New Roman" w:eastAsia="宋体" w:cs="Times New Roman"/>
                <w:sz w:val="24"/>
                <w:szCs w:val="24"/>
              </w:rPr>
              <w:t>，由此按室外声源方法计算等效室外声源在预测点产生的声级。</w:t>
            </w:r>
          </w:p>
          <w:p w14:paraId="197764D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根据拟建项目的特点和现有的资料数据，对计算模式进行简化并进行估算，为充分估算声源对周围环境的影响，对不满足计算条件的小额正衰减予以忽略，在此基础上进一步计算各预测点的声级。先计算设备噪声到各预测点的声压级合成，即以车间或装置作为一个整体声源，分段以不同模式测算其对外辐射的衰减量，预测各主要场源对单独存在时对厂界及外环境噪声的影响，并合成设备声源对受声点的影响。</w:t>
            </w:r>
          </w:p>
          <w:p w14:paraId="14653AB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本项目为改建项目，根据《环境影响评价技术导则》将项目噪声贡献值与背景值的叠加值作为评价量，结果见表7-21。</w:t>
            </w:r>
          </w:p>
          <w:p w14:paraId="0A8B574E">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表7-21   建设项目噪声预测结果表    单位：dB(A)</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23"/>
              <w:gridCol w:w="1556"/>
              <w:gridCol w:w="1145"/>
              <w:gridCol w:w="1067"/>
              <w:gridCol w:w="992"/>
              <w:gridCol w:w="1018"/>
              <w:gridCol w:w="1381"/>
            </w:tblGrid>
            <w:tr w14:paraId="46F632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44" w:hRule="atLeast"/>
                <w:jc w:val="center"/>
              </w:trPr>
              <w:tc>
                <w:tcPr>
                  <w:tcW w:w="1126" w:type="dxa"/>
                  <w:vMerge w:val="restart"/>
                  <w:vAlign w:val="center"/>
                </w:tcPr>
                <w:p w14:paraId="1EA0FB5E">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预测点</w:t>
                  </w:r>
                </w:p>
              </w:tc>
              <w:tc>
                <w:tcPr>
                  <w:tcW w:w="1560" w:type="dxa"/>
                  <w:vMerge w:val="restart"/>
                  <w:vAlign w:val="center"/>
                </w:tcPr>
                <w:p w14:paraId="20D80930">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噪声源</w:t>
                  </w:r>
                </w:p>
              </w:tc>
              <w:tc>
                <w:tcPr>
                  <w:tcW w:w="1146" w:type="dxa"/>
                  <w:vMerge w:val="restart"/>
                  <w:vAlign w:val="center"/>
                </w:tcPr>
                <w:p w14:paraId="1AE52738">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szCs w:val="21"/>
                    </w:rPr>
                    <w:t>治理后声级dB(A)</w:t>
                  </w:r>
                </w:p>
              </w:tc>
              <w:tc>
                <w:tcPr>
                  <w:tcW w:w="1069" w:type="dxa"/>
                  <w:vMerge w:val="restart"/>
                  <w:vAlign w:val="center"/>
                </w:tcPr>
                <w:p w14:paraId="641E4C55">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与厂界最近距离</w:t>
                  </w:r>
                </w:p>
              </w:tc>
              <w:tc>
                <w:tcPr>
                  <w:tcW w:w="993" w:type="dxa"/>
                  <w:vMerge w:val="restart"/>
                  <w:vAlign w:val="center"/>
                </w:tcPr>
                <w:p w14:paraId="79635389">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贡献值dB(A)</w:t>
                  </w:r>
                </w:p>
              </w:tc>
              <w:tc>
                <w:tcPr>
                  <w:tcW w:w="1019" w:type="dxa"/>
                  <w:vMerge w:val="restart"/>
                  <w:vAlign w:val="center"/>
                </w:tcPr>
                <w:p w14:paraId="728895DE">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背景值dB(A)</w:t>
                  </w:r>
                </w:p>
              </w:tc>
              <w:tc>
                <w:tcPr>
                  <w:tcW w:w="1383" w:type="dxa"/>
                  <w:vAlign w:val="center"/>
                </w:tcPr>
                <w:p w14:paraId="7CEA6373">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评价量dB(A)</w:t>
                  </w:r>
                </w:p>
              </w:tc>
            </w:tr>
            <w:tr w14:paraId="1FA909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1126" w:type="dxa"/>
                  <w:vMerge w:val="continue"/>
                  <w:vAlign w:val="center"/>
                </w:tcPr>
                <w:p w14:paraId="6DEC1A7B">
                  <w:pPr>
                    <w:autoSpaceDE w:val="0"/>
                    <w:autoSpaceDN w:val="0"/>
                    <w:jc w:val="center"/>
                    <w:rPr>
                      <w:rFonts w:ascii="Times New Roman" w:hAnsi="Times New Roman" w:eastAsia="宋体" w:cs="Times New Roman"/>
                      <w:kern w:val="0"/>
                      <w:szCs w:val="21"/>
                    </w:rPr>
                  </w:pPr>
                </w:p>
              </w:tc>
              <w:tc>
                <w:tcPr>
                  <w:tcW w:w="1560" w:type="dxa"/>
                  <w:vMerge w:val="continue"/>
                  <w:vAlign w:val="center"/>
                </w:tcPr>
                <w:p w14:paraId="15C0CC22">
                  <w:pPr>
                    <w:autoSpaceDE w:val="0"/>
                    <w:autoSpaceDN w:val="0"/>
                    <w:jc w:val="center"/>
                    <w:rPr>
                      <w:rFonts w:ascii="Times New Roman" w:hAnsi="Times New Roman" w:eastAsia="宋体" w:cs="Times New Roman"/>
                      <w:kern w:val="0"/>
                      <w:szCs w:val="21"/>
                    </w:rPr>
                  </w:pPr>
                </w:p>
              </w:tc>
              <w:tc>
                <w:tcPr>
                  <w:tcW w:w="1146" w:type="dxa"/>
                  <w:vMerge w:val="continue"/>
                  <w:vAlign w:val="center"/>
                </w:tcPr>
                <w:p w14:paraId="2063FA1D">
                  <w:pPr>
                    <w:autoSpaceDE w:val="0"/>
                    <w:autoSpaceDN w:val="0"/>
                    <w:jc w:val="center"/>
                    <w:rPr>
                      <w:rFonts w:ascii="Times New Roman" w:hAnsi="Times New Roman" w:eastAsia="宋体" w:cs="Times New Roman"/>
                      <w:kern w:val="0"/>
                      <w:szCs w:val="21"/>
                    </w:rPr>
                  </w:pPr>
                </w:p>
              </w:tc>
              <w:tc>
                <w:tcPr>
                  <w:tcW w:w="1069" w:type="dxa"/>
                  <w:vMerge w:val="continue"/>
                  <w:vAlign w:val="center"/>
                </w:tcPr>
                <w:p w14:paraId="367EE222">
                  <w:pPr>
                    <w:autoSpaceDE w:val="0"/>
                    <w:autoSpaceDN w:val="0"/>
                    <w:jc w:val="center"/>
                    <w:rPr>
                      <w:rFonts w:ascii="Times New Roman" w:hAnsi="Times New Roman" w:eastAsia="宋体" w:cs="Times New Roman"/>
                      <w:kern w:val="0"/>
                      <w:szCs w:val="21"/>
                    </w:rPr>
                  </w:pPr>
                </w:p>
              </w:tc>
              <w:tc>
                <w:tcPr>
                  <w:tcW w:w="993" w:type="dxa"/>
                  <w:vMerge w:val="continue"/>
                  <w:vAlign w:val="center"/>
                </w:tcPr>
                <w:p w14:paraId="3CB603A6">
                  <w:pPr>
                    <w:autoSpaceDE w:val="0"/>
                    <w:autoSpaceDN w:val="0"/>
                    <w:jc w:val="center"/>
                    <w:rPr>
                      <w:rFonts w:ascii="Times New Roman" w:hAnsi="Times New Roman" w:eastAsia="宋体" w:cs="Times New Roman"/>
                      <w:kern w:val="0"/>
                      <w:szCs w:val="21"/>
                    </w:rPr>
                  </w:pPr>
                </w:p>
              </w:tc>
              <w:tc>
                <w:tcPr>
                  <w:tcW w:w="1019" w:type="dxa"/>
                  <w:vMerge w:val="continue"/>
                  <w:vAlign w:val="center"/>
                </w:tcPr>
                <w:p w14:paraId="2DB6D438">
                  <w:pPr>
                    <w:autoSpaceDE w:val="0"/>
                    <w:autoSpaceDN w:val="0"/>
                    <w:jc w:val="center"/>
                    <w:rPr>
                      <w:rFonts w:ascii="Times New Roman" w:hAnsi="Times New Roman" w:eastAsia="宋体" w:cs="Times New Roman"/>
                      <w:kern w:val="0"/>
                      <w:szCs w:val="21"/>
                    </w:rPr>
                  </w:pPr>
                </w:p>
              </w:tc>
              <w:tc>
                <w:tcPr>
                  <w:tcW w:w="1383" w:type="dxa"/>
                  <w:vAlign w:val="center"/>
                </w:tcPr>
                <w:p w14:paraId="59F824CF">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预测值</w:t>
                  </w:r>
                </w:p>
              </w:tc>
            </w:tr>
            <w:tr w14:paraId="0D5673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1126" w:type="dxa"/>
                  <w:vAlign w:val="center"/>
                </w:tcPr>
                <w:p w14:paraId="32DC11A3">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北侧</w:t>
                  </w:r>
                </w:p>
              </w:tc>
              <w:tc>
                <w:tcPr>
                  <w:tcW w:w="1560" w:type="dxa"/>
                  <w:vMerge w:val="restart"/>
                  <w:vAlign w:val="center"/>
                </w:tcPr>
                <w:p w14:paraId="3F9D6F09">
                  <w:pPr>
                    <w:pStyle w:val="56"/>
                    <w:rPr>
                      <w:rFonts w:ascii="Times New Roman" w:hAnsi="Times New Roman" w:eastAsia="宋体" w:cs="Times New Roman"/>
                    </w:rPr>
                  </w:pPr>
                  <w:r>
                    <w:rPr>
                      <w:rFonts w:hint="eastAsia" w:ascii="Times New Roman" w:hAnsi="Times New Roman" w:eastAsia="宋体" w:cs="Times New Roman"/>
                    </w:rPr>
                    <w:t>硅粉加工</w:t>
                  </w:r>
                  <w:r>
                    <w:rPr>
                      <w:rFonts w:ascii="Times New Roman" w:hAnsi="Times New Roman" w:eastAsia="宋体" w:cs="Times New Roman"/>
                    </w:rPr>
                    <w:t>车间</w:t>
                  </w:r>
                </w:p>
              </w:tc>
              <w:tc>
                <w:tcPr>
                  <w:tcW w:w="1146" w:type="dxa"/>
                  <w:vAlign w:val="center"/>
                </w:tcPr>
                <w:p w14:paraId="15B9776D">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69.53</w:t>
                  </w:r>
                </w:p>
              </w:tc>
              <w:tc>
                <w:tcPr>
                  <w:tcW w:w="1069" w:type="dxa"/>
                  <w:vAlign w:val="center"/>
                </w:tcPr>
                <w:p w14:paraId="07274B32">
                  <w:pPr>
                    <w:spacing w:line="280" w:lineRule="exact"/>
                    <w:jc w:val="center"/>
                    <w:rPr>
                      <w:rFonts w:ascii="Times New Roman" w:hAnsi="Times New Roman" w:eastAsia="宋体" w:cs="Times New Roman"/>
                      <w:kern w:val="0"/>
                      <w:szCs w:val="21"/>
                    </w:rPr>
                  </w:pPr>
                  <w:r>
                    <w:rPr>
                      <w:rFonts w:ascii="Times New Roman" w:hAnsi="Times New Roman" w:eastAsia="宋体" w:cs="Times New Roman"/>
                      <w:kern w:val="0"/>
                      <w:szCs w:val="21"/>
                    </w:rPr>
                    <w:t>80</w:t>
                  </w:r>
                </w:p>
              </w:tc>
              <w:tc>
                <w:tcPr>
                  <w:tcW w:w="993" w:type="dxa"/>
                  <w:vAlign w:val="center"/>
                </w:tcPr>
                <w:p w14:paraId="097C724B">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31.46</w:t>
                  </w:r>
                </w:p>
              </w:tc>
              <w:tc>
                <w:tcPr>
                  <w:tcW w:w="1019" w:type="dxa"/>
                  <w:vAlign w:val="center"/>
                </w:tcPr>
                <w:p w14:paraId="06395269">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0</w:t>
                  </w:r>
                </w:p>
              </w:tc>
              <w:tc>
                <w:tcPr>
                  <w:tcW w:w="1383" w:type="dxa"/>
                  <w:vAlign w:val="center"/>
                </w:tcPr>
                <w:p w14:paraId="601B2B3B">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0.06</w:t>
                  </w:r>
                </w:p>
              </w:tc>
            </w:tr>
            <w:tr w14:paraId="02C8B7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1126" w:type="dxa"/>
                  <w:vAlign w:val="center"/>
                </w:tcPr>
                <w:p w14:paraId="4890C2B5">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东侧</w:t>
                  </w:r>
                </w:p>
              </w:tc>
              <w:tc>
                <w:tcPr>
                  <w:tcW w:w="1560" w:type="dxa"/>
                  <w:vMerge w:val="continue"/>
                  <w:vAlign w:val="center"/>
                </w:tcPr>
                <w:p w14:paraId="748A6CC6">
                  <w:pPr>
                    <w:pStyle w:val="56"/>
                    <w:rPr>
                      <w:rFonts w:ascii="Times New Roman" w:hAnsi="Times New Roman" w:eastAsia="宋体" w:cs="Times New Roman"/>
                    </w:rPr>
                  </w:pPr>
                </w:p>
              </w:tc>
              <w:tc>
                <w:tcPr>
                  <w:tcW w:w="1146" w:type="dxa"/>
                  <w:vAlign w:val="center"/>
                </w:tcPr>
                <w:p w14:paraId="7D7BCBA8">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69.53</w:t>
                  </w:r>
                </w:p>
              </w:tc>
              <w:tc>
                <w:tcPr>
                  <w:tcW w:w="1069" w:type="dxa"/>
                  <w:vAlign w:val="center"/>
                </w:tcPr>
                <w:p w14:paraId="1140E33F">
                  <w:pPr>
                    <w:spacing w:line="280" w:lineRule="exact"/>
                    <w:jc w:val="center"/>
                    <w:rPr>
                      <w:rFonts w:ascii="Times New Roman" w:hAnsi="Times New Roman" w:eastAsia="宋体" w:cs="Times New Roman"/>
                      <w:kern w:val="0"/>
                      <w:szCs w:val="21"/>
                    </w:rPr>
                  </w:pPr>
                  <w:r>
                    <w:rPr>
                      <w:rFonts w:ascii="Times New Roman" w:hAnsi="Times New Roman" w:eastAsia="宋体" w:cs="Times New Roman"/>
                      <w:kern w:val="0"/>
                      <w:szCs w:val="21"/>
                    </w:rPr>
                    <w:t>90</w:t>
                  </w:r>
                </w:p>
              </w:tc>
              <w:tc>
                <w:tcPr>
                  <w:tcW w:w="993" w:type="dxa"/>
                  <w:vAlign w:val="center"/>
                </w:tcPr>
                <w:p w14:paraId="015A9B11">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30.44</w:t>
                  </w:r>
                </w:p>
              </w:tc>
              <w:tc>
                <w:tcPr>
                  <w:tcW w:w="1019" w:type="dxa"/>
                  <w:vAlign w:val="center"/>
                </w:tcPr>
                <w:p w14:paraId="0BFB90FA">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2</w:t>
                  </w:r>
                </w:p>
              </w:tc>
              <w:tc>
                <w:tcPr>
                  <w:tcW w:w="1383" w:type="dxa"/>
                  <w:vAlign w:val="center"/>
                </w:tcPr>
                <w:p w14:paraId="4CF58A55">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2.03</w:t>
                  </w:r>
                </w:p>
              </w:tc>
            </w:tr>
            <w:tr w14:paraId="6B6749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1126" w:type="dxa"/>
                  <w:vAlign w:val="center"/>
                </w:tcPr>
                <w:p w14:paraId="69256F42">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南侧</w:t>
                  </w:r>
                </w:p>
              </w:tc>
              <w:tc>
                <w:tcPr>
                  <w:tcW w:w="1560" w:type="dxa"/>
                  <w:vMerge w:val="continue"/>
                  <w:vAlign w:val="center"/>
                </w:tcPr>
                <w:p w14:paraId="5C2A18C2">
                  <w:pPr>
                    <w:pStyle w:val="56"/>
                    <w:rPr>
                      <w:rFonts w:ascii="Times New Roman" w:hAnsi="Times New Roman" w:eastAsia="宋体" w:cs="Times New Roman"/>
                    </w:rPr>
                  </w:pPr>
                </w:p>
              </w:tc>
              <w:tc>
                <w:tcPr>
                  <w:tcW w:w="1146" w:type="dxa"/>
                  <w:vAlign w:val="center"/>
                </w:tcPr>
                <w:p w14:paraId="5604BCE4">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69.53</w:t>
                  </w:r>
                </w:p>
              </w:tc>
              <w:tc>
                <w:tcPr>
                  <w:tcW w:w="1069" w:type="dxa"/>
                  <w:vAlign w:val="center"/>
                </w:tcPr>
                <w:p w14:paraId="0ECF5EAF">
                  <w:pPr>
                    <w:spacing w:line="280" w:lineRule="exact"/>
                    <w:jc w:val="center"/>
                    <w:rPr>
                      <w:rFonts w:ascii="Times New Roman" w:hAnsi="Times New Roman" w:eastAsia="宋体" w:cs="Times New Roman"/>
                      <w:kern w:val="0"/>
                      <w:szCs w:val="21"/>
                    </w:rPr>
                  </w:pPr>
                  <w:r>
                    <w:rPr>
                      <w:rFonts w:ascii="Times New Roman" w:hAnsi="Times New Roman" w:eastAsia="宋体" w:cs="Times New Roman"/>
                      <w:kern w:val="0"/>
                      <w:szCs w:val="21"/>
                    </w:rPr>
                    <w:t>118</w:t>
                  </w:r>
                </w:p>
              </w:tc>
              <w:tc>
                <w:tcPr>
                  <w:tcW w:w="993" w:type="dxa"/>
                  <w:vAlign w:val="center"/>
                </w:tcPr>
                <w:p w14:paraId="4470099C">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28.09</w:t>
                  </w:r>
                </w:p>
              </w:tc>
              <w:tc>
                <w:tcPr>
                  <w:tcW w:w="1019" w:type="dxa"/>
                  <w:vAlign w:val="center"/>
                </w:tcPr>
                <w:p w14:paraId="192D7BB1">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1</w:t>
                  </w:r>
                </w:p>
              </w:tc>
              <w:tc>
                <w:tcPr>
                  <w:tcW w:w="1383" w:type="dxa"/>
                  <w:vAlign w:val="center"/>
                </w:tcPr>
                <w:p w14:paraId="00EEFCDD">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1.02</w:t>
                  </w:r>
                </w:p>
              </w:tc>
            </w:tr>
            <w:tr w14:paraId="282039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1126" w:type="dxa"/>
                  <w:vAlign w:val="center"/>
                </w:tcPr>
                <w:p w14:paraId="747416D1">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西侧</w:t>
                  </w:r>
                </w:p>
              </w:tc>
              <w:tc>
                <w:tcPr>
                  <w:tcW w:w="1560" w:type="dxa"/>
                  <w:vMerge w:val="continue"/>
                  <w:vAlign w:val="center"/>
                </w:tcPr>
                <w:p w14:paraId="249C4172">
                  <w:pPr>
                    <w:pStyle w:val="56"/>
                    <w:rPr>
                      <w:rFonts w:ascii="Times New Roman" w:hAnsi="Times New Roman" w:eastAsia="宋体" w:cs="Times New Roman"/>
                    </w:rPr>
                  </w:pPr>
                </w:p>
              </w:tc>
              <w:tc>
                <w:tcPr>
                  <w:tcW w:w="1146" w:type="dxa"/>
                  <w:vAlign w:val="center"/>
                </w:tcPr>
                <w:p w14:paraId="19876D16">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69.53</w:t>
                  </w:r>
                </w:p>
              </w:tc>
              <w:tc>
                <w:tcPr>
                  <w:tcW w:w="1069" w:type="dxa"/>
                  <w:vAlign w:val="center"/>
                </w:tcPr>
                <w:p w14:paraId="7B70A115">
                  <w:pPr>
                    <w:spacing w:line="280" w:lineRule="exact"/>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2</w:t>
                  </w:r>
                  <w:r>
                    <w:rPr>
                      <w:rFonts w:ascii="Times New Roman" w:hAnsi="Times New Roman" w:eastAsia="宋体" w:cs="Times New Roman"/>
                      <w:kern w:val="0"/>
                      <w:szCs w:val="21"/>
                    </w:rPr>
                    <w:t>0</w:t>
                  </w:r>
                </w:p>
              </w:tc>
              <w:tc>
                <w:tcPr>
                  <w:tcW w:w="993" w:type="dxa"/>
                  <w:vAlign w:val="center"/>
                </w:tcPr>
                <w:p w14:paraId="2AE09665">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4</w:t>
                  </w:r>
                  <w:r>
                    <w:rPr>
                      <w:rFonts w:ascii="Times New Roman" w:hAnsi="Times New Roman" w:eastAsia="宋体" w:cs="Times New Roman"/>
                      <w:kern w:val="0"/>
                      <w:szCs w:val="21"/>
                    </w:rPr>
                    <w:t>3.50</w:t>
                  </w:r>
                </w:p>
              </w:tc>
              <w:tc>
                <w:tcPr>
                  <w:tcW w:w="1019" w:type="dxa"/>
                  <w:vAlign w:val="center"/>
                </w:tcPr>
                <w:p w14:paraId="04F66C99">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7</w:t>
                  </w:r>
                </w:p>
              </w:tc>
              <w:tc>
                <w:tcPr>
                  <w:tcW w:w="1383" w:type="dxa"/>
                  <w:vAlign w:val="center"/>
                </w:tcPr>
                <w:p w14:paraId="7CB0DD21">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7.19</w:t>
                  </w:r>
                </w:p>
              </w:tc>
            </w:tr>
            <w:tr w14:paraId="1BF112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2686" w:type="dxa"/>
                  <w:gridSpan w:val="2"/>
                  <w:vAlign w:val="center"/>
                </w:tcPr>
                <w:p w14:paraId="775D9A9D">
                  <w:pPr>
                    <w:autoSpaceDE w:val="0"/>
                    <w:autoSpaceDN w:val="0"/>
                    <w:jc w:val="center"/>
                    <w:rPr>
                      <w:rFonts w:ascii="Times New Roman" w:hAnsi="Times New Roman" w:eastAsia="宋体" w:cs="Times New Roman"/>
                      <w:szCs w:val="21"/>
                    </w:rPr>
                  </w:pPr>
                  <w:r>
                    <w:rPr>
                      <w:rFonts w:ascii="Times New Roman" w:hAnsi="Times New Roman" w:eastAsia="宋体" w:cs="Times New Roman"/>
                      <w:szCs w:val="21"/>
                    </w:rPr>
                    <w:t>执行标准</w:t>
                  </w:r>
                </w:p>
              </w:tc>
              <w:tc>
                <w:tcPr>
                  <w:tcW w:w="5610" w:type="dxa"/>
                  <w:gridSpan w:val="5"/>
                  <w:vAlign w:val="center"/>
                </w:tcPr>
                <w:p w14:paraId="5D0174F7">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szCs w:val="21"/>
                    </w:rPr>
                    <w:t>《工业企业厂界环境噪声排放标准》（GB12348-2008）3类标准昼间</w:t>
                  </w:r>
                  <w:r>
                    <w:rPr>
                      <w:rFonts w:ascii="Times New Roman" w:hAnsi="Times New Roman" w:eastAsia="宋体" w:cs="Times New Roman"/>
                      <w:caps/>
                      <w:szCs w:val="21"/>
                    </w:rPr>
                    <w:t>65</w:t>
                  </w:r>
                  <w:r>
                    <w:rPr>
                      <w:rFonts w:ascii="Times New Roman" w:hAnsi="Times New Roman" w:eastAsia="宋体" w:cs="Times New Roman"/>
                    </w:rPr>
                    <w:t xml:space="preserve"> </w:t>
                  </w:r>
                  <w:r>
                    <w:rPr>
                      <w:rFonts w:ascii="Times New Roman" w:hAnsi="Times New Roman" w:eastAsia="宋体" w:cs="Times New Roman"/>
                      <w:snapToGrid w:val="0"/>
                      <w:kern w:val="0"/>
                      <w:sz w:val="24"/>
                      <w:szCs w:val="24"/>
                    </w:rPr>
                    <w:t>dBA</w:t>
                  </w:r>
                  <w:r>
                    <w:rPr>
                      <w:rFonts w:ascii="Times New Roman" w:hAnsi="Times New Roman" w:eastAsia="宋体" w:cs="Times New Roman"/>
                      <w:caps/>
                      <w:szCs w:val="21"/>
                    </w:rPr>
                    <w:t>、夜间55</w:t>
                  </w:r>
                  <w:r>
                    <w:rPr>
                      <w:rFonts w:ascii="Times New Roman" w:hAnsi="Times New Roman" w:eastAsia="宋体" w:cs="Times New Roman"/>
                    </w:rPr>
                    <w:t xml:space="preserve"> </w:t>
                  </w:r>
                  <w:r>
                    <w:rPr>
                      <w:rFonts w:ascii="Times New Roman" w:hAnsi="Times New Roman" w:eastAsia="宋体" w:cs="Times New Roman"/>
                      <w:snapToGrid w:val="0"/>
                      <w:kern w:val="0"/>
                      <w:sz w:val="24"/>
                      <w:szCs w:val="24"/>
                    </w:rPr>
                    <w:t>dBA</w:t>
                  </w:r>
                  <w:r>
                    <w:rPr>
                      <w:rFonts w:hint="eastAsia" w:ascii="Times New Roman" w:hAnsi="Times New Roman" w:eastAsia="宋体" w:cs="Times New Roman"/>
                      <w:szCs w:val="21"/>
                    </w:rPr>
                    <w:t>，</w:t>
                  </w:r>
                  <w:r>
                    <w:rPr>
                      <w:rFonts w:ascii="Times New Roman" w:hAnsi="Times New Roman" w:eastAsia="宋体" w:cs="Times New Roman"/>
                      <w:szCs w:val="21"/>
                    </w:rPr>
                    <w:t>项目夜间不生产</w:t>
                  </w:r>
                  <w:r>
                    <w:rPr>
                      <w:rFonts w:ascii="Times New Roman" w:hAnsi="Times New Roman" w:eastAsia="宋体" w:cs="Times New Roman"/>
                      <w:kern w:val="0"/>
                      <w:szCs w:val="21"/>
                    </w:rPr>
                    <w:t>。</w:t>
                  </w:r>
                </w:p>
              </w:tc>
            </w:tr>
          </w:tbl>
          <w:p w14:paraId="0A59F2BF">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表7-21表明，建设项目夜间不生产，厂界昼间环境噪声预测值满足《工业企业厂界环境噪声排放标准》（GB12348—2008）中3类标准。故项目运行对周围声环境无明显影响，不会发生扰民现象。</w:t>
            </w:r>
          </w:p>
          <w:p w14:paraId="37C23A04">
            <w:pPr>
              <w:spacing w:line="360" w:lineRule="auto"/>
              <w:ind w:firstLine="480"/>
              <w:rPr>
                <w:rFonts w:ascii="Times New Roman" w:hAnsi="Times New Roman" w:eastAsia="宋体" w:cs="Times New Roman"/>
                <w:color w:val="FF0000"/>
                <w:sz w:val="24"/>
                <w:szCs w:val="24"/>
              </w:rPr>
            </w:pPr>
            <w:r>
              <w:rPr>
                <w:rFonts w:ascii="Times New Roman" w:hAnsi="Times New Roman" w:eastAsia="宋体" w:cs="Times New Roman"/>
                <w:sz w:val="24"/>
                <w:szCs w:val="24"/>
              </w:rPr>
              <w:t>为了减少噪声对周围环境的影响，确保厂界声环境达标，维持区域声环境质量状</w:t>
            </w:r>
            <w:r>
              <w:rPr>
                <w:rFonts w:ascii="Times New Roman" w:hAnsi="Times New Roman" w:eastAsia="宋体" w:cs="Times New Roman"/>
                <w:color w:val="FF0000"/>
                <w:sz w:val="24"/>
                <w:szCs w:val="24"/>
              </w:rPr>
              <w:t>况，建议厂方采取以下措施：</w:t>
            </w:r>
          </w:p>
          <w:p w14:paraId="313880DF">
            <w:pPr>
              <w:spacing w:line="360" w:lineRule="auto"/>
              <w:ind w:firstLine="48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fldChar w:fldCharType="begin"/>
            </w:r>
            <w:r>
              <w:rPr>
                <w:rFonts w:ascii="Times New Roman" w:hAnsi="Times New Roman" w:eastAsia="宋体" w:cs="Times New Roman"/>
                <w:color w:val="FF0000"/>
                <w:sz w:val="24"/>
                <w:szCs w:val="24"/>
              </w:rPr>
              <w:instrText xml:space="preserve"> = 1 \* GB3 </w:instrText>
            </w:r>
            <w:r>
              <w:rPr>
                <w:rFonts w:ascii="Times New Roman" w:hAnsi="Times New Roman" w:eastAsia="宋体" w:cs="Times New Roman"/>
                <w:color w:val="FF0000"/>
                <w:sz w:val="24"/>
                <w:szCs w:val="24"/>
              </w:rPr>
              <w:fldChar w:fldCharType="separate"/>
            </w:r>
            <w:r>
              <w:rPr>
                <w:rFonts w:hint="eastAsia" w:ascii="宋体" w:hAnsi="宋体" w:eastAsia="宋体" w:cs="宋体"/>
                <w:color w:val="FF0000"/>
                <w:sz w:val="24"/>
                <w:szCs w:val="24"/>
              </w:rPr>
              <w:t>①</w:t>
            </w:r>
            <w:r>
              <w:rPr>
                <w:rFonts w:ascii="Times New Roman" w:hAnsi="Times New Roman" w:eastAsia="宋体" w:cs="Times New Roman"/>
                <w:color w:val="FF0000"/>
                <w:sz w:val="24"/>
                <w:szCs w:val="24"/>
              </w:rPr>
              <w:fldChar w:fldCharType="end"/>
            </w:r>
            <w:r>
              <w:rPr>
                <w:rFonts w:ascii="Times New Roman" w:hAnsi="Times New Roman" w:eastAsia="宋体" w:cs="Times New Roman"/>
                <w:color w:val="FF0000"/>
                <w:sz w:val="24"/>
                <w:szCs w:val="24"/>
              </w:rPr>
              <w:t>厂房内部采用合理的平面布局，尽量使高噪声设备远离厂界布置</w:t>
            </w:r>
            <w:r>
              <w:rPr>
                <w:rFonts w:hint="eastAsia" w:ascii="Times New Roman" w:hAnsi="Times New Roman" w:eastAsia="宋体" w:cs="Times New Roman"/>
                <w:color w:val="FF0000"/>
                <w:sz w:val="24"/>
                <w:szCs w:val="24"/>
              </w:rPr>
              <w:t>，颚式破碎机地埋式安装</w:t>
            </w:r>
            <w:r>
              <w:rPr>
                <w:rFonts w:ascii="Times New Roman" w:hAnsi="Times New Roman" w:eastAsia="宋体" w:cs="Times New Roman"/>
                <w:color w:val="FF0000"/>
                <w:sz w:val="24"/>
                <w:szCs w:val="24"/>
              </w:rPr>
              <w:t>。</w:t>
            </w:r>
          </w:p>
          <w:p w14:paraId="5FB4C78C">
            <w:pPr>
              <w:spacing w:line="360" w:lineRule="auto"/>
              <w:ind w:firstLine="48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fldChar w:fldCharType="begin"/>
            </w:r>
            <w:r>
              <w:rPr>
                <w:rFonts w:ascii="Times New Roman" w:hAnsi="Times New Roman" w:eastAsia="宋体" w:cs="Times New Roman"/>
                <w:color w:val="FF0000"/>
                <w:sz w:val="24"/>
                <w:szCs w:val="24"/>
              </w:rPr>
              <w:instrText xml:space="preserve"> = 2 \* GB3 </w:instrText>
            </w:r>
            <w:r>
              <w:rPr>
                <w:rFonts w:ascii="Times New Roman" w:hAnsi="Times New Roman" w:eastAsia="宋体" w:cs="Times New Roman"/>
                <w:color w:val="FF0000"/>
                <w:sz w:val="24"/>
                <w:szCs w:val="24"/>
              </w:rPr>
              <w:fldChar w:fldCharType="separate"/>
            </w:r>
            <w:r>
              <w:rPr>
                <w:rFonts w:hint="eastAsia" w:ascii="宋体" w:hAnsi="宋体" w:eastAsia="宋体" w:cs="宋体"/>
                <w:color w:val="FF0000"/>
                <w:sz w:val="24"/>
                <w:szCs w:val="24"/>
              </w:rPr>
              <w:t>②</w:t>
            </w:r>
            <w:r>
              <w:rPr>
                <w:rFonts w:ascii="Times New Roman" w:hAnsi="Times New Roman" w:eastAsia="宋体" w:cs="Times New Roman"/>
                <w:color w:val="FF0000"/>
                <w:sz w:val="24"/>
                <w:szCs w:val="24"/>
              </w:rPr>
              <w:fldChar w:fldCharType="end"/>
            </w:r>
            <w:r>
              <w:rPr>
                <w:rFonts w:ascii="Times New Roman" w:hAnsi="Times New Roman" w:eastAsia="宋体" w:cs="Times New Roman"/>
                <w:color w:val="FF0000"/>
                <w:sz w:val="24"/>
                <w:szCs w:val="24"/>
              </w:rPr>
              <w:t>加强设备维修保养，保证设备处于良好的运行状态。</w:t>
            </w:r>
          </w:p>
          <w:p w14:paraId="35582C36">
            <w:pPr>
              <w:spacing w:line="360" w:lineRule="auto"/>
              <w:ind w:firstLine="48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fldChar w:fldCharType="begin"/>
            </w:r>
            <w:r>
              <w:rPr>
                <w:rFonts w:ascii="Times New Roman" w:hAnsi="Times New Roman" w:eastAsia="宋体" w:cs="Times New Roman"/>
                <w:color w:val="FF0000"/>
                <w:sz w:val="24"/>
                <w:szCs w:val="24"/>
              </w:rPr>
              <w:instrText xml:space="preserve"> = 3 \* GB3 </w:instrText>
            </w:r>
            <w:r>
              <w:rPr>
                <w:rFonts w:ascii="Times New Roman" w:hAnsi="Times New Roman" w:eastAsia="宋体" w:cs="Times New Roman"/>
                <w:color w:val="FF0000"/>
                <w:sz w:val="24"/>
                <w:szCs w:val="24"/>
              </w:rPr>
              <w:fldChar w:fldCharType="separate"/>
            </w:r>
            <w:r>
              <w:rPr>
                <w:rFonts w:hint="eastAsia" w:ascii="宋体" w:hAnsi="宋体" w:eastAsia="宋体" w:cs="宋体"/>
                <w:color w:val="FF0000"/>
                <w:sz w:val="24"/>
                <w:szCs w:val="24"/>
              </w:rPr>
              <w:t>③</w:t>
            </w:r>
            <w:r>
              <w:rPr>
                <w:rFonts w:ascii="Times New Roman" w:hAnsi="Times New Roman" w:eastAsia="宋体" w:cs="Times New Roman"/>
                <w:color w:val="FF0000"/>
                <w:sz w:val="24"/>
                <w:szCs w:val="24"/>
              </w:rPr>
              <w:fldChar w:fldCharType="end"/>
            </w:r>
            <w:r>
              <w:rPr>
                <w:rFonts w:ascii="Times New Roman" w:hAnsi="Times New Roman" w:eastAsia="宋体" w:cs="Times New Roman"/>
                <w:color w:val="FF0000"/>
                <w:sz w:val="24"/>
                <w:szCs w:val="24"/>
              </w:rPr>
              <w:t>加强生产管理，生产时做到门窗关闭</w:t>
            </w:r>
            <w:r>
              <w:rPr>
                <w:rFonts w:hint="eastAsia" w:ascii="Times New Roman" w:hAnsi="Times New Roman" w:eastAsia="宋体" w:cs="Times New Roman"/>
                <w:color w:val="FF0000"/>
                <w:sz w:val="24"/>
                <w:szCs w:val="24"/>
              </w:rPr>
              <w:t>，夜间不生产。</w:t>
            </w:r>
          </w:p>
          <w:p w14:paraId="12A4F21B">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 4 \* GB3 </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④</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加强车间周边及厂区的绿化。</w:t>
            </w:r>
          </w:p>
          <w:p w14:paraId="5CE8AB28">
            <w:pPr>
              <w:adjustRightInd w:val="0"/>
              <w:snapToGrid w:val="0"/>
              <w:spacing w:line="480" w:lineRule="exact"/>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4、营运期固体废物环境影响分析</w:t>
            </w:r>
          </w:p>
          <w:p w14:paraId="64FB03F5">
            <w:pPr>
              <w:pStyle w:val="9"/>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项目运营期产生的污染物为一般固废</w:t>
            </w:r>
            <w:r>
              <w:rPr>
                <w:rFonts w:hint="eastAsia" w:ascii="Times New Roman" w:hAnsi="Times New Roman" w:eastAsia="宋体" w:cs="Times New Roman"/>
                <w:sz w:val="24"/>
                <w:szCs w:val="24"/>
              </w:rPr>
              <w:t>及危险废物</w:t>
            </w:r>
            <w:r>
              <w:rPr>
                <w:rFonts w:ascii="Times New Roman" w:hAnsi="Times New Roman" w:eastAsia="宋体" w:cs="Times New Roman"/>
                <w:sz w:val="24"/>
                <w:szCs w:val="24"/>
              </w:rPr>
              <w:t>，主要为生活垃圾、</w:t>
            </w:r>
            <w:r>
              <w:rPr>
                <w:rFonts w:hint="eastAsia" w:ascii="Times New Roman" w:hAnsi="Times New Roman" w:eastAsia="宋体" w:cs="Times New Roman"/>
                <w:sz w:val="24"/>
                <w:szCs w:val="24"/>
              </w:rPr>
              <w:t>磁选废铁渣、除尘粉尘、二级生化处理设施污泥、废机油。磁选废铁渣暂存于废料堆场，由废品回收公司回收处理；除尘粉尘经收集后作为产品外售；二级生化处理设施污泥定期委托清掏处理；</w:t>
            </w:r>
            <w:r>
              <w:rPr>
                <w:rFonts w:ascii="Times New Roman" w:hAnsi="Times New Roman" w:eastAsia="宋体" w:cs="Times New Roman"/>
                <w:sz w:val="24"/>
                <w:szCs w:val="24"/>
              </w:rPr>
              <w:t>生活垃圾采用垃圾桶收集后，定期由环卫部门统一清运处理</w:t>
            </w:r>
            <w:r>
              <w:rPr>
                <w:rFonts w:hint="eastAsia" w:ascii="Times New Roman" w:hAnsi="Times New Roman" w:eastAsia="宋体" w:cs="Times New Roman"/>
                <w:sz w:val="24"/>
                <w:szCs w:val="24"/>
              </w:rPr>
              <w:t>；废机油暂存于危废暂存间，定期交由有资质的单位处理</w:t>
            </w:r>
            <w:r>
              <w:rPr>
                <w:rFonts w:ascii="Times New Roman" w:hAnsi="Times New Roman" w:eastAsia="宋体" w:cs="Times New Roman"/>
                <w:sz w:val="24"/>
                <w:szCs w:val="24"/>
              </w:rPr>
              <w:t>。</w:t>
            </w:r>
          </w:p>
          <w:p w14:paraId="0CD3B376">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综上，项目固废去向明确，处置措施可行，不会产生二次污染。</w:t>
            </w:r>
          </w:p>
          <w:p w14:paraId="30986719">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5、土壤环境环境影响分析</w:t>
            </w:r>
          </w:p>
          <w:p w14:paraId="61B7EA85">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（1）项目类型</w:t>
            </w:r>
          </w:p>
          <w:p w14:paraId="67ACD23F">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本项目查阅《环境影响评价技术导则土壤环境（试行）》（HJ964-2018）附录 A，项目属于“制造业”中“金属冶炼和压延加工及非金属矿物制品”中“其他”，划分为</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ROMAN </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w:t>
            </w:r>
          </w:p>
          <w:p w14:paraId="6C0AA43C">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（2）占地规模确定</w:t>
            </w:r>
          </w:p>
          <w:p w14:paraId="6F4B7A78">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将建设项目占地规模分为大型（≥50hm</w:t>
            </w:r>
            <w:r>
              <w:rPr>
                <w:rFonts w:ascii="Times New Roman" w:hAnsi="Times New Roman" w:eastAsia="宋体" w:cs="Times New Roman"/>
                <w:sz w:val="24"/>
                <w:vertAlign w:val="superscript"/>
              </w:rPr>
              <w:t>2</w:t>
            </w:r>
            <w:r>
              <w:rPr>
                <w:rFonts w:ascii="Times New Roman" w:hAnsi="Times New Roman" w:eastAsia="宋体" w:cs="Times New Roman"/>
                <w:sz w:val="24"/>
              </w:rPr>
              <w:t>）、中型（5~50hm</w:t>
            </w:r>
            <w:r>
              <w:rPr>
                <w:rFonts w:ascii="Times New Roman" w:hAnsi="Times New Roman" w:eastAsia="宋体" w:cs="Times New Roman"/>
                <w:sz w:val="24"/>
                <w:vertAlign w:val="superscript"/>
              </w:rPr>
              <w:t>2</w:t>
            </w:r>
            <w:r>
              <w:rPr>
                <w:rFonts w:ascii="Times New Roman" w:hAnsi="Times New Roman" w:eastAsia="宋体" w:cs="Times New Roman"/>
                <w:sz w:val="24"/>
              </w:rPr>
              <w:t>）、小型（≤5hm</w:t>
            </w:r>
            <w:r>
              <w:rPr>
                <w:rFonts w:ascii="Times New Roman" w:hAnsi="Times New Roman" w:eastAsia="宋体" w:cs="Times New Roman"/>
                <w:sz w:val="24"/>
                <w:vertAlign w:val="superscript"/>
              </w:rPr>
              <w:t>2</w:t>
            </w:r>
            <w:r>
              <w:rPr>
                <w:rFonts w:ascii="Times New Roman" w:hAnsi="Times New Roman" w:eastAsia="宋体" w:cs="Times New Roman"/>
                <w:sz w:val="24"/>
              </w:rPr>
              <w:t>）。本项目面积约1.7hm</w:t>
            </w:r>
            <w:r>
              <w:rPr>
                <w:rFonts w:ascii="Times New Roman" w:hAnsi="Times New Roman" w:eastAsia="宋体" w:cs="Times New Roman"/>
                <w:sz w:val="24"/>
                <w:vertAlign w:val="superscript"/>
              </w:rPr>
              <w:t>2</w:t>
            </w:r>
            <w:r>
              <w:rPr>
                <w:rFonts w:ascii="Times New Roman" w:hAnsi="Times New Roman" w:eastAsia="宋体" w:cs="Times New Roman"/>
                <w:sz w:val="24"/>
              </w:rPr>
              <w:t>≤5hm</w:t>
            </w:r>
            <w:r>
              <w:rPr>
                <w:rFonts w:ascii="Times New Roman" w:hAnsi="Times New Roman" w:eastAsia="宋体" w:cs="Times New Roman"/>
                <w:sz w:val="24"/>
                <w:vertAlign w:val="superscript"/>
              </w:rPr>
              <w:t>2</w:t>
            </w:r>
            <w:r>
              <w:rPr>
                <w:rFonts w:ascii="Times New Roman" w:hAnsi="Times New Roman" w:eastAsia="宋体" w:cs="Times New Roman"/>
                <w:sz w:val="24"/>
              </w:rPr>
              <w:t>，属于小型占地规模。</w:t>
            </w:r>
          </w:p>
          <w:p w14:paraId="3DA6445B">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（3）项目所在地周边土壤环境敏感程度</w:t>
            </w:r>
          </w:p>
          <w:p w14:paraId="2E992D27">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项目用地属于</w:t>
            </w:r>
            <w:r>
              <w:rPr>
                <w:rFonts w:hint="eastAsia" w:ascii="Times New Roman" w:hAnsi="Times New Roman" w:eastAsia="宋体" w:cs="Times New Roman"/>
                <w:sz w:val="24"/>
              </w:rPr>
              <w:t>工业</w:t>
            </w:r>
            <w:r>
              <w:rPr>
                <w:rFonts w:ascii="Times New Roman" w:hAnsi="Times New Roman" w:eastAsia="宋体" w:cs="Times New Roman"/>
                <w:sz w:val="24"/>
              </w:rPr>
              <w:t>用地，因此，项目周边调查范围内土壤皆为</w:t>
            </w:r>
            <w:r>
              <w:rPr>
                <w:rFonts w:hint="eastAsia" w:ascii="Times New Roman" w:hAnsi="Times New Roman" w:eastAsia="宋体" w:cs="Times New Roman"/>
                <w:sz w:val="24"/>
              </w:rPr>
              <w:t>工业</w:t>
            </w:r>
            <w:r>
              <w:rPr>
                <w:rFonts w:ascii="Times New Roman" w:hAnsi="Times New Roman" w:eastAsia="宋体" w:cs="Times New Roman"/>
                <w:sz w:val="24"/>
              </w:rPr>
              <w:t>用地环境敏感程度为不敏感。</w:t>
            </w:r>
          </w:p>
          <w:p w14:paraId="4565FFB1">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表7-22  污染影响型敏感程度分级表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029"/>
              <w:gridCol w:w="4285"/>
              <w:gridCol w:w="1968"/>
            </w:tblGrid>
            <w:tr w14:paraId="7F77D0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750F10EC">
                  <w:pPr>
                    <w:jc w:val="center"/>
                    <w:rPr>
                      <w:rFonts w:ascii="Times New Roman" w:hAnsi="Times New Roman" w:eastAsia="宋体" w:cs="Times New Roman"/>
                      <w:szCs w:val="21"/>
                    </w:rPr>
                  </w:pPr>
                  <w:r>
                    <w:rPr>
                      <w:rFonts w:ascii="Times New Roman" w:hAnsi="Times New Roman" w:eastAsia="宋体" w:cs="Times New Roman"/>
                      <w:szCs w:val="21"/>
                    </w:rPr>
                    <w:t>敏感程度</w:t>
                  </w:r>
                </w:p>
              </w:tc>
              <w:tc>
                <w:tcPr>
                  <w:tcW w:w="2587" w:type="pct"/>
                  <w:vAlign w:val="center"/>
                </w:tcPr>
                <w:p w14:paraId="5E0935F4">
                  <w:pPr>
                    <w:jc w:val="center"/>
                    <w:rPr>
                      <w:rFonts w:ascii="Times New Roman" w:hAnsi="Times New Roman" w:eastAsia="宋体" w:cs="Times New Roman"/>
                      <w:szCs w:val="21"/>
                    </w:rPr>
                  </w:pPr>
                  <w:r>
                    <w:rPr>
                      <w:rFonts w:ascii="Times New Roman" w:hAnsi="Times New Roman" w:eastAsia="宋体" w:cs="Times New Roman"/>
                      <w:szCs w:val="21"/>
                    </w:rPr>
                    <w:t>判别依据</w:t>
                  </w:r>
                </w:p>
              </w:tc>
              <w:tc>
                <w:tcPr>
                  <w:tcW w:w="1188" w:type="pct"/>
                  <w:vAlign w:val="center"/>
                </w:tcPr>
                <w:p w14:paraId="2267B42C">
                  <w:pPr>
                    <w:jc w:val="center"/>
                    <w:rPr>
                      <w:rFonts w:ascii="Times New Roman" w:hAnsi="Times New Roman" w:eastAsia="宋体" w:cs="Times New Roman"/>
                      <w:szCs w:val="21"/>
                    </w:rPr>
                  </w:pPr>
                  <w:r>
                    <w:rPr>
                      <w:rFonts w:ascii="Times New Roman" w:hAnsi="Times New Roman" w:eastAsia="宋体" w:cs="Times New Roman"/>
                      <w:szCs w:val="21"/>
                    </w:rPr>
                    <w:t>本项目</w:t>
                  </w:r>
                </w:p>
              </w:tc>
            </w:tr>
            <w:tr w14:paraId="5E7AC4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3280FAC4">
                  <w:pPr>
                    <w:jc w:val="center"/>
                    <w:rPr>
                      <w:rFonts w:ascii="Times New Roman" w:hAnsi="Times New Roman" w:eastAsia="宋体" w:cs="Times New Roman"/>
                      <w:szCs w:val="21"/>
                    </w:rPr>
                  </w:pPr>
                  <w:r>
                    <w:rPr>
                      <w:rFonts w:ascii="Times New Roman" w:hAnsi="Times New Roman" w:eastAsia="宋体" w:cs="Times New Roman"/>
                      <w:szCs w:val="21"/>
                    </w:rPr>
                    <w:t>敏感</w:t>
                  </w:r>
                </w:p>
              </w:tc>
              <w:tc>
                <w:tcPr>
                  <w:tcW w:w="2587" w:type="pct"/>
                  <w:vAlign w:val="center"/>
                </w:tcPr>
                <w:p w14:paraId="1921049A">
                  <w:pPr>
                    <w:rPr>
                      <w:rFonts w:ascii="Times New Roman" w:hAnsi="Times New Roman" w:eastAsia="宋体" w:cs="Times New Roman"/>
                      <w:szCs w:val="21"/>
                    </w:rPr>
                  </w:pPr>
                  <w:r>
                    <w:rPr>
                      <w:rFonts w:ascii="Times New Roman" w:hAnsi="Times New Roman" w:eastAsia="宋体" w:cs="Times New Roman"/>
                      <w:szCs w:val="21"/>
                    </w:rPr>
                    <w:t>建设项目周边存在耕地、园地、牧草地、饮用水源地或居民区、学校、医院、疗养院、养老院等土壤环境敏感目标</w:t>
                  </w:r>
                </w:p>
              </w:tc>
              <w:tc>
                <w:tcPr>
                  <w:tcW w:w="1188" w:type="pct"/>
                  <w:vMerge w:val="restart"/>
                  <w:vAlign w:val="center"/>
                </w:tcPr>
                <w:p w14:paraId="22BA41CB">
                  <w:pPr>
                    <w:rPr>
                      <w:rFonts w:ascii="Times New Roman" w:hAnsi="Times New Roman" w:eastAsia="宋体" w:cs="Times New Roman"/>
                      <w:szCs w:val="21"/>
                    </w:rPr>
                  </w:pPr>
                  <w:r>
                    <w:rPr>
                      <w:rFonts w:ascii="Times New Roman" w:hAnsi="Times New Roman" w:eastAsia="宋体" w:cs="Times New Roman"/>
                      <w:szCs w:val="21"/>
                    </w:rPr>
                    <w:t>根据现场调查，项目</w:t>
                  </w:r>
                  <w:r>
                    <w:rPr>
                      <w:rFonts w:hint="eastAsia" w:ascii="Times New Roman" w:hAnsi="Times New Roman" w:eastAsia="宋体" w:cs="Times New Roman"/>
                      <w:szCs w:val="21"/>
                    </w:rPr>
                    <w:t>周边调查范围内为工业</w:t>
                  </w:r>
                  <w:r>
                    <w:rPr>
                      <w:rFonts w:ascii="Times New Roman" w:hAnsi="Times New Roman" w:eastAsia="宋体" w:cs="Times New Roman"/>
                      <w:szCs w:val="21"/>
                    </w:rPr>
                    <w:t>用地，</w:t>
                  </w:r>
                  <w:r>
                    <w:rPr>
                      <w:rFonts w:hint="eastAsia" w:ascii="Times New Roman" w:hAnsi="Times New Roman" w:eastAsia="宋体" w:cs="Times New Roman"/>
                      <w:szCs w:val="21"/>
                    </w:rPr>
                    <w:t>调查范围外</w:t>
                  </w:r>
                  <w:r>
                    <w:rPr>
                      <w:rFonts w:hint="eastAsia" w:ascii="Times New Roman" w:hAnsi="Times New Roman" w:eastAsia="宋体" w:cs="Times New Roman"/>
                      <w:szCs w:val="21"/>
                      <w:lang w:eastAsia="zh-CN"/>
                    </w:rPr>
                    <w:t>为</w:t>
                  </w:r>
                  <w:r>
                    <w:rPr>
                      <w:rFonts w:hint="eastAsia" w:ascii="Times New Roman" w:hAnsi="Times New Roman" w:eastAsia="宋体" w:cs="Times New Roman"/>
                      <w:szCs w:val="21"/>
                    </w:rPr>
                    <w:t>生产防护绿地，</w:t>
                  </w:r>
                  <w:r>
                    <w:rPr>
                      <w:rFonts w:ascii="Times New Roman" w:hAnsi="Times New Roman" w:eastAsia="宋体" w:cs="Times New Roman"/>
                      <w:szCs w:val="21"/>
                    </w:rPr>
                    <w:t>因此本项目周边土壤环境敏感程度为</w:t>
                  </w:r>
                  <w:r>
                    <w:rPr>
                      <w:rFonts w:hint="eastAsia" w:ascii="Times New Roman" w:hAnsi="Times New Roman" w:eastAsia="宋体" w:cs="Times New Roman"/>
                      <w:b/>
                      <w:szCs w:val="21"/>
                    </w:rPr>
                    <w:t>不</w:t>
                  </w:r>
                  <w:r>
                    <w:rPr>
                      <w:rFonts w:ascii="Times New Roman" w:hAnsi="Times New Roman" w:eastAsia="宋体" w:cs="Times New Roman"/>
                      <w:b/>
                      <w:szCs w:val="21"/>
                    </w:rPr>
                    <w:t>敏感</w:t>
                  </w:r>
                  <w:r>
                    <w:rPr>
                      <w:rFonts w:hint="eastAsia" w:ascii="Times New Roman" w:hAnsi="Times New Roman" w:eastAsia="宋体" w:cs="Times New Roman"/>
                      <w:b/>
                      <w:szCs w:val="21"/>
                    </w:rPr>
                    <w:t>。</w:t>
                  </w:r>
                </w:p>
              </w:tc>
            </w:tr>
            <w:tr w14:paraId="20C47F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26E11961">
                  <w:pPr>
                    <w:jc w:val="center"/>
                    <w:rPr>
                      <w:rFonts w:ascii="Times New Roman" w:hAnsi="Times New Roman" w:eastAsia="宋体" w:cs="Times New Roman"/>
                      <w:szCs w:val="21"/>
                    </w:rPr>
                  </w:pPr>
                  <w:r>
                    <w:rPr>
                      <w:rFonts w:ascii="Times New Roman" w:hAnsi="Times New Roman" w:eastAsia="宋体" w:cs="Times New Roman"/>
                      <w:szCs w:val="21"/>
                    </w:rPr>
                    <w:t>较敏感</w:t>
                  </w:r>
                </w:p>
              </w:tc>
              <w:tc>
                <w:tcPr>
                  <w:tcW w:w="2587" w:type="pct"/>
                  <w:vAlign w:val="center"/>
                </w:tcPr>
                <w:p w14:paraId="249765F2">
                  <w:pPr>
                    <w:rPr>
                      <w:rFonts w:ascii="Times New Roman" w:hAnsi="Times New Roman" w:eastAsia="宋体" w:cs="Times New Roman"/>
                      <w:szCs w:val="21"/>
                    </w:rPr>
                  </w:pPr>
                  <w:r>
                    <w:rPr>
                      <w:rFonts w:ascii="Times New Roman" w:hAnsi="Times New Roman" w:eastAsia="宋体" w:cs="Times New Roman"/>
                      <w:szCs w:val="21"/>
                    </w:rPr>
                    <w:t>建设项目周边存在其他土壤环境敏感目标</w:t>
                  </w:r>
                </w:p>
              </w:tc>
              <w:tc>
                <w:tcPr>
                  <w:tcW w:w="1188" w:type="pct"/>
                  <w:vMerge w:val="continue"/>
                  <w:vAlign w:val="center"/>
                </w:tcPr>
                <w:p w14:paraId="5F2EC83C">
                  <w:pPr>
                    <w:rPr>
                      <w:rFonts w:ascii="Times New Roman" w:hAnsi="Times New Roman" w:eastAsia="宋体" w:cs="Times New Roman"/>
                      <w:szCs w:val="21"/>
                    </w:rPr>
                  </w:pPr>
                </w:p>
              </w:tc>
            </w:tr>
            <w:tr w14:paraId="48F45C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2D4A62EC">
                  <w:pPr>
                    <w:jc w:val="center"/>
                    <w:rPr>
                      <w:rFonts w:ascii="Times New Roman" w:hAnsi="Times New Roman" w:eastAsia="宋体" w:cs="Times New Roman"/>
                      <w:szCs w:val="21"/>
                    </w:rPr>
                  </w:pPr>
                  <w:r>
                    <w:rPr>
                      <w:rFonts w:ascii="Times New Roman" w:hAnsi="Times New Roman" w:eastAsia="宋体" w:cs="Times New Roman"/>
                      <w:szCs w:val="21"/>
                    </w:rPr>
                    <w:t>不敏感</w:t>
                  </w:r>
                </w:p>
              </w:tc>
              <w:tc>
                <w:tcPr>
                  <w:tcW w:w="2587" w:type="pct"/>
                  <w:vAlign w:val="center"/>
                </w:tcPr>
                <w:p w14:paraId="19C1CBBB">
                  <w:pPr>
                    <w:rPr>
                      <w:rFonts w:ascii="Times New Roman" w:hAnsi="Times New Roman" w:eastAsia="宋体" w:cs="Times New Roman"/>
                      <w:szCs w:val="21"/>
                    </w:rPr>
                  </w:pPr>
                  <w:r>
                    <w:rPr>
                      <w:rFonts w:ascii="Times New Roman" w:hAnsi="Times New Roman" w:eastAsia="宋体" w:cs="Times New Roman"/>
                      <w:szCs w:val="21"/>
                    </w:rPr>
                    <w:t>其他情况</w:t>
                  </w:r>
                </w:p>
              </w:tc>
              <w:tc>
                <w:tcPr>
                  <w:tcW w:w="1188" w:type="pct"/>
                  <w:vMerge w:val="continue"/>
                  <w:vAlign w:val="center"/>
                </w:tcPr>
                <w:p w14:paraId="3AB1902A">
                  <w:pPr>
                    <w:rPr>
                      <w:rFonts w:ascii="Times New Roman" w:hAnsi="Times New Roman" w:eastAsia="宋体" w:cs="Times New Roman"/>
                      <w:szCs w:val="21"/>
                    </w:rPr>
                  </w:pPr>
                </w:p>
              </w:tc>
            </w:tr>
          </w:tbl>
          <w:p w14:paraId="6199BBA7">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（4）评价等级确认</w:t>
            </w:r>
          </w:p>
          <w:p w14:paraId="61C0EDED">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根据《环境影响评价技术导则土壤环境（试行）》（HJ964-2018），根据土壤环境影响评价项目类别、占地规模与敏感程度划分评价工作等级，详见下表：</w:t>
            </w:r>
          </w:p>
          <w:p w14:paraId="41748B64">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表7-23  污染影响型评价工作等级划分表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691"/>
              <w:gridCol w:w="691"/>
              <w:gridCol w:w="691"/>
              <w:gridCol w:w="691"/>
              <w:gridCol w:w="825"/>
              <w:gridCol w:w="823"/>
              <w:gridCol w:w="825"/>
              <w:gridCol w:w="691"/>
              <w:gridCol w:w="762"/>
            </w:tblGrid>
            <w:tr w14:paraId="79B3AA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Merge w:val="restart"/>
                  <w:vAlign w:val="center"/>
                </w:tcPr>
                <w:p w14:paraId="2F14638E">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1251" w:type="pct"/>
                  <w:gridSpan w:val="3"/>
                  <w:vAlign w:val="center"/>
                </w:tcPr>
                <w:p w14:paraId="3C3C0B77">
                  <w:pPr>
                    <w:jc w:val="center"/>
                    <w:rPr>
                      <w:rFonts w:ascii="Times New Roman" w:hAnsi="Times New Roman" w:eastAsia="宋体" w:cs="Times New Roman"/>
                      <w:szCs w:val="21"/>
                    </w:rPr>
                  </w:pPr>
                  <w:r>
                    <w:rPr>
                      <w:rFonts w:ascii="Times New Roman" w:hAnsi="Times New Roman" w:eastAsia="宋体" w:cs="Times New Roman"/>
                      <w:szCs w:val="21"/>
                    </w:rPr>
                    <w:t>Ⅰ</w:t>
                  </w:r>
                </w:p>
              </w:tc>
              <w:tc>
                <w:tcPr>
                  <w:tcW w:w="1412" w:type="pct"/>
                  <w:gridSpan w:val="3"/>
                  <w:vAlign w:val="center"/>
                </w:tcPr>
                <w:p w14:paraId="669095A4">
                  <w:pPr>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375" w:type="pct"/>
                  <w:gridSpan w:val="3"/>
                  <w:vAlign w:val="center"/>
                </w:tcPr>
                <w:p w14:paraId="53C9A45F">
                  <w:pPr>
                    <w:jc w:val="center"/>
                    <w:rPr>
                      <w:rFonts w:ascii="Times New Roman" w:hAnsi="Times New Roman" w:eastAsia="宋体" w:cs="Times New Roman"/>
                      <w:szCs w:val="21"/>
                    </w:rPr>
                  </w:pPr>
                  <w:r>
                    <w:rPr>
                      <w:rFonts w:ascii="Times New Roman" w:hAnsi="Times New Roman" w:eastAsia="宋体" w:cs="Times New Roman"/>
                      <w:szCs w:val="21"/>
                    </w:rPr>
                    <w:t>Ⅲ</w:t>
                  </w:r>
                </w:p>
              </w:tc>
            </w:tr>
            <w:tr w14:paraId="539044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Merge w:val="continue"/>
                  <w:vAlign w:val="center"/>
                </w:tcPr>
                <w:p w14:paraId="7CA68FD9">
                  <w:pPr>
                    <w:jc w:val="center"/>
                    <w:rPr>
                      <w:rFonts w:ascii="Times New Roman" w:hAnsi="Times New Roman" w:eastAsia="宋体" w:cs="Times New Roman"/>
                      <w:szCs w:val="21"/>
                    </w:rPr>
                  </w:pPr>
                </w:p>
              </w:tc>
              <w:tc>
                <w:tcPr>
                  <w:tcW w:w="417" w:type="pct"/>
                  <w:vAlign w:val="center"/>
                </w:tcPr>
                <w:p w14:paraId="1CE96741">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17" w:type="pct"/>
                  <w:vAlign w:val="center"/>
                </w:tcPr>
                <w:p w14:paraId="412ADFFC">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17" w:type="pct"/>
                  <w:vAlign w:val="center"/>
                </w:tcPr>
                <w:p w14:paraId="24DFA94E">
                  <w:pPr>
                    <w:jc w:val="center"/>
                    <w:rPr>
                      <w:rFonts w:ascii="Times New Roman" w:hAnsi="Times New Roman" w:eastAsia="宋体" w:cs="Times New Roman"/>
                      <w:szCs w:val="21"/>
                    </w:rPr>
                  </w:pPr>
                  <w:r>
                    <w:rPr>
                      <w:rFonts w:ascii="Times New Roman" w:hAnsi="Times New Roman" w:eastAsia="宋体" w:cs="Times New Roman"/>
                      <w:szCs w:val="21"/>
                    </w:rPr>
                    <w:t>小</w:t>
                  </w:r>
                </w:p>
              </w:tc>
              <w:tc>
                <w:tcPr>
                  <w:tcW w:w="417" w:type="pct"/>
                  <w:vAlign w:val="center"/>
                </w:tcPr>
                <w:p w14:paraId="336ED83F">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98" w:type="pct"/>
                  <w:vAlign w:val="center"/>
                </w:tcPr>
                <w:p w14:paraId="3E6ACA98">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97" w:type="pct"/>
                  <w:vAlign w:val="center"/>
                </w:tcPr>
                <w:p w14:paraId="21EAFDAA">
                  <w:pPr>
                    <w:jc w:val="center"/>
                    <w:rPr>
                      <w:rFonts w:ascii="Times New Roman" w:hAnsi="Times New Roman" w:eastAsia="宋体" w:cs="Times New Roman"/>
                      <w:szCs w:val="21"/>
                    </w:rPr>
                  </w:pPr>
                  <w:r>
                    <w:rPr>
                      <w:rFonts w:ascii="Times New Roman" w:hAnsi="Times New Roman" w:eastAsia="宋体" w:cs="Times New Roman"/>
                      <w:szCs w:val="21"/>
                    </w:rPr>
                    <w:t>小</w:t>
                  </w:r>
                </w:p>
              </w:tc>
              <w:tc>
                <w:tcPr>
                  <w:tcW w:w="498" w:type="pct"/>
                  <w:vAlign w:val="center"/>
                </w:tcPr>
                <w:p w14:paraId="4F12316F">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17" w:type="pct"/>
                  <w:vAlign w:val="center"/>
                </w:tcPr>
                <w:p w14:paraId="07FF3E87">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60" w:type="pct"/>
                  <w:vAlign w:val="center"/>
                </w:tcPr>
                <w:p w14:paraId="660E744B">
                  <w:pPr>
                    <w:jc w:val="center"/>
                    <w:rPr>
                      <w:rFonts w:ascii="Times New Roman" w:hAnsi="Times New Roman" w:eastAsia="宋体" w:cs="Times New Roman"/>
                      <w:szCs w:val="21"/>
                    </w:rPr>
                  </w:pPr>
                  <w:r>
                    <w:rPr>
                      <w:rFonts w:ascii="Times New Roman" w:hAnsi="Times New Roman" w:eastAsia="宋体" w:cs="Times New Roman"/>
                      <w:szCs w:val="21"/>
                    </w:rPr>
                    <w:t>小</w:t>
                  </w:r>
                </w:p>
              </w:tc>
            </w:tr>
            <w:tr w14:paraId="20F971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Align w:val="center"/>
                </w:tcPr>
                <w:p w14:paraId="609BFCA0">
                  <w:pPr>
                    <w:jc w:val="center"/>
                    <w:rPr>
                      <w:rFonts w:ascii="Times New Roman" w:hAnsi="Times New Roman" w:eastAsia="宋体" w:cs="Times New Roman"/>
                      <w:szCs w:val="21"/>
                    </w:rPr>
                  </w:pPr>
                  <w:r>
                    <w:rPr>
                      <w:rFonts w:ascii="Times New Roman" w:hAnsi="Times New Roman" w:eastAsia="宋体" w:cs="Times New Roman"/>
                      <w:szCs w:val="21"/>
                    </w:rPr>
                    <w:t>敏感</w:t>
                  </w:r>
                </w:p>
              </w:tc>
              <w:tc>
                <w:tcPr>
                  <w:tcW w:w="417" w:type="pct"/>
                  <w:vAlign w:val="center"/>
                </w:tcPr>
                <w:p w14:paraId="5B377997">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7A406C2B">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1482B76B">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75C338D8">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5D68A06A">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7" w:type="pct"/>
                  <w:vAlign w:val="center"/>
                </w:tcPr>
                <w:p w14:paraId="11DEFCB8">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3291DC23">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20B6F485">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60" w:type="pct"/>
                  <w:shd w:val="clear" w:color="auto" w:fill="FFFFFF"/>
                  <w:vAlign w:val="center"/>
                </w:tcPr>
                <w:p w14:paraId="25CF68EF">
                  <w:pPr>
                    <w:jc w:val="center"/>
                    <w:rPr>
                      <w:rFonts w:ascii="Times New Roman" w:hAnsi="Times New Roman" w:eastAsia="宋体" w:cs="Times New Roman"/>
                      <w:szCs w:val="21"/>
                    </w:rPr>
                  </w:pPr>
                  <w:r>
                    <w:rPr>
                      <w:rFonts w:ascii="Times New Roman" w:hAnsi="Times New Roman" w:eastAsia="宋体" w:cs="Times New Roman"/>
                      <w:szCs w:val="21"/>
                    </w:rPr>
                    <w:t>三级</w:t>
                  </w:r>
                </w:p>
              </w:tc>
            </w:tr>
            <w:tr w14:paraId="4BB753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shd w:val="clear" w:color="auto" w:fill="auto"/>
                  <w:vAlign w:val="center"/>
                </w:tcPr>
                <w:p w14:paraId="1C8E36FC">
                  <w:pPr>
                    <w:jc w:val="center"/>
                    <w:rPr>
                      <w:rFonts w:ascii="Times New Roman" w:hAnsi="Times New Roman" w:eastAsia="宋体" w:cs="Times New Roman"/>
                      <w:szCs w:val="21"/>
                    </w:rPr>
                  </w:pPr>
                  <w:r>
                    <w:rPr>
                      <w:rFonts w:ascii="Times New Roman" w:hAnsi="Times New Roman" w:eastAsia="宋体" w:cs="Times New Roman"/>
                      <w:szCs w:val="21"/>
                    </w:rPr>
                    <w:t>较敏感</w:t>
                  </w:r>
                </w:p>
              </w:tc>
              <w:tc>
                <w:tcPr>
                  <w:tcW w:w="417" w:type="pct"/>
                  <w:shd w:val="clear" w:color="auto" w:fill="auto"/>
                  <w:vAlign w:val="center"/>
                </w:tcPr>
                <w:p w14:paraId="16E01FAA">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shd w:val="clear" w:color="auto" w:fill="auto"/>
                  <w:vAlign w:val="center"/>
                </w:tcPr>
                <w:p w14:paraId="2F2B867D">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shd w:val="clear" w:color="auto" w:fill="auto"/>
                  <w:vAlign w:val="center"/>
                </w:tcPr>
                <w:p w14:paraId="33D3390F">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shd w:val="clear" w:color="auto" w:fill="auto"/>
                  <w:vAlign w:val="center"/>
                </w:tcPr>
                <w:p w14:paraId="4940D183">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shd w:val="clear" w:color="auto" w:fill="auto"/>
                  <w:vAlign w:val="center"/>
                </w:tcPr>
                <w:p w14:paraId="56B258FE">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7" w:type="pct"/>
                  <w:shd w:val="clear" w:color="auto" w:fill="auto"/>
                  <w:vAlign w:val="center"/>
                </w:tcPr>
                <w:p w14:paraId="130CF047">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8" w:type="pct"/>
                  <w:shd w:val="clear" w:color="auto" w:fill="auto"/>
                  <w:vAlign w:val="center"/>
                </w:tcPr>
                <w:p w14:paraId="726A8BC3">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7C80ABFA">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60" w:type="pct"/>
                  <w:shd w:val="clear" w:color="auto" w:fill="auto"/>
                  <w:vAlign w:val="center"/>
                </w:tcPr>
                <w:p w14:paraId="6F5284A3">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26D9D7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Align w:val="center"/>
                </w:tcPr>
                <w:p w14:paraId="531BAEE5">
                  <w:pPr>
                    <w:jc w:val="center"/>
                    <w:rPr>
                      <w:rFonts w:ascii="Times New Roman" w:hAnsi="Times New Roman" w:eastAsia="宋体" w:cs="Times New Roman"/>
                      <w:szCs w:val="21"/>
                    </w:rPr>
                  </w:pPr>
                  <w:r>
                    <w:rPr>
                      <w:rFonts w:ascii="Times New Roman" w:hAnsi="Times New Roman" w:eastAsia="宋体" w:cs="Times New Roman"/>
                      <w:szCs w:val="21"/>
                    </w:rPr>
                    <w:t>不敏感</w:t>
                  </w:r>
                </w:p>
              </w:tc>
              <w:tc>
                <w:tcPr>
                  <w:tcW w:w="417" w:type="pct"/>
                  <w:vAlign w:val="center"/>
                </w:tcPr>
                <w:p w14:paraId="6811746F">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00ACC016">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vAlign w:val="center"/>
                </w:tcPr>
                <w:p w14:paraId="7E51C5D5">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vAlign w:val="center"/>
                </w:tcPr>
                <w:p w14:paraId="221F8547">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2E48AE6A">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7" w:type="pct"/>
                  <w:vAlign w:val="center"/>
                </w:tcPr>
                <w:p w14:paraId="3557E622">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8" w:type="pct"/>
                  <w:vAlign w:val="center"/>
                </w:tcPr>
                <w:p w14:paraId="08248716">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7C5F1D92">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460" w:type="pct"/>
                  <w:shd w:val="clear" w:color="auto" w:fill="AEAAAA"/>
                  <w:vAlign w:val="center"/>
                </w:tcPr>
                <w:p w14:paraId="67FE6E49">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3A9F13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10"/>
                  <w:vAlign w:val="center"/>
                </w:tcPr>
                <w:p w14:paraId="0E24F386">
                  <w:pPr>
                    <w:jc w:val="left"/>
                    <w:rPr>
                      <w:rFonts w:ascii="Times New Roman" w:hAnsi="Times New Roman" w:eastAsia="宋体" w:cs="Times New Roman"/>
                      <w:szCs w:val="21"/>
                    </w:rPr>
                  </w:pPr>
                  <w:r>
                    <w:rPr>
                      <w:rFonts w:ascii="Times New Roman" w:hAnsi="Times New Roman" w:eastAsia="宋体" w:cs="Times New Roman"/>
                      <w:szCs w:val="21"/>
                    </w:rPr>
                    <w:t>注：“</w:t>
                  </w:r>
                  <w:r>
                    <w:rPr>
                      <w:rFonts w:hint="eastAsia" w:ascii="Times New Roman" w:hAnsi="Times New Roman" w:eastAsia="宋体" w:cs="Times New Roman"/>
                      <w:szCs w:val="21"/>
                      <w:lang w:eastAsia="zh-CN"/>
                    </w:rPr>
                    <w:t>－</w:t>
                  </w:r>
                  <w:r>
                    <w:rPr>
                      <w:rFonts w:ascii="Times New Roman" w:hAnsi="Times New Roman" w:eastAsia="宋体" w:cs="Times New Roman"/>
                      <w:szCs w:val="21"/>
                    </w:rPr>
                    <w:t>”表示可不开展土壤环境影响评价工作。</w:t>
                  </w:r>
                </w:p>
              </w:tc>
            </w:tr>
          </w:tbl>
          <w:p w14:paraId="03C1BB73">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因此，本项目不需要开展土壤环境影响评价。</w:t>
            </w:r>
          </w:p>
          <w:p w14:paraId="3A40CCB8">
            <w:pPr>
              <w:spacing w:before="120" w:after="120" w:line="480" w:lineRule="exact"/>
              <w:rPr>
                <w:rFonts w:ascii="Times New Roman" w:hAnsi="Times New Roman" w:eastAsia="宋体" w:cs="Times New Roman"/>
                <w:sz w:val="24"/>
                <w:szCs w:val="24"/>
              </w:rPr>
            </w:pPr>
            <w:r>
              <w:rPr>
                <w:rFonts w:ascii="Times New Roman" w:hAnsi="Times New Roman" w:eastAsia="宋体" w:cs="Times New Roman"/>
                <w:b/>
                <w:sz w:val="28"/>
                <w:szCs w:val="28"/>
              </w:rPr>
              <w:t>三、环境风险影响分析</w:t>
            </w:r>
          </w:p>
          <w:p w14:paraId="62FA938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1、风险调查及评价等级</w:t>
            </w:r>
          </w:p>
          <w:p w14:paraId="41FB407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本项目使用的原辅材料主要有</w:t>
            </w:r>
            <w:r>
              <w:rPr>
                <w:rFonts w:hint="eastAsia" w:ascii="Times New Roman" w:hAnsi="Times New Roman" w:eastAsia="宋体" w:cs="Times New Roman"/>
                <w:kern w:val="0"/>
                <w:sz w:val="24"/>
                <w:szCs w:val="24"/>
              </w:rPr>
              <w:t>工业硅块、机油</w:t>
            </w:r>
            <w:r>
              <w:rPr>
                <w:rFonts w:ascii="Times New Roman" w:hAnsi="Times New Roman" w:eastAsia="宋体" w:cs="Times New Roman"/>
                <w:kern w:val="0"/>
                <w:sz w:val="24"/>
                <w:szCs w:val="24"/>
              </w:rPr>
              <w:t>等，本项目不涉及《建设项目环境风险评价技术导则》（HJ169-2018）和《危险化学品重大危险源辨识》（GB18218-2018）中危险物质。</w:t>
            </w:r>
          </w:p>
          <w:p w14:paraId="5EE60B6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根据《建设项目环境风险评价技术导则》（HJ169-2018）附录C和《危险化学品重大危险源辨识》（GB18218-2018），</w:t>
            </w:r>
            <w:r>
              <w:rPr>
                <w:rFonts w:hint="eastAsia" w:ascii="Times New Roman" w:hAnsi="Times New Roman" w:eastAsia="宋体" w:cs="Times New Roman"/>
                <w:kern w:val="0"/>
                <w:sz w:val="24"/>
                <w:szCs w:val="24"/>
              </w:rPr>
              <w:t>油类物质临界量为2</w:t>
            </w:r>
            <w:r>
              <w:rPr>
                <w:rFonts w:ascii="Times New Roman" w:hAnsi="Times New Roman" w:eastAsia="宋体" w:cs="Times New Roman"/>
                <w:kern w:val="0"/>
                <w:sz w:val="24"/>
                <w:szCs w:val="24"/>
              </w:rPr>
              <w:t>500</w:t>
            </w:r>
            <w:r>
              <w:rPr>
                <w:rFonts w:hint="eastAsia" w:ascii="Times New Roman" w:hAnsi="Times New Roman" w:eastAsia="宋体" w:cs="Times New Roman"/>
                <w:kern w:val="0"/>
                <w:sz w:val="24"/>
                <w:szCs w:val="24"/>
              </w:rPr>
              <w:t>t，项目机油最大储存量为0</w:t>
            </w:r>
            <w:r>
              <w:rPr>
                <w:rFonts w:ascii="Times New Roman" w:hAnsi="Times New Roman" w:eastAsia="宋体" w:cs="Times New Roman"/>
                <w:kern w:val="0"/>
                <w:sz w:val="24"/>
                <w:szCs w:val="24"/>
              </w:rPr>
              <w:t>.1</w:t>
            </w:r>
            <w:r>
              <w:rPr>
                <w:rFonts w:hint="eastAsia" w:ascii="Times New Roman" w:hAnsi="Times New Roman" w:eastAsia="宋体" w:cs="Times New Roman"/>
                <w:kern w:val="0"/>
                <w:sz w:val="24"/>
                <w:szCs w:val="24"/>
              </w:rPr>
              <w:t>t，</w:t>
            </w:r>
            <w:r>
              <w:rPr>
                <w:rFonts w:ascii="Times New Roman" w:hAnsi="Times New Roman" w:eastAsia="宋体" w:cs="Times New Roman"/>
                <w:kern w:val="0"/>
                <w:sz w:val="24"/>
                <w:szCs w:val="24"/>
              </w:rPr>
              <w:t>该项目Q＜1，环境风险潜势为Ⅰ。</w:t>
            </w:r>
          </w:p>
          <w:p w14:paraId="3A510C6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 169-2018），建设项目环境风险评价工作等级划分原则详见下表7-24。</w:t>
            </w:r>
          </w:p>
          <w:p w14:paraId="52564B13">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表7-24  评价工作等级划分</w:t>
            </w:r>
          </w:p>
          <w:tbl>
            <w:tblPr>
              <w:tblStyle w:val="26"/>
              <w:tblW w:w="801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654"/>
              <w:gridCol w:w="1683"/>
              <w:gridCol w:w="1655"/>
              <w:gridCol w:w="1655"/>
              <w:gridCol w:w="1365"/>
            </w:tblGrid>
            <w:tr w14:paraId="3A20E1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56" w:hRule="atLeast"/>
                <w:jc w:val="center"/>
              </w:trPr>
              <w:tc>
                <w:tcPr>
                  <w:tcW w:w="1654" w:type="dxa"/>
                  <w:shd w:val="clear" w:color="auto" w:fill="auto"/>
                  <w:vAlign w:val="center"/>
                </w:tcPr>
                <w:p w14:paraId="538AE873">
                  <w:pPr>
                    <w:adjustRightInd w:val="0"/>
                    <w:snapToGrid w:val="0"/>
                    <w:jc w:val="center"/>
                    <w:rPr>
                      <w:rFonts w:ascii="Times New Roman" w:hAnsi="Times New Roman" w:eastAsia="宋体" w:cs="Times New Roman"/>
                      <w:b/>
                      <w:spacing w:val="-2"/>
                    </w:rPr>
                  </w:pPr>
                  <w:r>
                    <w:rPr>
                      <w:rFonts w:ascii="Times New Roman" w:hAnsi="Times New Roman" w:eastAsia="宋体" w:cs="Times New Roman"/>
                      <w:b/>
                      <w:spacing w:val="-2"/>
                    </w:rPr>
                    <w:t>环境风险潜势</w:t>
                  </w:r>
                </w:p>
              </w:tc>
              <w:tc>
                <w:tcPr>
                  <w:tcW w:w="1683" w:type="dxa"/>
                  <w:shd w:val="clear" w:color="auto" w:fill="auto"/>
                  <w:vAlign w:val="center"/>
                </w:tcPr>
                <w:p w14:paraId="130467BC">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Ⅳ、Ⅳ</w:t>
                  </w:r>
                  <w:r>
                    <w:rPr>
                      <w:rFonts w:ascii="Times New Roman" w:hAnsi="Times New Roman" w:eastAsia="宋体" w:cs="Times New Roman"/>
                      <w:bCs/>
                      <w:spacing w:val="-2"/>
                      <w:vertAlign w:val="superscript"/>
                    </w:rPr>
                    <w:t>+</w:t>
                  </w:r>
                </w:p>
              </w:tc>
              <w:tc>
                <w:tcPr>
                  <w:tcW w:w="1655" w:type="dxa"/>
                  <w:shd w:val="clear" w:color="auto" w:fill="auto"/>
                  <w:vAlign w:val="center"/>
                </w:tcPr>
                <w:p w14:paraId="2B0C569D">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Ⅲ</w:t>
                  </w:r>
                </w:p>
              </w:tc>
              <w:tc>
                <w:tcPr>
                  <w:tcW w:w="1655" w:type="dxa"/>
                  <w:shd w:val="clear" w:color="auto" w:fill="auto"/>
                  <w:vAlign w:val="center"/>
                </w:tcPr>
                <w:p w14:paraId="13638B2C">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Ⅱ</w:t>
                  </w:r>
                </w:p>
              </w:tc>
              <w:tc>
                <w:tcPr>
                  <w:tcW w:w="1365" w:type="dxa"/>
                  <w:shd w:val="clear" w:color="auto" w:fill="BEBEBE"/>
                  <w:vAlign w:val="center"/>
                </w:tcPr>
                <w:p w14:paraId="6CDECB0F">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Ⅰ</w:t>
                  </w:r>
                </w:p>
              </w:tc>
            </w:tr>
            <w:tr w14:paraId="12FB20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7" w:hRule="atLeast"/>
                <w:jc w:val="center"/>
              </w:trPr>
              <w:tc>
                <w:tcPr>
                  <w:tcW w:w="1654" w:type="dxa"/>
                  <w:shd w:val="clear" w:color="auto" w:fill="auto"/>
                  <w:vAlign w:val="center"/>
                </w:tcPr>
                <w:p w14:paraId="1A77F0CD">
                  <w:pPr>
                    <w:adjustRightInd w:val="0"/>
                    <w:snapToGrid w:val="0"/>
                    <w:jc w:val="center"/>
                    <w:rPr>
                      <w:rFonts w:ascii="Times New Roman" w:hAnsi="Times New Roman" w:eastAsia="宋体" w:cs="Times New Roman"/>
                      <w:b/>
                      <w:spacing w:val="-2"/>
                    </w:rPr>
                  </w:pPr>
                  <w:r>
                    <w:rPr>
                      <w:rFonts w:ascii="Times New Roman" w:hAnsi="Times New Roman" w:eastAsia="宋体" w:cs="Times New Roman"/>
                      <w:b/>
                      <w:spacing w:val="-2"/>
                    </w:rPr>
                    <w:t>评价工作等级</w:t>
                  </w:r>
                </w:p>
              </w:tc>
              <w:tc>
                <w:tcPr>
                  <w:tcW w:w="1683" w:type="dxa"/>
                  <w:shd w:val="clear" w:color="auto" w:fill="auto"/>
                  <w:vAlign w:val="center"/>
                </w:tcPr>
                <w:p w14:paraId="065DA146">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一</w:t>
                  </w:r>
                </w:p>
              </w:tc>
              <w:tc>
                <w:tcPr>
                  <w:tcW w:w="1655" w:type="dxa"/>
                  <w:shd w:val="clear" w:color="auto" w:fill="auto"/>
                  <w:vAlign w:val="center"/>
                </w:tcPr>
                <w:p w14:paraId="5100A1C4">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二</w:t>
                  </w:r>
                </w:p>
              </w:tc>
              <w:tc>
                <w:tcPr>
                  <w:tcW w:w="1655" w:type="dxa"/>
                  <w:shd w:val="clear" w:color="auto" w:fill="auto"/>
                  <w:vAlign w:val="center"/>
                </w:tcPr>
                <w:p w14:paraId="204AC3E8">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三</w:t>
                  </w:r>
                </w:p>
              </w:tc>
              <w:tc>
                <w:tcPr>
                  <w:tcW w:w="1365" w:type="dxa"/>
                  <w:shd w:val="clear" w:color="auto" w:fill="BEBEBE"/>
                  <w:vAlign w:val="center"/>
                </w:tcPr>
                <w:p w14:paraId="6F4A5DBD">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简单分析</w:t>
                  </w:r>
                  <w:r>
                    <w:rPr>
                      <w:rFonts w:ascii="Times New Roman" w:hAnsi="Times New Roman" w:eastAsia="宋体" w:cs="Times New Roman"/>
                      <w:bCs/>
                      <w:spacing w:val="-2"/>
                      <w:vertAlign w:val="superscript"/>
                    </w:rPr>
                    <w:t>a</w:t>
                  </w:r>
                </w:p>
              </w:tc>
            </w:tr>
            <w:tr w14:paraId="25B2BD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29" w:hRule="atLeast"/>
                <w:jc w:val="center"/>
              </w:trPr>
              <w:tc>
                <w:tcPr>
                  <w:tcW w:w="8012" w:type="dxa"/>
                  <w:gridSpan w:val="5"/>
                  <w:vAlign w:val="center"/>
                </w:tcPr>
                <w:p w14:paraId="4712577A">
                  <w:pPr>
                    <w:adjustRightInd w:val="0"/>
                    <w:snapToGrid w:val="0"/>
                    <w:jc w:val="left"/>
                    <w:rPr>
                      <w:rFonts w:ascii="Times New Roman" w:hAnsi="Times New Roman" w:eastAsia="宋体" w:cs="Times New Roman"/>
                      <w:b/>
                      <w:spacing w:val="-2"/>
                    </w:rPr>
                  </w:pPr>
                  <w:r>
                    <w:rPr>
                      <w:rFonts w:ascii="Times New Roman" w:hAnsi="Times New Roman" w:eastAsia="宋体" w:cs="Times New Roman"/>
                      <w:bCs/>
                      <w:spacing w:val="-2"/>
                      <w:vertAlign w:val="superscript"/>
                    </w:rPr>
                    <w:t xml:space="preserve">a </w:t>
                  </w:r>
                  <w:r>
                    <w:rPr>
                      <w:rFonts w:ascii="Times New Roman" w:hAnsi="Times New Roman" w:eastAsia="宋体" w:cs="Times New Roman"/>
                      <w:bCs/>
                      <w:spacing w:val="-2"/>
                    </w:rPr>
                    <w:t>是相对于详细评价工作内容而言，在描述危险物质、换金影响途径、环境危害后果、风险防范措施等方面给出定性的说明。</w:t>
                  </w:r>
                </w:p>
              </w:tc>
            </w:tr>
          </w:tbl>
          <w:p w14:paraId="5523BEA9">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确定本项目环境风险等级为简单分析。</w:t>
            </w:r>
          </w:p>
          <w:p w14:paraId="57563C4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2、环境敏感目标概况</w:t>
            </w:r>
          </w:p>
          <w:p w14:paraId="225426D3">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项目用地为</w:t>
            </w:r>
            <w:r>
              <w:rPr>
                <w:rFonts w:hint="eastAsia" w:ascii="Times New Roman" w:hAnsi="Times New Roman" w:eastAsia="宋体" w:cs="Times New Roman"/>
                <w:kern w:val="0"/>
                <w:sz w:val="24"/>
                <w:szCs w:val="24"/>
              </w:rPr>
              <w:t>工业</w:t>
            </w:r>
            <w:r>
              <w:rPr>
                <w:rFonts w:ascii="Times New Roman" w:hAnsi="Times New Roman" w:eastAsia="宋体" w:cs="Times New Roman"/>
                <w:kern w:val="0"/>
                <w:sz w:val="24"/>
                <w:szCs w:val="24"/>
              </w:rPr>
              <w:t>用地，周边</w:t>
            </w:r>
            <w:r>
              <w:rPr>
                <w:rFonts w:hint="eastAsia" w:ascii="Times New Roman" w:hAnsi="Times New Roman" w:eastAsia="宋体" w:cs="Times New Roman"/>
                <w:kern w:val="0"/>
                <w:sz w:val="24"/>
                <w:szCs w:val="24"/>
              </w:rPr>
              <w:t>为工业集中区</w:t>
            </w:r>
            <w:r>
              <w:rPr>
                <w:rFonts w:ascii="Times New Roman" w:hAnsi="Times New Roman" w:eastAsia="宋体" w:cs="Times New Roman"/>
                <w:kern w:val="0"/>
                <w:sz w:val="24"/>
                <w:szCs w:val="24"/>
              </w:rPr>
              <w:t>和少量散居居民，距离</w:t>
            </w:r>
            <w:r>
              <w:rPr>
                <w:rFonts w:hint="eastAsia" w:ascii="Times New Roman" w:hAnsi="Times New Roman" w:eastAsia="宋体" w:cs="Times New Roman"/>
                <w:kern w:val="0"/>
                <w:sz w:val="24"/>
                <w:szCs w:val="24"/>
              </w:rPr>
              <w:t>车间最近</w:t>
            </w:r>
            <w:r>
              <w:rPr>
                <w:rFonts w:ascii="Times New Roman" w:hAnsi="Times New Roman" w:eastAsia="宋体" w:cs="Times New Roman"/>
                <w:kern w:val="0"/>
                <w:sz w:val="24"/>
                <w:szCs w:val="24"/>
              </w:rPr>
              <w:t>居民约38m，其中有</w:t>
            </w:r>
            <w:r>
              <w:rPr>
                <w:rFonts w:hint="eastAsia" w:ascii="Times New Roman" w:hAnsi="Times New Roman" w:eastAsia="宋体" w:cs="Times New Roman"/>
                <w:kern w:val="0"/>
                <w:sz w:val="24"/>
                <w:szCs w:val="24"/>
              </w:rPr>
              <w:t>车间及</w:t>
            </w:r>
            <w:r>
              <w:rPr>
                <w:rFonts w:ascii="Times New Roman" w:hAnsi="Times New Roman" w:eastAsia="宋体" w:cs="Times New Roman"/>
                <w:kern w:val="0"/>
                <w:sz w:val="24"/>
                <w:szCs w:val="24"/>
              </w:rPr>
              <w:t>厂房</w:t>
            </w:r>
            <w:r>
              <w:rPr>
                <w:rFonts w:hint="eastAsia" w:ascii="Times New Roman" w:hAnsi="Times New Roman" w:eastAsia="宋体" w:cs="Times New Roman"/>
                <w:kern w:val="0"/>
                <w:sz w:val="24"/>
                <w:szCs w:val="24"/>
              </w:rPr>
              <w:t>墙体</w:t>
            </w:r>
            <w:r>
              <w:rPr>
                <w:rFonts w:ascii="Times New Roman" w:hAnsi="Times New Roman" w:eastAsia="宋体" w:cs="Times New Roman"/>
                <w:kern w:val="0"/>
                <w:sz w:val="24"/>
                <w:szCs w:val="24"/>
              </w:rPr>
              <w:t>间隔。</w:t>
            </w:r>
          </w:p>
          <w:p w14:paraId="11621FC2">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3、环境风险识别</w:t>
            </w:r>
          </w:p>
          <w:p w14:paraId="7C69044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项目主要危险物质为</w:t>
            </w:r>
            <w:r>
              <w:rPr>
                <w:rFonts w:hint="eastAsia" w:ascii="Times New Roman" w:hAnsi="Times New Roman" w:eastAsia="宋体" w:cs="Times New Roman"/>
                <w:kern w:val="0"/>
                <w:sz w:val="24"/>
                <w:szCs w:val="24"/>
              </w:rPr>
              <w:t>机油</w:t>
            </w:r>
            <w:r>
              <w:rPr>
                <w:rFonts w:ascii="Times New Roman" w:hAnsi="Times New Roman" w:eastAsia="宋体" w:cs="Times New Roman"/>
                <w:kern w:val="0"/>
                <w:sz w:val="24"/>
                <w:szCs w:val="24"/>
              </w:rPr>
              <w:t>及生活污水，主要存在于</w:t>
            </w:r>
            <w:r>
              <w:rPr>
                <w:rFonts w:hint="eastAsia" w:ascii="Times New Roman" w:hAnsi="Times New Roman" w:eastAsia="宋体" w:cs="Times New Roman"/>
                <w:kern w:val="0"/>
                <w:sz w:val="24"/>
                <w:szCs w:val="24"/>
              </w:rPr>
              <w:t>危废暂存间</w:t>
            </w:r>
            <w:r>
              <w:rPr>
                <w:rFonts w:ascii="Times New Roman" w:hAnsi="Times New Roman" w:eastAsia="宋体" w:cs="Times New Roman"/>
                <w:kern w:val="0"/>
                <w:sz w:val="24"/>
                <w:szCs w:val="24"/>
              </w:rPr>
              <w:t>、</w:t>
            </w:r>
            <w:r>
              <w:rPr>
                <w:rFonts w:hint="eastAsia" w:ascii="Times New Roman" w:hAnsi="Times New Roman" w:eastAsia="宋体" w:cs="Times New Roman"/>
                <w:kern w:val="0"/>
                <w:sz w:val="24"/>
                <w:szCs w:val="24"/>
              </w:rPr>
              <w:t>二级生化处理设施</w:t>
            </w:r>
            <w:r>
              <w:rPr>
                <w:rFonts w:ascii="Times New Roman" w:hAnsi="Times New Roman" w:eastAsia="宋体" w:cs="Times New Roman"/>
                <w:kern w:val="0"/>
                <w:sz w:val="24"/>
                <w:szCs w:val="24"/>
              </w:rPr>
              <w:t>，可能产生的环境污染为泄漏及事故废水等。</w:t>
            </w:r>
          </w:p>
          <w:p w14:paraId="63D71254">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4、环境风险分析</w:t>
            </w:r>
          </w:p>
          <w:p w14:paraId="4CE7133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因环保设施失灵，废水泄漏进入土壤、水体，导致外环境污染物质超标。</w:t>
            </w:r>
          </w:p>
          <w:p w14:paraId="57D99BCB">
            <w:pPr>
              <w:pStyle w:val="6"/>
              <w:adjustRightInd w:val="0"/>
              <w:snapToGrid w:val="0"/>
              <w:spacing w:line="480" w:lineRule="exact"/>
              <w:ind w:firstLine="480" w:firstLineChars="200"/>
              <w:rPr>
                <w:rFonts w:ascii="宋体" w:hAnsi="宋体" w:eastAsia="宋体" w:cs="宋体"/>
                <w:kern w:val="0"/>
                <w:sz w:val="24"/>
                <w:szCs w:val="24"/>
              </w:rPr>
            </w:pPr>
            <w:r>
              <w:rPr>
                <w:rFonts w:hint="eastAsia" w:ascii="宋体" w:hAnsi="宋体" w:eastAsia="宋体" w:cs="宋体"/>
                <w:kern w:val="0"/>
                <w:sz w:val="24"/>
                <w:szCs w:val="24"/>
              </w:rPr>
              <w:t>②危险化学品、危险废物泄漏</w:t>
            </w:r>
            <w:r>
              <w:rPr>
                <w:rFonts w:ascii="Times New Roman" w:hAnsi="Times New Roman" w:eastAsia="宋体" w:cs="Times New Roman"/>
                <w:kern w:val="0"/>
                <w:sz w:val="24"/>
                <w:szCs w:val="24"/>
              </w:rPr>
              <w:t>进入土壤、水体，导致外环境污染物质超标。</w:t>
            </w:r>
          </w:p>
          <w:p w14:paraId="523AA10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火灾事故导致大气污染，火灾产生的消防水进入水体、土壤导致污染。</w:t>
            </w:r>
          </w:p>
          <w:p w14:paraId="2E403AB3">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原料堆放过高导致坍塌、滑坡，在暴雨灾害天气下事故造成泥沙随地表径流进入水体。</w:t>
            </w:r>
          </w:p>
          <w:p w14:paraId="71189E7F">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5、环境风险防范措施及应急要求</w:t>
            </w:r>
          </w:p>
          <w:p w14:paraId="5885543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bCs/>
                <w:sz w:val="24"/>
              </w:rPr>
              <w:t>1</w:t>
            </w:r>
            <w:r>
              <w:rPr>
                <w:rFonts w:ascii="Times New Roman" w:hAnsi="Times New Roman" w:eastAsia="宋体" w:cs="Times New Roman"/>
                <w:kern w:val="0"/>
                <w:sz w:val="24"/>
                <w:szCs w:val="24"/>
              </w:rPr>
              <w:t>）火灾的防范措施</w:t>
            </w:r>
          </w:p>
          <w:p w14:paraId="0DFB9E91">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根据项目特点，项目电气设备等操作不当或故障易燃，本次评价对项目提出以下防火要求：</w:t>
            </w:r>
          </w:p>
          <w:p w14:paraId="08FECE1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生产人员上岗前要进行三级安全培训，并会熟练使用岗位配置的灭火设施；</w:t>
            </w:r>
          </w:p>
          <w:p w14:paraId="3234D851">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所有进入车间、库房的人员，不得携带火种进入，厂区内严禁吸烟、用火。</w:t>
            </w:r>
          </w:p>
          <w:p w14:paraId="305B695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项目使用电气设备经常检查，发现可能引起打火、短路、发热和绝缘不良等情况时，必须立即修理。</w:t>
            </w:r>
          </w:p>
          <w:p w14:paraId="3DE577F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车间、仓库内配置的灭火器、消防设施周围严禁对方其它物品，消防器材设备派专人负责管理，定期检查维修，保证完整好用。</w:t>
            </w:r>
          </w:p>
          <w:p w14:paraId="27370EA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⑤</w:t>
            </w:r>
            <w:r>
              <w:rPr>
                <w:rFonts w:ascii="Times New Roman" w:hAnsi="Times New Roman" w:eastAsia="宋体" w:cs="Times New Roman"/>
                <w:kern w:val="0"/>
                <w:sz w:val="24"/>
                <w:szCs w:val="24"/>
              </w:rPr>
              <w:t>每日应对车间及仓库内物资进行巡视检查，发现火种、火源、电源及库内环境存在与防火安全相抵触的问题要及时发现，及时消除。</w:t>
            </w:r>
          </w:p>
          <w:p w14:paraId="0639D5B1">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⑥</w:t>
            </w:r>
            <w:r>
              <w:rPr>
                <w:rFonts w:ascii="Times New Roman" w:hAnsi="Times New Roman" w:eastAsia="宋体" w:cs="Times New Roman"/>
                <w:kern w:val="0"/>
                <w:sz w:val="24"/>
                <w:szCs w:val="24"/>
              </w:rPr>
              <w:t>保持设备的清洁卫生，坚持每月的系统的维护，确保机器设备的正常运作。</w:t>
            </w:r>
          </w:p>
          <w:p w14:paraId="73C7A38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2）环保设施失灵泄漏风险防范措施</w:t>
            </w:r>
          </w:p>
          <w:p w14:paraId="4CD9E6D5">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为了减小环保设备故障的频率，定期对喷雾降尘设施进行检查，防治堵塞。</w:t>
            </w:r>
          </w:p>
          <w:p w14:paraId="5E79636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本项目废水处理设施为沉淀池，当沉淀池泥沙较多时，会有发生溢流的可能性，要求建设单位定期对泥沙进行清理，保证沉淀池的有效容积，防治溢流对地表水造成影响。加强管理，及时清理维护保证有效容积。</w:t>
            </w:r>
          </w:p>
          <w:p w14:paraId="71E74114">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3）</w:t>
            </w:r>
            <w:r>
              <w:rPr>
                <w:rFonts w:hint="eastAsia" w:ascii="Times New Roman" w:hAnsi="Times New Roman" w:eastAsia="宋体" w:cs="Times New Roman"/>
                <w:kern w:val="0"/>
                <w:sz w:val="24"/>
                <w:szCs w:val="24"/>
              </w:rPr>
              <w:t>危险化学品泄漏</w:t>
            </w:r>
          </w:p>
          <w:p w14:paraId="4FB8943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项目使用的</w:t>
            </w:r>
            <w:r>
              <w:rPr>
                <w:rFonts w:hint="eastAsia" w:ascii="Times New Roman" w:hAnsi="Times New Roman" w:eastAsia="宋体" w:cs="Times New Roman"/>
                <w:kern w:val="0"/>
                <w:sz w:val="24"/>
                <w:szCs w:val="24"/>
              </w:rPr>
              <w:t>机油</w:t>
            </w:r>
            <w:r>
              <w:rPr>
                <w:rFonts w:ascii="Times New Roman" w:hAnsi="Times New Roman" w:eastAsia="宋体" w:cs="Times New Roman"/>
                <w:kern w:val="0"/>
                <w:sz w:val="24"/>
                <w:szCs w:val="24"/>
              </w:rPr>
              <w:t>等发生泄露，进入土壤中，将会对土壤、地下水、地表水甚至生态环境造成污染，因此，项目生产过程中必须加强管理，加强防渗，避免化学品泄露的发生。</w:t>
            </w:r>
          </w:p>
          <w:p w14:paraId="771B479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4）</w:t>
            </w:r>
            <w:r>
              <w:rPr>
                <w:rFonts w:ascii="Times New Roman" w:hAnsi="Times New Roman" w:eastAsia="宋体" w:cs="Times New Roman"/>
                <w:kern w:val="0"/>
                <w:sz w:val="24"/>
                <w:szCs w:val="24"/>
              </w:rPr>
              <w:t>建立健全安全环境管理制度</w:t>
            </w:r>
          </w:p>
          <w:p w14:paraId="6C955EFD">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火灾：本项目生产中操作不当、管理不善发生电线短路等现象，可引发火灾，导致人员伤害。</w:t>
            </w:r>
          </w:p>
          <w:p w14:paraId="3969FD88">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机械伤害：生产装置中有电动传输设备，因此存有机械伤害危险。生产过程中，设备安全操作规程不完善或设备操作人员没有严格按照操作规程进行操作，则有可能发生安全事故，对操作人员或车间其他人员造成人身伤害。</w:t>
            </w:r>
          </w:p>
          <w:p w14:paraId="32301A5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针对上述风险，应采取以下劳动安全卫生措施：</w:t>
            </w:r>
          </w:p>
          <w:p w14:paraId="7A6FE7A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制定切实可行的安全操作规程和工艺规程，按照《中华人民共和国劳动法》的有关规定，制定切实可行的劳动保护措施。</w:t>
            </w:r>
          </w:p>
          <w:p w14:paraId="3215EBC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严格规范设备的操作过程，定期检修。</w:t>
            </w:r>
          </w:p>
          <w:p w14:paraId="0E02CE25">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车间应设置强制排风设备，改善车间空气环境。</w:t>
            </w:r>
          </w:p>
          <w:p w14:paraId="1CAB124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为了防范雷电和暴雨，要求厂区按规定设防雷接地装置，同时厂房内的地面高出室外地面。防止暴雨造成的积水进入。</w:t>
            </w:r>
          </w:p>
          <w:p w14:paraId="69E9B191">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⑤</w:t>
            </w:r>
            <w:r>
              <w:rPr>
                <w:rFonts w:ascii="Times New Roman" w:hAnsi="Times New Roman" w:eastAsia="宋体" w:cs="Times New Roman"/>
                <w:kern w:val="0"/>
                <w:sz w:val="24"/>
                <w:szCs w:val="24"/>
              </w:rPr>
              <w:t>对有危险的机械设备加装防护装置，所有电气设备的安全距离、漏电保护设施拘设计均应符合有关标准、规范的要求。</w:t>
            </w:r>
          </w:p>
          <w:p w14:paraId="454DFE3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⑥</w:t>
            </w:r>
            <w:r>
              <w:rPr>
                <w:rFonts w:ascii="Times New Roman" w:hAnsi="Times New Roman" w:eastAsia="宋体" w:cs="Times New Roman"/>
                <w:kern w:val="0"/>
                <w:sz w:val="24"/>
                <w:szCs w:val="24"/>
              </w:rPr>
              <w:t>建立健全安全技术规程、工艺操作规程，并上墙明示。</w:t>
            </w:r>
          </w:p>
          <w:p w14:paraId="5C1E451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⑦</w:t>
            </w:r>
            <w:r>
              <w:rPr>
                <w:rFonts w:ascii="Times New Roman" w:hAnsi="Times New Roman" w:eastAsia="宋体" w:cs="Times New Roman"/>
                <w:kern w:val="0"/>
                <w:sz w:val="24"/>
                <w:szCs w:val="24"/>
              </w:rPr>
              <w:t>按工作岗位的性质，配备劳保用品和各种防护器材。</w:t>
            </w:r>
          </w:p>
          <w:p w14:paraId="104D7DA4">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⑧</w:t>
            </w:r>
            <w:r>
              <w:rPr>
                <w:rFonts w:ascii="Times New Roman" w:hAnsi="Times New Roman" w:eastAsia="宋体" w:cs="Times New Roman"/>
                <w:kern w:val="0"/>
                <w:sz w:val="24"/>
                <w:szCs w:val="24"/>
              </w:rPr>
              <w:t>厂门前设置入场须知和安全警示牌。</w:t>
            </w:r>
          </w:p>
          <w:p w14:paraId="07D9C0D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⑨</w:t>
            </w:r>
            <w:r>
              <w:rPr>
                <w:rFonts w:ascii="Times New Roman" w:hAnsi="Times New Roman" w:eastAsia="宋体" w:cs="Times New Roman"/>
                <w:kern w:val="0"/>
                <w:sz w:val="24"/>
                <w:szCs w:val="24"/>
              </w:rPr>
              <w:t>加强安全管理、安全教育工作，经常对全厂职工进行安全教育和职业卫生教育，增强职工的安全意识和自我保护意识。</w:t>
            </w:r>
          </w:p>
          <w:p w14:paraId="47C7BDCA">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6、应急预案</w:t>
            </w:r>
          </w:p>
          <w:p w14:paraId="54C8C560">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fldChar w:fldCharType="begin"/>
            </w:r>
            <w:r>
              <w:rPr>
                <w:rFonts w:ascii="Times New Roman" w:hAnsi="Times New Roman" w:eastAsia="宋体" w:cs="Times New Roman"/>
                <w:kern w:val="0"/>
                <w:sz w:val="24"/>
                <w:szCs w:val="24"/>
              </w:rPr>
              <w:instrText xml:space="preserve"> = 1 \* GB3 </w:instrText>
            </w:r>
            <w:r>
              <w:rPr>
                <w:rFonts w:ascii="Times New Roman" w:hAnsi="Times New Roman" w:eastAsia="宋体" w:cs="Times New Roman"/>
                <w:kern w:val="0"/>
                <w:sz w:val="24"/>
                <w:szCs w:val="24"/>
              </w:rPr>
              <w:fldChar w:fldCharType="separate"/>
            </w:r>
            <w:r>
              <w:rPr>
                <w:rFonts w:hint="eastAsia" w:ascii="宋体" w:hAnsi="宋体" w:eastAsia="宋体" w:cs="宋体"/>
                <w:kern w:val="0"/>
                <w:sz w:val="24"/>
                <w:szCs w:val="24"/>
              </w:rPr>
              <w:t>①</w:t>
            </w:r>
            <w:r>
              <w:rPr>
                <w:rFonts w:ascii="Times New Roman" w:hAnsi="Times New Roman" w:eastAsia="宋体" w:cs="Times New Roman"/>
                <w:kern w:val="0"/>
                <w:sz w:val="24"/>
                <w:szCs w:val="24"/>
              </w:rPr>
              <w:fldChar w:fldCharType="end"/>
            </w:r>
            <w:r>
              <w:rPr>
                <w:rFonts w:ascii="Times New Roman" w:hAnsi="Times New Roman" w:eastAsia="宋体" w:cs="Times New Roman"/>
                <w:kern w:val="0"/>
                <w:sz w:val="24"/>
                <w:szCs w:val="24"/>
              </w:rPr>
              <w:t>制定风险事故应急预案的目的</w:t>
            </w:r>
          </w:p>
          <w:p w14:paraId="3548C94B">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认真贯彻落实党中央、国务院领导的指示精神，高度重视污染事故的防范和处理，消除污染事故隐患，加强环境监管，保障环境安全，维护群众环境权益。</w:t>
            </w:r>
          </w:p>
          <w:p w14:paraId="445F1EC8">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fldChar w:fldCharType="begin"/>
            </w:r>
            <w:r>
              <w:rPr>
                <w:rFonts w:ascii="Times New Roman" w:hAnsi="Times New Roman" w:eastAsia="宋体" w:cs="Times New Roman"/>
                <w:kern w:val="0"/>
                <w:sz w:val="24"/>
                <w:szCs w:val="24"/>
              </w:rPr>
              <w:instrText xml:space="preserve"> = 2 \* GB3 </w:instrText>
            </w:r>
            <w:r>
              <w:rPr>
                <w:rFonts w:ascii="Times New Roman" w:hAnsi="Times New Roman" w:eastAsia="宋体" w:cs="Times New Roman"/>
                <w:kern w:val="0"/>
                <w:sz w:val="24"/>
                <w:szCs w:val="24"/>
              </w:rPr>
              <w:fldChar w:fldCharType="separate"/>
            </w:r>
            <w:r>
              <w:rPr>
                <w:rFonts w:hint="eastAsia" w:ascii="宋体" w:hAnsi="宋体" w:eastAsia="宋体" w:cs="宋体"/>
                <w:kern w:val="0"/>
                <w:sz w:val="24"/>
                <w:szCs w:val="24"/>
              </w:rPr>
              <w:t>②</w:t>
            </w:r>
            <w:r>
              <w:rPr>
                <w:rFonts w:ascii="Times New Roman" w:hAnsi="Times New Roman" w:eastAsia="宋体" w:cs="Times New Roman"/>
                <w:kern w:val="0"/>
                <w:sz w:val="24"/>
                <w:szCs w:val="24"/>
              </w:rPr>
              <w:fldChar w:fldCharType="end"/>
            </w:r>
            <w:r>
              <w:rPr>
                <w:rFonts w:ascii="Times New Roman" w:hAnsi="Times New Roman" w:eastAsia="宋体" w:cs="Times New Roman"/>
                <w:kern w:val="0"/>
                <w:sz w:val="24"/>
                <w:szCs w:val="24"/>
              </w:rPr>
              <w:t>应急预案内容</w:t>
            </w:r>
          </w:p>
          <w:p w14:paraId="102CC503">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要求，参照《危险废物经营单位编制应急预案指南》，制定企业环境风险应急预案，并向有关部门备案。建设单位应在生产前自行编制或委托有资质的单位编制项目突发环境事件应急预案与风险评估报告，并进行评估，报有关部门备案，一旦发生风险事故，应立即启动预案计划。</w:t>
            </w:r>
          </w:p>
          <w:p w14:paraId="208EBC37">
            <w:pPr>
              <w:spacing w:line="480" w:lineRule="exact"/>
              <w:jc w:val="center"/>
              <w:rPr>
                <w:rFonts w:ascii="Times New Roman" w:hAnsi="Times New Roman" w:eastAsia="黑体" w:cs="Times New Roman"/>
                <w:bCs/>
                <w:sz w:val="24"/>
              </w:rPr>
            </w:pPr>
            <w:r>
              <w:rPr>
                <w:rFonts w:ascii="Times New Roman" w:hAnsi="Times New Roman" w:eastAsia="黑体" w:cs="Times New Roman"/>
                <w:bCs/>
                <w:sz w:val="24"/>
              </w:rPr>
              <w:t>表7-25  项目环境风险应急预案内容表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84"/>
              <w:gridCol w:w="2013"/>
              <w:gridCol w:w="5585"/>
            </w:tblGrid>
            <w:tr w14:paraId="0E47AB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tblHeader/>
                <w:jc w:val="center"/>
              </w:trPr>
              <w:tc>
                <w:tcPr>
                  <w:tcW w:w="413" w:type="pct"/>
                  <w:vAlign w:val="center"/>
                </w:tcPr>
                <w:p w14:paraId="1ED73F55">
                  <w:pPr>
                    <w:jc w:val="center"/>
                    <w:rPr>
                      <w:rFonts w:ascii="Times New Roman" w:hAnsi="Times New Roman" w:eastAsia="宋体" w:cs="Times New Roman"/>
                      <w:kern w:val="28"/>
                    </w:rPr>
                  </w:pPr>
                  <w:r>
                    <w:rPr>
                      <w:rFonts w:ascii="Times New Roman" w:hAnsi="Times New Roman" w:eastAsia="宋体" w:cs="Times New Roman"/>
                      <w:kern w:val="28"/>
                    </w:rPr>
                    <w:t>序号</w:t>
                  </w:r>
                </w:p>
              </w:tc>
              <w:tc>
                <w:tcPr>
                  <w:tcW w:w="1215" w:type="pct"/>
                  <w:vAlign w:val="center"/>
                </w:tcPr>
                <w:p w14:paraId="42A55FF1">
                  <w:pPr>
                    <w:jc w:val="center"/>
                    <w:rPr>
                      <w:rFonts w:ascii="Times New Roman" w:hAnsi="Times New Roman" w:eastAsia="宋体" w:cs="Times New Roman"/>
                      <w:kern w:val="28"/>
                    </w:rPr>
                  </w:pPr>
                  <w:r>
                    <w:rPr>
                      <w:rFonts w:ascii="Times New Roman" w:hAnsi="Times New Roman" w:eastAsia="宋体" w:cs="Times New Roman"/>
                      <w:kern w:val="28"/>
                    </w:rPr>
                    <w:t>项目</w:t>
                  </w:r>
                </w:p>
              </w:tc>
              <w:tc>
                <w:tcPr>
                  <w:tcW w:w="3372" w:type="pct"/>
                  <w:vAlign w:val="center"/>
                </w:tcPr>
                <w:p w14:paraId="5D5E8601">
                  <w:pPr>
                    <w:jc w:val="center"/>
                    <w:rPr>
                      <w:rFonts w:ascii="Times New Roman" w:hAnsi="Times New Roman" w:eastAsia="宋体" w:cs="Times New Roman"/>
                      <w:kern w:val="28"/>
                    </w:rPr>
                  </w:pPr>
                  <w:r>
                    <w:rPr>
                      <w:rFonts w:ascii="Times New Roman" w:hAnsi="Times New Roman" w:eastAsia="宋体" w:cs="Times New Roman"/>
                      <w:kern w:val="28"/>
                    </w:rPr>
                    <w:t>内容及要求</w:t>
                  </w:r>
                </w:p>
              </w:tc>
            </w:tr>
            <w:tr w14:paraId="199A15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6E9C9671">
                  <w:pPr>
                    <w:jc w:val="center"/>
                    <w:rPr>
                      <w:rFonts w:ascii="Times New Roman" w:hAnsi="Times New Roman" w:eastAsia="宋体" w:cs="Times New Roman"/>
                      <w:kern w:val="28"/>
                    </w:rPr>
                  </w:pPr>
                  <w:r>
                    <w:rPr>
                      <w:rFonts w:ascii="Times New Roman" w:hAnsi="Times New Roman" w:eastAsia="宋体" w:cs="Times New Roman"/>
                      <w:kern w:val="28"/>
                    </w:rPr>
                    <w:t>1</w:t>
                  </w:r>
                </w:p>
              </w:tc>
              <w:tc>
                <w:tcPr>
                  <w:tcW w:w="1215" w:type="pct"/>
                  <w:vAlign w:val="center"/>
                </w:tcPr>
                <w:p w14:paraId="08444EFC">
                  <w:pPr>
                    <w:jc w:val="center"/>
                    <w:rPr>
                      <w:rFonts w:ascii="Times New Roman" w:hAnsi="Times New Roman" w:eastAsia="宋体" w:cs="Times New Roman"/>
                      <w:kern w:val="28"/>
                    </w:rPr>
                  </w:pPr>
                  <w:r>
                    <w:rPr>
                      <w:rFonts w:ascii="Times New Roman" w:hAnsi="Times New Roman" w:eastAsia="宋体" w:cs="Times New Roman"/>
                      <w:kern w:val="28"/>
                    </w:rPr>
                    <w:t>应急计划区</w:t>
                  </w:r>
                </w:p>
              </w:tc>
              <w:tc>
                <w:tcPr>
                  <w:tcW w:w="3372" w:type="pct"/>
                  <w:vAlign w:val="center"/>
                </w:tcPr>
                <w:p w14:paraId="3F96DC9C">
                  <w:pPr>
                    <w:rPr>
                      <w:rFonts w:ascii="Times New Roman" w:hAnsi="Times New Roman" w:eastAsia="宋体" w:cs="Times New Roman"/>
                      <w:kern w:val="28"/>
                    </w:rPr>
                  </w:pPr>
                  <w:r>
                    <w:rPr>
                      <w:rFonts w:ascii="Times New Roman" w:hAnsi="Times New Roman" w:eastAsia="宋体" w:cs="Times New Roman"/>
                      <w:kern w:val="28"/>
                    </w:rPr>
                    <w:t>危险目标：</w:t>
                  </w:r>
                  <w:r>
                    <w:rPr>
                      <w:rFonts w:hint="eastAsia" w:ascii="Times New Roman" w:hAnsi="Times New Roman" w:eastAsia="宋体" w:cs="Times New Roman"/>
                      <w:kern w:val="28"/>
                    </w:rPr>
                    <w:t>危险化学品、</w:t>
                  </w:r>
                  <w:r>
                    <w:rPr>
                      <w:rFonts w:ascii="Times New Roman" w:hAnsi="Times New Roman" w:eastAsia="宋体" w:cs="Times New Roman"/>
                      <w:kern w:val="28"/>
                    </w:rPr>
                    <w:t>废水收集处理设施</w:t>
                  </w:r>
                </w:p>
              </w:tc>
            </w:tr>
            <w:tr w14:paraId="2DB288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4748FDD8">
                  <w:pPr>
                    <w:jc w:val="center"/>
                    <w:rPr>
                      <w:rFonts w:ascii="Times New Roman" w:hAnsi="Times New Roman" w:eastAsia="宋体" w:cs="Times New Roman"/>
                      <w:kern w:val="28"/>
                    </w:rPr>
                  </w:pPr>
                  <w:r>
                    <w:rPr>
                      <w:rFonts w:ascii="Times New Roman" w:hAnsi="Times New Roman" w:eastAsia="宋体" w:cs="Times New Roman"/>
                      <w:kern w:val="28"/>
                    </w:rPr>
                    <w:t>2</w:t>
                  </w:r>
                </w:p>
              </w:tc>
              <w:tc>
                <w:tcPr>
                  <w:tcW w:w="1215" w:type="pct"/>
                  <w:vAlign w:val="center"/>
                </w:tcPr>
                <w:p w14:paraId="563F16E4">
                  <w:pPr>
                    <w:jc w:val="center"/>
                    <w:rPr>
                      <w:rFonts w:ascii="Times New Roman" w:hAnsi="Times New Roman" w:eastAsia="宋体" w:cs="Times New Roman"/>
                      <w:kern w:val="28"/>
                    </w:rPr>
                  </w:pPr>
                  <w:r>
                    <w:rPr>
                      <w:rFonts w:ascii="Times New Roman" w:hAnsi="Times New Roman" w:eastAsia="宋体" w:cs="Times New Roman"/>
                      <w:kern w:val="28"/>
                    </w:rPr>
                    <w:t>应急组织机构和人员</w:t>
                  </w:r>
                </w:p>
              </w:tc>
              <w:tc>
                <w:tcPr>
                  <w:tcW w:w="3372" w:type="pct"/>
                  <w:vAlign w:val="center"/>
                </w:tcPr>
                <w:p w14:paraId="4D5E1759">
                  <w:pPr>
                    <w:rPr>
                      <w:rFonts w:ascii="Times New Roman" w:hAnsi="Times New Roman" w:eastAsia="宋体" w:cs="Times New Roman"/>
                      <w:kern w:val="28"/>
                    </w:rPr>
                  </w:pPr>
                  <w:r>
                    <w:rPr>
                      <w:rFonts w:ascii="Times New Roman" w:hAnsi="Times New Roman" w:eastAsia="宋体" w:cs="Times New Roman"/>
                      <w:kern w:val="28"/>
                    </w:rPr>
                    <w:t>公司应急委员会和员工、开发区环境风险应急组织机构和人员。公司应急委员会应成立环境风险应急处置小组，包括环境风险源控制组、救援组、警戒和疏散组、环境监测组等，并任命专人负责事故的记录和报告。</w:t>
                  </w:r>
                </w:p>
              </w:tc>
            </w:tr>
            <w:tr w14:paraId="50D423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351C0DF6">
                  <w:pPr>
                    <w:jc w:val="center"/>
                    <w:rPr>
                      <w:rFonts w:ascii="Times New Roman" w:hAnsi="Times New Roman" w:eastAsia="宋体" w:cs="Times New Roman"/>
                      <w:kern w:val="28"/>
                    </w:rPr>
                  </w:pPr>
                  <w:r>
                    <w:rPr>
                      <w:rFonts w:ascii="Times New Roman" w:hAnsi="Times New Roman" w:eastAsia="宋体" w:cs="Times New Roman"/>
                      <w:kern w:val="28"/>
                    </w:rPr>
                    <w:t>3</w:t>
                  </w:r>
                </w:p>
              </w:tc>
              <w:tc>
                <w:tcPr>
                  <w:tcW w:w="1215" w:type="pct"/>
                  <w:vAlign w:val="center"/>
                </w:tcPr>
                <w:p w14:paraId="105058E8">
                  <w:pPr>
                    <w:jc w:val="center"/>
                    <w:rPr>
                      <w:rFonts w:ascii="Times New Roman" w:hAnsi="Times New Roman" w:eastAsia="宋体" w:cs="Times New Roman"/>
                      <w:kern w:val="28"/>
                    </w:rPr>
                  </w:pPr>
                  <w:r>
                    <w:rPr>
                      <w:rFonts w:ascii="Times New Roman" w:hAnsi="Times New Roman" w:eastAsia="宋体" w:cs="Times New Roman"/>
                      <w:kern w:val="28"/>
                    </w:rPr>
                    <w:t>预案分级响应条件</w:t>
                  </w:r>
                </w:p>
              </w:tc>
              <w:tc>
                <w:tcPr>
                  <w:tcW w:w="3372" w:type="pct"/>
                  <w:vAlign w:val="center"/>
                </w:tcPr>
                <w:p w14:paraId="756F7B25">
                  <w:pPr>
                    <w:rPr>
                      <w:rFonts w:ascii="Times New Roman" w:hAnsi="Times New Roman" w:eastAsia="宋体" w:cs="Times New Roman"/>
                      <w:kern w:val="28"/>
                    </w:rPr>
                  </w:pPr>
                  <w:r>
                    <w:rPr>
                      <w:rFonts w:ascii="Times New Roman" w:hAnsi="Times New Roman" w:eastAsia="宋体" w:cs="Times New Roman"/>
                      <w:kern w:val="28"/>
                    </w:rPr>
                    <w:t>规定预案的级别及分级响应程序，根据环境风险事故可能产生的环境影响，对事故预警进行分级，并根据事态发展调整事故应急响应程序。应急响应程序启动后应按照应急预案的规定内容开展应急处置并及时报告相关情况。</w:t>
                  </w:r>
                </w:p>
              </w:tc>
            </w:tr>
            <w:tr w14:paraId="26CAFD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756265B9">
                  <w:pPr>
                    <w:jc w:val="center"/>
                    <w:rPr>
                      <w:rFonts w:ascii="Times New Roman" w:hAnsi="Times New Roman" w:eastAsia="宋体" w:cs="Times New Roman"/>
                      <w:kern w:val="28"/>
                    </w:rPr>
                  </w:pPr>
                  <w:r>
                    <w:rPr>
                      <w:rFonts w:ascii="Times New Roman" w:hAnsi="Times New Roman" w:eastAsia="宋体" w:cs="Times New Roman"/>
                      <w:kern w:val="28"/>
                    </w:rPr>
                    <w:t>4</w:t>
                  </w:r>
                </w:p>
              </w:tc>
              <w:tc>
                <w:tcPr>
                  <w:tcW w:w="1215" w:type="pct"/>
                  <w:vAlign w:val="center"/>
                </w:tcPr>
                <w:p w14:paraId="5AE558F3">
                  <w:pPr>
                    <w:jc w:val="center"/>
                    <w:rPr>
                      <w:rFonts w:ascii="Times New Roman" w:hAnsi="Times New Roman" w:eastAsia="宋体" w:cs="Times New Roman"/>
                      <w:kern w:val="28"/>
                    </w:rPr>
                  </w:pPr>
                  <w:r>
                    <w:rPr>
                      <w:rFonts w:ascii="Times New Roman" w:hAnsi="Times New Roman" w:eastAsia="宋体" w:cs="Times New Roman"/>
                      <w:kern w:val="28"/>
                    </w:rPr>
                    <w:t>应急救援保障</w:t>
                  </w:r>
                </w:p>
              </w:tc>
              <w:tc>
                <w:tcPr>
                  <w:tcW w:w="3372" w:type="pct"/>
                  <w:vAlign w:val="center"/>
                </w:tcPr>
                <w:p w14:paraId="2B924E1A">
                  <w:pPr>
                    <w:rPr>
                      <w:rFonts w:ascii="Times New Roman" w:hAnsi="Times New Roman" w:eastAsia="宋体" w:cs="Times New Roman"/>
                      <w:kern w:val="28"/>
                    </w:rPr>
                  </w:pPr>
                  <w:r>
                    <w:rPr>
                      <w:rFonts w:ascii="Times New Roman" w:hAnsi="Times New Roman" w:eastAsia="宋体" w:cs="Times New Roman"/>
                      <w:kern w:val="28"/>
                    </w:rPr>
                    <w:t>倒水池、沙袋等</w:t>
                  </w:r>
                </w:p>
              </w:tc>
            </w:tr>
            <w:tr w14:paraId="72265E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546D2C30">
                  <w:pPr>
                    <w:jc w:val="center"/>
                    <w:rPr>
                      <w:rFonts w:ascii="Times New Roman" w:hAnsi="Times New Roman" w:eastAsia="宋体" w:cs="Times New Roman"/>
                      <w:kern w:val="28"/>
                    </w:rPr>
                  </w:pPr>
                  <w:r>
                    <w:rPr>
                      <w:rFonts w:ascii="Times New Roman" w:hAnsi="Times New Roman" w:eastAsia="宋体" w:cs="Times New Roman"/>
                      <w:kern w:val="28"/>
                    </w:rPr>
                    <w:t>5</w:t>
                  </w:r>
                </w:p>
              </w:tc>
              <w:tc>
                <w:tcPr>
                  <w:tcW w:w="1215" w:type="pct"/>
                  <w:vAlign w:val="center"/>
                </w:tcPr>
                <w:p w14:paraId="7B4508D9">
                  <w:pPr>
                    <w:jc w:val="center"/>
                    <w:rPr>
                      <w:rFonts w:ascii="Times New Roman" w:hAnsi="Times New Roman" w:eastAsia="宋体" w:cs="Times New Roman"/>
                      <w:kern w:val="28"/>
                    </w:rPr>
                  </w:pPr>
                  <w:r>
                    <w:rPr>
                      <w:rFonts w:ascii="Times New Roman" w:hAnsi="Times New Roman" w:eastAsia="宋体" w:cs="Times New Roman"/>
                      <w:kern w:val="28"/>
                    </w:rPr>
                    <w:t>报警、通讯联络方式</w:t>
                  </w:r>
                </w:p>
              </w:tc>
              <w:tc>
                <w:tcPr>
                  <w:tcW w:w="3372" w:type="pct"/>
                  <w:vAlign w:val="center"/>
                </w:tcPr>
                <w:p w14:paraId="22715DC0">
                  <w:pPr>
                    <w:rPr>
                      <w:rFonts w:ascii="Times New Roman" w:hAnsi="Times New Roman" w:eastAsia="宋体" w:cs="Times New Roman"/>
                      <w:kern w:val="28"/>
                    </w:rPr>
                  </w:pPr>
                  <w:r>
                    <w:rPr>
                      <w:rFonts w:ascii="Times New Roman" w:hAnsi="Times New Roman" w:eastAsia="宋体" w:cs="Times New Roman"/>
                      <w:kern w:val="28"/>
                    </w:rPr>
                    <w:t>规定应急状态下的报警通讯方式、通知方式和交通保障、管制</w:t>
                  </w:r>
                </w:p>
              </w:tc>
            </w:tr>
            <w:tr w14:paraId="233EDC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45004C1E">
                  <w:pPr>
                    <w:jc w:val="center"/>
                    <w:rPr>
                      <w:rFonts w:ascii="Times New Roman" w:hAnsi="Times New Roman" w:eastAsia="宋体" w:cs="Times New Roman"/>
                      <w:kern w:val="28"/>
                    </w:rPr>
                  </w:pPr>
                  <w:r>
                    <w:rPr>
                      <w:rFonts w:ascii="Times New Roman" w:hAnsi="Times New Roman" w:eastAsia="宋体" w:cs="Times New Roman"/>
                      <w:kern w:val="28"/>
                    </w:rPr>
                    <w:t>6</w:t>
                  </w:r>
                </w:p>
              </w:tc>
              <w:tc>
                <w:tcPr>
                  <w:tcW w:w="1215" w:type="pct"/>
                  <w:vAlign w:val="center"/>
                </w:tcPr>
                <w:p w14:paraId="3774E574">
                  <w:pPr>
                    <w:jc w:val="center"/>
                    <w:rPr>
                      <w:rFonts w:ascii="Times New Roman" w:hAnsi="Times New Roman" w:eastAsia="宋体" w:cs="Times New Roman"/>
                      <w:kern w:val="28"/>
                    </w:rPr>
                  </w:pPr>
                  <w:r>
                    <w:rPr>
                      <w:rFonts w:ascii="Times New Roman" w:hAnsi="Times New Roman" w:eastAsia="宋体" w:cs="Times New Roman"/>
                      <w:kern w:val="28"/>
                    </w:rPr>
                    <w:t>应急环境监测、抢险、救援及控制措施</w:t>
                  </w:r>
                </w:p>
              </w:tc>
              <w:tc>
                <w:tcPr>
                  <w:tcW w:w="3372" w:type="pct"/>
                  <w:vAlign w:val="center"/>
                </w:tcPr>
                <w:p w14:paraId="1A9362B8">
                  <w:pPr>
                    <w:rPr>
                      <w:rFonts w:ascii="Times New Roman" w:hAnsi="Times New Roman" w:eastAsia="宋体" w:cs="Times New Roman"/>
                      <w:kern w:val="28"/>
                    </w:rPr>
                  </w:pPr>
                  <w:r>
                    <w:rPr>
                      <w:rFonts w:ascii="Times New Roman" w:hAnsi="Times New Roman" w:eastAsia="宋体" w:cs="Times New Roman"/>
                      <w:kern w:val="28"/>
                    </w:rPr>
                    <w:t>由市、区环境监测站负责对事故现场进行侦察监测，对事故性质、参数与后果进行评估，为指挥部门提供决策依据</w:t>
                  </w:r>
                </w:p>
              </w:tc>
            </w:tr>
            <w:tr w14:paraId="4AC05F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3DA0C1ED">
                  <w:pPr>
                    <w:jc w:val="center"/>
                    <w:rPr>
                      <w:rFonts w:ascii="Times New Roman" w:hAnsi="Times New Roman" w:eastAsia="宋体" w:cs="Times New Roman"/>
                      <w:kern w:val="28"/>
                    </w:rPr>
                  </w:pPr>
                  <w:r>
                    <w:rPr>
                      <w:rFonts w:ascii="Times New Roman" w:hAnsi="Times New Roman" w:eastAsia="宋体" w:cs="Times New Roman"/>
                      <w:kern w:val="28"/>
                    </w:rPr>
                    <w:t>7</w:t>
                  </w:r>
                </w:p>
              </w:tc>
              <w:tc>
                <w:tcPr>
                  <w:tcW w:w="1215" w:type="pct"/>
                  <w:vAlign w:val="center"/>
                </w:tcPr>
                <w:p w14:paraId="5B3C88B9">
                  <w:pPr>
                    <w:jc w:val="center"/>
                    <w:rPr>
                      <w:rFonts w:ascii="Times New Roman" w:hAnsi="Times New Roman" w:eastAsia="宋体" w:cs="Times New Roman"/>
                      <w:kern w:val="28"/>
                    </w:rPr>
                  </w:pPr>
                  <w:r>
                    <w:rPr>
                      <w:rFonts w:ascii="Times New Roman" w:hAnsi="Times New Roman" w:eastAsia="宋体" w:cs="Times New Roman"/>
                      <w:kern w:val="28"/>
                    </w:rPr>
                    <w:t>应急检测、防护措施、清除泄漏措施和器材</w:t>
                  </w:r>
                </w:p>
              </w:tc>
              <w:tc>
                <w:tcPr>
                  <w:tcW w:w="3372" w:type="pct"/>
                  <w:vAlign w:val="center"/>
                </w:tcPr>
                <w:p w14:paraId="3C560310">
                  <w:pPr>
                    <w:rPr>
                      <w:rFonts w:ascii="Times New Roman" w:hAnsi="Times New Roman" w:eastAsia="宋体" w:cs="Times New Roman"/>
                      <w:kern w:val="28"/>
                    </w:rPr>
                  </w:pPr>
                  <w:r>
                    <w:rPr>
                      <w:rFonts w:ascii="Times New Roman" w:hAnsi="Times New Roman" w:eastAsia="宋体" w:cs="Times New Roman"/>
                      <w:kern w:val="28"/>
                    </w:rPr>
                    <w:t>事故现场、邻近区域，控制和清除污染措施及相应设备</w:t>
                  </w:r>
                </w:p>
              </w:tc>
            </w:tr>
            <w:tr w14:paraId="4E3826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5110C799">
                  <w:pPr>
                    <w:jc w:val="center"/>
                    <w:rPr>
                      <w:rFonts w:ascii="Times New Roman" w:hAnsi="Times New Roman" w:eastAsia="宋体" w:cs="Times New Roman"/>
                      <w:kern w:val="28"/>
                    </w:rPr>
                  </w:pPr>
                  <w:r>
                    <w:rPr>
                      <w:rFonts w:ascii="Times New Roman" w:hAnsi="Times New Roman" w:eastAsia="宋体" w:cs="Times New Roman"/>
                      <w:kern w:val="28"/>
                    </w:rPr>
                    <w:t>8</w:t>
                  </w:r>
                </w:p>
              </w:tc>
              <w:tc>
                <w:tcPr>
                  <w:tcW w:w="1215" w:type="pct"/>
                  <w:vAlign w:val="center"/>
                </w:tcPr>
                <w:p w14:paraId="0BC60889">
                  <w:pPr>
                    <w:jc w:val="center"/>
                    <w:rPr>
                      <w:rFonts w:ascii="Times New Roman" w:hAnsi="Times New Roman" w:eastAsia="宋体" w:cs="Times New Roman"/>
                      <w:kern w:val="28"/>
                    </w:rPr>
                  </w:pPr>
                  <w:r>
                    <w:rPr>
                      <w:rFonts w:ascii="Times New Roman" w:hAnsi="Times New Roman" w:eastAsia="宋体" w:cs="Times New Roman"/>
                      <w:kern w:val="28"/>
                    </w:rPr>
                    <w:t>人员紧急撤离、疏散，应急剂量控制、撤离组织计划</w:t>
                  </w:r>
                </w:p>
              </w:tc>
              <w:tc>
                <w:tcPr>
                  <w:tcW w:w="3372" w:type="pct"/>
                  <w:vAlign w:val="center"/>
                </w:tcPr>
                <w:p w14:paraId="47421BFA">
                  <w:pPr>
                    <w:rPr>
                      <w:rFonts w:ascii="Times New Roman" w:hAnsi="Times New Roman" w:eastAsia="宋体" w:cs="Times New Roman"/>
                      <w:kern w:val="28"/>
                    </w:rPr>
                  </w:pPr>
                  <w:r>
                    <w:rPr>
                      <w:rFonts w:ascii="Times New Roman" w:hAnsi="Times New Roman" w:eastAsia="宋体" w:cs="Times New Roman"/>
                      <w:kern w:val="28"/>
                    </w:rPr>
                    <w:t>事故现场、项目邻近区、</w:t>
                  </w:r>
                  <w:r>
                    <w:rPr>
                      <w:rFonts w:hint="eastAsia" w:ascii="Times New Roman" w:hAnsi="Times New Roman" w:eastAsia="宋体" w:cs="Times New Roman"/>
                      <w:kern w:val="28"/>
                    </w:rPr>
                    <w:t>庞沟</w:t>
                  </w:r>
                  <w:r>
                    <w:rPr>
                      <w:rFonts w:ascii="Times New Roman" w:hAnsi="Times New Roman" w:eastAsia="宋体" w:cs="Times New Roman"/>
                      <w:kern w:val="28"/>
                    </w:rPr>
                    <w:t>水质控制规定</w:t>
                  </w:r>
                </w:p>
              </w:tc>
            </w:tr>
            <w:tr w14:paraId="6C8B80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5B1A9CF1">
                  <w:pPr>
                    <w:jc w:val="center"/>
                    <w:rPr>
                      <w:rFonts w:ascii="Times New Roman" w:hAnsi="Times New Roman" w:eastAsia="宋体" w:cs="Times New Roman"/>
                      <w:kern w:val="28"/>
                    </w:rPr>
                  </w:pPr>
                  <w:r>
                    <w:rPr>
                      <w:rFonts w:ascii="Times New Roman" w:hAnsi="Times New Roman" w:eastAsia="宋体" w:cs="Times New Roman"/>
                      <w:kern w:val="28"/>
                    </w:rPr>
                    <w:t>9</w:t>
                  </w:r>
                </w:p>
              </w:tc>
              <w:tc>
                <w:tcPr>
                  <w:tcW w:w="1215" w:type="pct"/>
                  <w:vAlign w:val="center"/>
                </w:tcPr>
                <w:p w14:paraId="2703C02A">
                  <w:pPr>
                    <w:jc w:val="center"/>
                    <w:rPr>
                      <w:rFonts w:ascii="Times New Roman" w:hAnsi="Times New Roman" w:eastAsia="宋体" w:cs="Times New Roman"/>
                      <w:kern w:val="28"/>
                    </w:rPr>
                  </w:pPr>
                  <w:r>
                    <w:rPr>
                      <w:rFonts w:ascii="Times New Roman" w:hAnsi="Times New Roman" w:eastAsia="宋体" w:cs="Times New Roman"/>
                      <w:kern w:val="28"/>
                    </w:rPr>
                    <w:t>事故应急救援关闭程序与恢复措施</w:t>
                  </w:r>
                </w:p>
              </w:tc>
              <w:tc>
                <w:tcPr>
                  <w:tcW w:w="3372" w:type="pct"/>
                  <w:vAlign w:val="center"/>
                </w:tcPr>
                <w:p w14:paraId="55EFD356">
                  <w:pPr>
                    <w:rPr>
                      <w:rFonts w:ascii="Times New Roman" w:hAnsi="Times New Roman" w:eastAsia="宋体" w:cs="Times New Roman"/>
                      <w:kern w:val="28"/>
                    </w:rPr>
                  </w:pPr>
                  <w:r>
                    <w:rPr>
                      <w:rFonts w:ascii="Times New Roman" w:hAnsi="Times New Roman" w:eastAsia="宋体" w:cs="Times New Roman"/>
                      <w:kern w:val="28"/>
                    </w:rPr>
                    <w:t>规定应急状态终止程序事故现场善后处理，恢复措施邻近区域解除事故警戒及善后恢复措施</w:t>
                  </w:r>
                </w:p>
              </w:tc>
            </w:tr>
            <w:tr w14:paraId="220378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3EC9DA6A">
                  <w:pPr>
                    <w:jc w:val="center"/>
                    <w:rPr>
                      <w:rFonts w:ascii="Times New Roman" w:hAnsi="Times New Roman" w:eastAsia="宋体" w:cs="Times New Roman"/>
                      <w:kern w:val="28"/>
                    </w:rPr>
                  </w:pPr>
                  <w:r>
                    <w:rPr>
                      <w:rFonts w:ascii="Times New Roman" w:hAnsi="Times New Roman" w:eastAsia="宋体" w:cs="Times New Roman"/>
                      <w:kern w:val="28"/>
                    </w:rPr>
                    <w:t>10</w:t>
                  </w:r>
                </w:p>
              </w:tc>
              <w:tc>
                <w:tcPr>
                  <w:tcW w:w="1215" w:type="pct"/>
                  <w:vAlign w:val="center"/>
                </w:tcPr>
                <w:p w14:paraId="60CCFD08">
                  <w:pPr>
                    <w:jc w:val="center"/>
                    <w:rPr>
                      <w:rFonts w:ascii="Times New Roman" w:hAnsi="Times New Roman" w:eastAsia="宋体" w:cs="Times New Roman"/>
                      <w:kern w:val="28"/>
                    </w:rPr>
                  </w:pPr>
                  <w:r>
                    <w:rPr>
                      <w:rFonts w:ascii="Times New Roman" w:hAnsi="Times New Roman" w:eastAsia="宋体" w:cs="Times New Roman"/>
                      <w:kern w:val="28"/>
                    </w:rPr>
                    <w:t>应急培训计划</w:t>
                  </w:r>
                </w:p>
              </w:tc>
              <w:tc>
                <w:tcPr>
                  <w:tcW w:w="3372" w:type="pct"/>
                  <w:vAlign w:val="center"/>
                </w:tcPr>
                <w:p w14:paraId="331404A8">
                  <w:pPr>
                    <w:rPr>
                      <w:rFonts w:ascii="Times New Roman" w:hAnsi="Times New Roman" w:eastAsia="宋体" w:cs="Times New Roman"/>
                      <w:kern w:val="28"/>
                    </w:rPr>
                  </w:pPr>
                  <w:r>
                    <w:rPr>
                      <w:rFonts w:ascii="Times New Roman" w:hAnsi="Times New Roman" w:eastAsia="宋体" w:cs="Times New Roman"/>
                      <w:kern w:val="28"/>
                    </w:rPr>
                    <w:t>应急计划制定后，平时安排人员培训与演练</w:t>
                  </w:r>
                </w:p>
              </w:tc>
            </w:tr>
            <w:tr w14:paraId="1DA19D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413" w:type="pct"/>
                  <w:vAlign w:val="center"/>
                </w:tcPr>
                <w:p w14:paraId="7A2BD314">
                  <w:pPr>
                    <w:jc w:val="center"/>
                    <w:rPr>
                      <w:rFonts w:ascii="Times New Roman" w:hAnsi="Times New Roman" w:eastAsia="宋体" w:cs="Times New Roman"/>
                      <w:kern w:val="28"/>
                    </w:rPr>
                  </w:pPr>
                  <w:r>
                    <w:rPr>
                      <w:rFonts w:ascii="Times New Roman" w:hAnsi="Times New Roman" w:eastAsia="宋体" w:cs="Times New Roman"/>
                      <w:kern w:val="28"/>
                    </w:rPr>
                    <w:t>11</w:t>
                  </w:r>
                </w:p>
              </w:tc>
              <w:tc>
                <w:tcPr>
                  <w:tcW w:w="1215" w:type="pct"/>
                  <w:vAlign w:val="center"/>
                </w:tcPr>
                <w:p w14:paraId="7E4D98AD">
                  <w:pPr>
                    <w:jc w:val="center"/>
                    <w:rPr>
                      <w:rFonts w:ascii="Times New Roman" w:hAnsi="Times New Roman" w:eastAsia="宋体" w:cs="Times New Roman"/>
                      <w:kern w:val="28"/>
                    </w:rPr>
                  </w:pPr>
                  <w:r>
                    <w:rPr>
                      <w:rFonts w:ascii="Times New Roman" w:hAnsi="Times New Roman" w:eastAsia="宋体" w:cs="Times New Roman"/>
                      <w:kern w:val="28"/>
                    </w:rPr>
                    <w:t>公众教育和信息</w:t>
                  </w:r>
                </w:p>
              </w:tc>
              <w:tc>
                <w:tcPr>
                  <w:tcW w:w="3372" w:type="pct"/>
                  <w:vAlign w:val="center"/>
                </w:tcPr>
                <w:p w14:paraId="01E73324">
                  <w:pPr>
                    <w:rPr>
                      <w:rFonts w:ascii="Times New Roman" w:hAnsi="Times New Roman" w:eastAsia="宋体" w:cs="Times New Roman"/>
                      <w:kern w:val="28"/>
                    </w:rPr>
                  </w:pPr>
                  <w:r>
                    <w:rPr>
                      <w:rFonts w:ascii="Times New Roman" w:hAnsi="Times New Roman" w:eastAsia="宋体" w:cs="Times New Roman"/>
                      <w:kern w:val="28"/>
                    </w:rPr>
                    <w:t>对项目邻近地区开展公众教育、培训和发布有关信息</w:t>
                  </w:r>
                </w:p>
              </w:tc>
            </w:tr>
            <w:tr w14:paraId="4B8FC4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13" w:type="pct"/>
                  <w:vAlign w:val="center"/>
                </w:tcPr>
                <w:p w14:paraId="5C16E066">
                  <w:pPr>
                    <w:jc w:val="center"/>
                    <w:rPr>
                      <w:rFonts w:ascii="Times New Roman" w:hAnsi="Times New Roman" w:eastAsia="宋体" w:cs="Times New Roman"/>
                      <w:kern w:val="28"/>
                    </w:rPr>
                  </w:pPr>
                  <w:r>
                    <w:rPr>
                      <w:rFonts w:ascii="Times New Roman" w:hAnsi="Times New Roman" w:eastAsia="宋体" w:cs="Times New Roman"/>
                      <w:kern w:val="28"/>
                    </w:rPr>
                    <w:t>12</w:t>
                  </w:r>
                </w:p>
              </w:tc>
              <w:tc>
                <w:tcPr>
                  <w:tcW w:w="1215" w:type="pct"/>
                  <w:vAlign w:val="center"/>
                </w:tcPr>
                <w:p w14:paraId="74AB83DD">
                  <w:pPr>
                    <w:jc w:val="center"/>
                    <w:rPr>
                      <w:rFonts w:ascii="Times New Roman" w:hAnsi="Times New Roman" w:eastAsia="宋体" w:cs="Times New Roman"/>
                      <w:kern w:val="28"/>
                    </w:rPr>
                  </w:pPr>
                  <w:r>
                    <w:rPr>
                      <w:rFonts w:ascii="Times New Roman" w:hAnsi="Times New Roman" w:eastAsia="宋体" w:cs="Times New Roman"/>
                      <w:kern w:val="28"/>
                    </w:rPr>
                    <w:t>记录和报告</w:t>
                  </w:r>
                </w:p>
              </w:tc>
              <w:tc>
                <w:tcPr>
                  <w:tcW w:w="3372" w:type="pct"/>
                  <w:vAlign w:val="center"/>
                </w:tcPr>
                <w:p w14:paraId="72EEBB2E">
                  <w:pPr>
                    <w:rPr>
                      <w:rFonts w:ascii="Times New Roman" w:hAnsi="Times New Roman" w:eastAsia="宋体" w:cs="Times New Roman"/>
                      <w:kern w:val="28"/>
                    </w:rPr>
                  </w:pPr>
                  <w:r>
                    <w:rPr>
                      <w:rFonts w:ascii="Times New Roman" w:hAnsi="Times New Roman" w:eastAsia="宋体" w:cs="Times New Roman"/>
                      <w:kern w:val="28"/>
                    </w:rPr>
                    <w:t>设置环境风险事故应急处置记录，建立档案和报告制度，设专门人员负责管理。</w:t>
                  </w:r>
                </w:p>
              </w:tc>
            </w:tr>
            <w:tr w14:paraId="31E0CA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13" w:type="pct"/>
                  <w:vAlign w:val="center"/>
                </w:tcPr>
                <w:p w14:paraId="656BA4A7">
                  <w:pPr>
                    <w:jc w:val="center"/>
                    <w:rPr>
                      <w:rFonts w:ascii="Times New Roman" w:hAnsi="Times New Roman" w:eastAsia="宋体" w:cs="Times New Roman"/>
                      <w:kern w:val="28"/>
                    </w:rPr>
                  </w:pPr>
                  <w:r>
                    <w:rPr>
                      <w:rFonts w:ascii="Times New Roman" w:hAnsi="Times New Roman" w:eastAsia="宋体" w:cs="Times New Roman"/>
                      <w:kern w:val="28"/>
                    </w:rPr>
                    <w:t>13</w:t>
                  </w:r>
                </w:p>
              </w:tc>
              <w:tc>
                <w:tcPr>
                  <w:tcW w:w="1215" w:type="pct"/>
                  <w:vAlign w:val="center"/>
                </w:tcPr>
                <w:p w14:paraId="6D988836">
                  <w:pPr>
                    <w:jc w:val="center"/>
                    <w:rPr>
                      <w:rFonts w:ascii="Times New Roman" w:hAnsi="Times New Roman" w:eastAsia="宋体" w:cs="Times New Roman"/>
                      <w:kern w:val="28"/>
                    </w:rPr>
                  </w:pPr>
                  <w:r>
                    <w:rPr>
                      <w:rFonts w:ascii="Times New Roman" w:hAnsi="Times New Roman" w:eastAsia="宋体" w:cs="Times New Roman"/>
                      <w:kern w:val="28"/>
                    </w:rPr>
                    <w:t>附件</w:t>
                  </w:r>
                </w:p>
              </w:tc>
              <w:tc>
                <w:tcPr>
                  <w:tcW w:w="3372" w:type="pct"/>
                  <w:vAlign w:val="center"/>
                </w:tcPr>
                <w:p w14:paraId="0FAE6EE4">
                  <w:pPr>
                    <w:rPr>
                      <w:rFonts w:ascii="Times New Roman" w:hAnsi="Times New Roman" w:eastAsia="宋体" w:cs="Times New Roman"/>
                      <w:kern w:val="28"/>
                    </w:rPr>
                  </w:pPr>
                  <w:r>
                    <w:rPr>
                      <w:rFonts w:ascii="Times New Roman" w:hAnsi="Times New Roman" w:eastAsia="宋体" w:cs="Times New Roman"/>
                      <w:kern w:val="28"/>
                    </w:rPr>
                    <w:t>拟建主要负责人联系方式、主要医院联系方式、平面布置图纸、基建图、管线布置图、环保、安监和消防部门联系方式。</w:t>
                  </w:r>
                </w:p>
              </w:tc>
            </w:tr>
          </w:tbl>
          <w:p w14:paraId="17BC5757">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（1）应急组织机构、人员</w:t>
            </w:r>
          </w:p>
          <w:p w14:paraId="2F6F66C5">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本公司应设立事故应急指挥部，指挥由总经理担任。指挥部下按各自职责设立应急防治小组：清污组、通信组、工艺组、警戒组、物资供应组、现场救护组、设备保障组、防火组、污染处理组。</w:t>
            </w:r>
          </w:p>
          <w:p w14:paraId="5FC655F4">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应急指挥部主要职责：组织制定、审批并发布应急预案；组织指挥污染的控制与清除；审核和批准使用清污技术和设备；下达预案实施命令，向上级部门汇报情况，和有关单位保持联系；发生较大规模事故时，做出请求乐山市协助的决策；及时组织消防力量，防止沼气系统爆炸火灾的发生；及时安排人员，进行现场医疗救护；组织培训和演习；安排人员对设备进行维护保养；及时组织应急预案的修订。</w:t>
            </w:r>
          </w:p>
          <w:p w14:paraId="56DC48EE">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（2）预案分级响应条件</w:t>
            </w:r>
          </w:p>
          <w:p w14:paraId="5BE6C3C0">
            <w:pPr>
              <w:spacing w:line="480" w:lineRule="exact"/>
              <w:ind w:firstLine="480" w:firstLineChars="200"/>
              <w:rPr>
                <w:rFonts w:ascii="Times New Roman" w:hAnsi="Times New Roman" w:eastAsia="宋体" w:cs="Times New Roman"/>
                <w:b/>
                <w:sz w:val="24"/>
                <w:szCs w:val="24"/>
              </w:rPr>
            </w:pPr>
            <w:r>
              <w:rPr>
                <w:rFonts w:ascii="Times New Roman" w:hAnsi="Times New Roman" w:eastAsia="宋体" w:cs="Times New Roman"/>
                <w:sz w:val="24"/>
                <w:szCs w:val="24"/>
              </w:rPr>
              <w:t>本预案适用于应急处理本厂</w:t>
            </w:r>
            <w:r>
              <w:rPr>
                <w:rFonts w:hint="eastAsia" w:ascii="Times New Roman" w:hAnsi="Times New Roman" w:eastAsia="宋体" w:cs="Times New Roman"/>
                <w:sz w:val="24"/>
                <w:szCs w:val="24"/>
              </w:rPr>
              <w:t>危险化学品、</w:t>
            </w:r>
            <w:r>
              <w:rPr>
                <w:rFonts w:ascii="Times New Roman" w:hAnsi="Times New Roman" w:eastAsia="宋体" w:cs="Times New Roman"/>
                <w:sz w:val="24"/>
                <w:szCs w:val="24"/>
              </w:rPr>
              <w:t>废水泄漏事故，能在短时间内控制、清除污染的设备和能力</w:t>
            </w:r>
            <w:r>
              <w:rPr>
                <w:rFonts w:ascii="Times New Roman" w:hAnsi="Times New Roman" w:eastAsia="宋体" w:cs="Times New Roman"/>
                <w:b/>
                <w:sz w:val="24"/>
                <w:szCs w:val="24"/>
              </w:rPr>
              <w:t>。</w:t>
            </w:r>
          </w:p>
          <w:p w14:paraId="3EF08F2A">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（3）应急防治设备</w:t>
            </w:r>
          </w:p>
          <w:p w14:paraId="2DB1261C">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按要求配备必要的防护用具，如防毒面具，氧气呼吸器和其它安全用具，以便发生事故时可及时进入现场，及时处理事故。</w:t>
            </w:r>
          </w:p>
          <w:p w14:paraId="000FD093">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（4）报警、通讯联络方式</w:t>
            </w:r>
          </w:p>
          <w:p w14:paraId="79C1470E">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应制定应急联系体系，明确具体联系人员、联系电话。任何部门和岗位人员，发现废水事故应立即向应急指挥部报告。现场的组织指挥人员应将详细情况及时向应急指挥部报告。当发生大规模事故时，应急指挥部应及时将事故情况向上级有关部门和当地环保局报告或通报。</w:t>
            </w:r>
          </w:p>
          <w:p w14:paraId="06CFD203">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（5）应急反应行动程序</w:t>
            </w:r>
          </w:p>
          <w:p w14:paraId="6DB869D2">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收集必要信息：目击时间、位置、泄漏源、泄漏原因、数量以及进一步泄漏的可能性，已采取和即将采取的清除污染或防止进一步污染的行动、报告人的姓名和联系办法。</w:t>
            </w:r>
          </w:p>
          <w:p w14:paraId="56C087FC">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对事故进行初步评估，确定应急等级；制定应急反应对策和行动方案（包括信息发布和区域协作等）；指派指挥人员赴现场；通知各防治小组做好准备。</w:t>
            </w:r>
          </w:p>
          <w:p w14:paraId="332DC190">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采取的行动：发出事故报警或紧急通报，用电话和传真通知有关政府部门和企业；向上级或有关部门报告；起草泄漏影响范围情况报告；安排后勤保障；估计废水扩散流动方向；判别受威胁的敏感水域；通知可能受威胁的用水单位。</w:t>
            </w:r>
          </w:p>
          <w:p w14:paraId="7D67842E">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执行清除作业；指定人员做好相关记录；适时发布终止作业的命令和解除警报。</w:t>
            </w:r>
          </w:p>
          <w:p w14:paraId="0746D4DF">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（6）应急关闭程序</w:t>
            </w:r>
          </w:p>
          <w:p w14:paraId="436121BD">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符合下列条件之一的，终止应急行动：事件现场得到控制，事件条件已经消除；污染源的泄漏或释放已降至规定限值以内；事件所造成的危害已被彻底消除，无续发可能；事件现场的各种专业应急处置行动已无继续的必要；采取了必要的防护措施已能保证公众免受再次危害，并使事件可能引起的中长期影响趋于合理且尽量低的水平。</w:t>
            </w:r>
          </w:p>
          <w:p w14:paraId="00582861">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（7）应急培训计划</w:t>
            </w:r>
          </w:p>
          <w:p w14:paraId="5111C71C">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为了确保应急计划的有效性和可操作性，必须预先对计划中所涉及的人员、设备器材进行训练和护保养，使参加应急行动的每人都能做到应知应会、熟练掌握。</w:t>
            </w:r>
          </w:p>
          <w:p w14:paraId="32106E04">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每年定期组织应急人员培训，使受培训人员能掌握使用和维护、保养各种应急设备和器材，并具有在指挥人员指导下完成应急反应的能力。</w:t>
            </w:r>
          </w:p>
          <w:p w14:paraId="3B596672">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每1～2年进行一次应急演习，在模拟的事故状态下，检查应急机构，应急队伍，应急设备和器材，应急通讯等各方面的实战能力。通过演习，发现工作中薄弱环节，并修改、完善应急计划。演习分室内演习和现场实地模拟事故演习。</w:t>
            </w:r>
          </w:p>
          <w:p w14:paraId="6FBBF8D4">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（8）结论</w:t>
            </w:r>
          </w:p>
          <w:p w14:paraId="1945DFEB">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经识别，本项目主要环境风险为项目厂区</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szCs w:val="24"/>
              </w:rPr>
              <w:t>发生事故及危险物质泄露等，化学品泄漏等对人体健康产生危害。建设单位应通过实施各项防范措施和应急措施，防范风险事故发生。综上所述，本项目的环境风险防范措施合理可行，风险水平属于可以接受的范畴。</w:t>
            </w:r>
          </w:p>
          <w:p w14:paraId="28ABFA70">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表7-26  建设项目环境风险简单分析内容表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696"/>
              <w:gridCol w:w="1433"/>
              <w:gridCol w:w="1113"/>
              <w:gridCol w:w="989"/>
              <w:gridCol w:w="1499"/>
            </w:tblGrid>
            <w:tr w14:paraId="534A0A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937" w:type="pct"/>
                  <w:vAlign w:val="center"/>
                </w:tcPr>
                <w:p w14:paraId="68B359C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建设项目名称</w:t>
                  </w:r>
                </w:p>
              </w:tc>
              <w:tc>
                <w:tcPr>
                  <w:tcW w:w="4063" w:type="pct"/>
                  <w:gridSpan w:val="5"/>
                  <w:vAlign w:val="center"/>
                </w:tcPr>
                <w:p w14:paraId="4387FEE2">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bCs/>
                    </w:rPr>
                    <w:t>乐山艺源有机硅材料有限公司硅粉加工技改项目</w:t>
                  </w:r>
                </w:p>
              </w:tc>
            </w:tr>
            <w:tr w14:paraId="4F773C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5A9121D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建设地点</w:t>
                  </w:r>
                </w:p>
              </w:tc>
              <w:tc>
                <w:tcPr>
                  <w:tcW w:w="1024" w:type="pct"/>
                  <w:vAlign w:val="center"/>
                </w:tcPr>
                <w:p w14:paraId="0CCC6B2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四川省</w:t>
                  </w:r>
                </w:p>
              </w:tc>
              <w:tc>
                <w:tcPr>
                  <w:tcW w:w="865" w:type="pct"/>
                  <w:vAlign w:val="center"/>
                </w:tcPr>
                <w:p w14:paraId="1938AC6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乐山市</w:t>
                  </w:r>
                </w:p>
              </w:tc>
              <w:tc>
                <w:tcPr>
                  <w:tcW w:w="672" w:type="pct"/>
                  <w:vAlign w:val="center"/>
                </w:tcPr>
                <w:p w14:paraId="2E3A224A">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峨边彝族自治县</w:t>
                  </w:r>
                </w:p>
              </w:tc>
              <w:tc>
                <w:tcPr>
                  <w:tcW w:w="597" w:type="pct"/>
                  <w:vAlign w:val="center"/>
                </w:tcPr>
                <w:p w14:paraId="07423FF0">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庞沟村</w:t>
                  </w:r>
                </w:p>
              </w:tc>
              <w:tc>
                <w:tcPr>
                  <w:tcW w:w="905" w:type="pct"/>
                  <w:vAlign w:val="center"/>
                </w:tcPr>
                <w:p w14:paraId="139B7F81">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新场工业园区</w:t>
                  </w:r>
                </w:p>
              </w:tc>
            </w:tr>
            <w:tr w14:paraId="1AD797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2C671C0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地理坐标</w:t>
                  </w:r>
                </w:p>
              </w:tc>
              <w:tc>
                <w:tcPr>
                  <w:tcW w:w="1024" w:type="pct"/>
                  <w:vAlign w:val="center"/>
                </w:tcPr>
                <w:p w14:paraId="0AAA999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经度</w:t>
                  </w:r>
                </w:p>
              </w:tc>
              <w:tc>
                <w:tcPr>
                  <w:tcW w:w="865" w:type="pct"/>
                  <w:vAlign w:val="center"/>
                </w:tcPr>
                <w:p w14:paraId="4DD35BB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4"/>
                    </w:rPr>
                    <w:t>103.2732°</w:t>
                  </w:r>
                </w:p>
              </w:tc>
              <w:tc>
                <w:tcPr>
                  <w:tcW w:w="672" w:type="pct"/>
                  <w:vAlign w:val="center"/>
                </w:tcPr>
                <w:p w14:paraId="40738E12">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纬度</w:t>
                  </w:r>
                </w:p>
              </w:tc>
              <w:tc>
                <w:tcPr>
                  <w:tcW w:w="1502" w:type="pct"/>
                  <w:gridSpan w:val="2"/>
                  <w:vAlign w:val="center"/>
                </w:tcPr>
                <w:p w14:paraId="2C1E20A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4"/>
                    </w:rPr>
                    <w:t>29.3078°</w:t>
                  </w:r>
                </w:p>
              </w:tc>
            </w:tr>
            <w:tr w14:paraId="40F00D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5BEAA48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主要危险物质及分布</w:t>
                  </w:r>
                </w:p>
              </w:tc>
              <w:tc>
                <w:tcPr>
                  <w:tcW w:w="4063" w:type="pct"/>
                  <w:gridSpan w:val="5"/>
                  <w:vAlign w:val="center"/>
                </w:tcPr>
                <w:p w14:paraId="53B77AD5">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危险化学品泄漏、废水事故排放、</w:t>
                  </w:r>
                  <w:r>
                    <w:rPr>
                      <w:rFonts w:ascii="Times New Roman" w:hAnsi="Times New Roman" w:eastAsia="宋体" w:cs="Times New Roman"/>
                      <w:kern w:val="0"/>
                      <w:szCs w:val="21"/>
                    </w:rPr>
                    <w:t>设备故障</w:t>
                  </w:r>
                  <w:r>
                    <w:rPr>
                      <w:rFonts w:hint="eastAsia" w:ascii="Times New Roman" w:hAnsi="Times New Roman" w:eastAsia="宋体" w:cs="Times New Roman"/>
                      <w:kern w:val="0"/>
                      <w:szCs w:val="21"/>
                    </w:rPr>
                    <w:t>、</w:t>
                  </w:r>
                  <w:r>
                    <w:rPr>
                      <w:rFonts w:ascii="Times New Roman" w:hAnsi="Times New Roman" w:eastAsia="宋体" w:cs="Times New Roman"/>
                      <w:kern w:val="0"/>
                      <w:szCs w:val="21"/>
                    </w:rPr>
                    <w:t>火灾</w:t>
                  </w:r>
                  <w:r>
                    <w:rPr>
                      <w:rFonts w:hint="eastAsia" w:ascii="Times New Roman" w:hAnsi="Times New Roman" w:eastAsia="宋体" w:cs="Times New Roman"/>
                      <w:kern w:val="0"/>
                      <w:szCs w:val="21"/>
                    </w:rPr>
                    <w:t>等</w:t>
                  </w:r>
                </w:p>
              </w:tc>
            </w:tr>
            <w:tr w14:paraId="401C65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543F01F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环境影响途径及危害后果</w:t>
                  </w:r>
                </w:p>
              </w:tc>
              <w:tc>
                <w:tcPr>
                  <w:tcW w:w="4063" w:type="pct"/>
                  <w:gridSpan w:val="5"/>
                  <w:vAlign w:val="center"/>
                </w:tcPr>
                <w:p w14:paraId="103AF02B">
                  <w:pPr>
                    <w:adjustRightInd w:val="0"/>
                    <w:snapToGrid w:val="0"/>
                    <w:spacing w:line="320" w:lineRule="exact"/>
                    <w:jc w:val="left"/>
                    <w:rPr>
                      <w:rFonts w:ascii="Times New Roman" w:hAnsi="Times New Roman" w:eastAsia="宋体" w:cs="Times New Roman"/>
                      <w:szCs w:val="21"/>
                    </w:rPr>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1 \* GB3</w:instrText>
                  </w:r>
                  <w:r>
                    <w:rPr>
                      <w:rFonts w:ascii="Times New Roman" w:hAnsi="Times New Roman" w:eastAsia="宋体" w:cs="Times New Roman"/>
                      <w:szCs w:val="21"/>
                    </w:rPr>
                    <w:fldChar w:fldCharType="separate"/>
                  </w:r>
                  <w:r>
                    <w:rPr>
                      <w:rFonts w:hint="eastAsia" w:ascii="宋体" w:hAnsi="宋体" w:eastAsia="宋体" w:cs="宋体"/>
                      <w:szCs w:val="21"/>
                    </w:rPr>
                    <w:t>①</w:t>
                  </w:r>
                  <w:r>
                    <w:rPr>
                      <w:rFonts w:ascii="Times New Roman" w:hAnsi="Times New Roman" w:eastAsia="宋体" w:cs="Times New Roman"/>
                      <w:szCs w:val="21"/>
                    </w:rPr>
                    <w:fldChar w:fldCharType="end"/>
                  </w:r>
                  <w:r>
                    <w:rPr>
                      <w:rFonts w:ascii="Times New Roman" w:hAnsi="Times New Roman" w:eastAsia="宋体" w:cs="Times New Roman"/>
                      <w:szCs w:val="21"/>
                    </w:rPr>
                    <w:t>大气：火灾对大气污染。</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2 \* GB3</w:instrText>
                  </w:r>
                  <w:r>
                    <w:rPr>
                      <w:rFonts w:ascii="Times New Roman" w:hAnsi="Times New Roman" w:eastAsia="宋体" w:cs="Times New Roman"/>
                      <w:szCs w:val="21"/>
                    </w:rPr>
                    <w:fldChar w:fldCharType="separate"/>
                  </w:r>
                  <w:r>
                    <w:rPr>
                      <w:rFonts w:hint="eastAsia" w:ascii="宋体" w:hAnsi="宋体" w:eastAsia="宋体" w:cs="宋体"/>
                      <w:szCs w:val="21"/>
                    </w:rPr>
                    <w:t>②</w:t>
                  </w:r>
                  <w:r>
                    <w:rPr>
                      <w:rFonts w:ascii="Times New Roman" w:hAnsi="Times New Roman" w:eastAsia="宋体" w:cs="Times New Roman"/>
                      <w:szCs w:val="21"/>
                    </w:rPr>
                    <w:fldChar w:fldCharType="end"/>
                  </w:r>
                  <w:r>
                    <w:rPr>
                      <w:rFonts w:ascii="Times New Roman" w:hAnsi="Times New Roman" w:eastAsia="宋体" w:cs="Times New Roman"/>
                      <w:szCs w:val="21"/>
                    </w:rPr>
                    <w:t>地表水、地下水：</w:t>
                  </w:r>
                  <w:r>
                    <w:rPr>
                      <w:rFonts w:hint="eastAsia" w:ascii="Times New Roman" w:hAnsi="Times New Roman" w:eastAsia="宋体" w:cs="Times New Roman"/>
                      <w:szCs w:val="21"/>
                    </w:rPr>
                    <w:t>危险化学品、</w:t>
                  </w:r>
                  <w:r>
                    <w:rPr>
                      <w:rFonts w:ascii="Times New Roman" w:hAnsi="Times New Roman" w:eastAsia="宋体" w:cs="Times New Roman"/>
                      <w:szCs w:val="21"/>
                    </w:rPr>
                    <w:t>废水泄漏进入水体</w:t>
                  </w:r>
                </w:p>
              </w:tc>
            </w:tr>
            <w:tr w14:paraId="791148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1C60961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风险防范措施要求</w:t>
                  </w:r>
                </w:p>
              </w:tc>
              <w:tc>
                <w:tcPr>
                  <w:tcW w:w="4063" w:type="pct"/>
                  <w:gridSpan w:val="5"/>
                  <w:vAlign w:val="center"/>
                </w:tcPr>
                <w:p w14:paraId="406A571B">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t>风险防范措施</w:t>
                  </w:r>
                </w:p>
                <w:p w14:paraId="4A9C787B">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hint="eastAsia" w:ascii="Times New Roman" w:hAnsi="Times New Roman" w:eastAsia="宋体" w:cs="Times New Roman"/>
                      <w:kern w:val="0"/>
                      <w:szCs w:val="21"/>
                    </w:rPr>
                    <w:t>危险化学品、废水泄漏时，能够及时堵漏，防渗、围挡。</w:t>
                  </w:r>
                </w:p>
                <w:p w14:paraId="6FC6E012">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2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②</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电气设备经常检查，厂区内严禁吸烟、用火，车间、仓库内配置的灭火器、消防设施周围严禁对方其它物品，消防器材设备派专人负责管理，定期检查维修，保证完整好用。保持设备的清洁卫生，坚持每月的系统的维护，确保机器设备的正常运作。</w:t>
                  </w:r>
                </w:p>
                <w:p w14:paraId="3B8F0721">
                  <w:pPr>
                    <w:autoSpaceDE w:val="0"/>
                    <w:autoSpaceDN w:val="0"/>
                    <w:adjustRightInd w:val="0"/>
                    <w:rPr>
                      <w:rFonts w:ascii="Times New Roman" w:hAnsi="Times New Roman" w:eastAsia="宋体" w:cs="Times New Roman"/>
                      <w:kern w:val="0"/>
                      <w:szCs w:val="21"/>
                    </w:rPr>
                  </w:pPr>
                  <w:r>
                    <w:rPr>
                      <w:rFonts w:hint="eastAsia" w:ascii="Times New Roman" w:hAnsi="Times New Roman" w:eastAsia="宋体" w:cs="Times New Roman"/>
                      <w:kern w:val="0"/>
                      <w:szCs w:val="21"/>
                    </w:rPr>
                    <w:t>③</w:t>
                  </w:r>
                  <w:r>
                    <w:rPr>
                      <w:rFonts w:ascii="Times New Roman" w:hAnsi="Times New Roman" w:eastAsia="宋体" w:cs="Times New Roman"/>
                      <w:kern w:val="0"/>
                      <w:szCs w:val="21"/>
                    </w:rPr>
                    <w:t>定期对</w:t>
                  </w:r>
                  <w:r>
                    <w:rPr>
                      <w:rFonts w:hint="eastAsia" w:ascii="Times New Roman" w:hAnsi="Times New Roman" w:eastAsia="宋体" w:cs="Times New Roman"/>
                      <w:kern w:val="0"/>
                      <w:szCs w:val="21"/>
                    </w:rPr>
                    <w:t>除尘等环保</w:t>
                  </w:r>
                  <w:r>
                    <w:rPr>
                      <w:rFonts w:ascii="Times New Roman" w:hAnsi="Times New Roman" w:eastAsia="宋体" w:cs="Times New Roman"/>
                      <w:kern w:val="0"/>
                      <w:szCs w:val="21"/>
                    </w:rPr>
                    <w:t>设施进行检查，防治堵塞。定期对</w:t>
                  </w:r>
                  <w:r>
                    <w:rPr>
                      <w:rFonts w:hint="eastAsia" w:ascii="Times New Roman" w:hAnsi="Times New Roman" w:eastAsia="宋体" w:cs="Times New Roman"/>
                      <w:kern w:val="0"/>
                      <w:szCs w:val="21"/>
                    </w:rPr>
                    <w:t>二级生化处理设施</w:t>
                  </w:r>
                  <w:r>
                    <w:rPr>
                      <w:rFonts w:ascii="Times New Roman" w:hAnsi="Times New Roman" w:eastAsia="宋体" w:cs="Times New Roman"/>
                      <w:kern w:val="0"/>
                      <w:szCs w:val="21"/>
                    </w:rPr>
                    <w:t>进行清理，保证</w:t>
                  </w:r>
                  <w:r>
                    <w:rPr>
                      <w:rFonts w:hint="eastAsia" w:ascii="Times New Roman" w:hAnsi="Times New Roman" w:eastAsia="宋体" w:cs="Times New Roman"/>
                      <w:kern w:val="0"/>
                      <w:szCs w:val="21"/>
                    </w:rPr>
                    <w:t>其预处理池</w:t>
                  </w:r>
                  <w:r>
                    <w:rPr>
                      <w:rFonts w:ascii="Times New Roman" w:hAnsi="Times New Roman" w:eastAsia="宋体" w:cs="Times New Roman"/>
                      <w:kern w:val="0"/>
                      <w:szCs w:val="21"/>
                    </w:rPr>
                    <w:t>的有效容积，防治溢流对地表水造成影响。加强管理，及时清理维护保证有效容积。</w:t>
                  </w:r>
                </w:p>
              </w:tc>
            </w:tr>
            <w:tr w14:paraId="145A28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7" w:hRule="atLeast"/>
              </w:trPr>
              <w:tc>
                <w:tcPr>
                  <w:tcW w:w="5000" w:type="pct"/>
                  <w:gridSpan w:val="6"/>
                </w:tcPr>
                <w:p w14:paraId="27206D01">
                  <w:pPr>
                    <w:autoSpaceDE w:val="0"/>
                    <w:autoSpaceDN w:val="0"/>
                    <w:adjustRightInd w:val="0"/>
                    <w:spacing w:line="276" w:lineRule="auto"/>
                    <w:rPr>
                      <w:rFonts w:ascii="Times New Roman" w:hAnsi="Times New Roman" w:eastAsia="宋体" w:cs="Times New Roman"/>
                      <w:kern w:val="0"/>
                      <w:szCs w:val="21"/>
                    </w:rPr>
                  </w:pPr>
                  <w:r>
                    <w:rPr>
                      <w:rFonts w:ascii="Times New Roman" w:hAnsi="Times New Roman" w:eastAsia="宋体" w:cs="Times New Roman"/>
                      <w:kern w:val="0"/>
                      <w:szCs w:val="21"/>
                    </w:rPr>
                    <w:t>填表说明（列出项目相关信息及评价说明）：</w:t>
                  </w:r>
                </w:p>
                <w:p w14:paraId="22027A09">
                  <w:pPr>
                    <w:autoSpaceDE w:val="0"/>
                    <w:autoSpaceDN w:val="0"/>
                    <w:adjustRightInd w:val="0"/>
                    <w:spacing w:line="276" w:lineRule="auto"/>
                    <w:ind w:firstLine="420" w:firstLineChars="200"/>
                    <w:rPr>
                      <w:rFonts w:ascii="Times New Roman" w:hAnsi="Times New Roman" w:eastAsia="宋体" w:cs="Times New Roman"/>
                      <w:kern w:val="0"/>
                      <w:szCs w:val="21"/>
                    </w:rPr>
                  </w:pPr>
                  <w:r>
                    <w:rPr>
                      <w:rFonts w:hint="eastAsia" w:ascii="Times New Roman" w:hAnsi="Times New Roman" w:eastAsia="宋体" w:cs="Times New Roman"/>
                      <w:bCs/>
                    </w:rPr>
                    <w:t>乐山艺源有机硅材料有限公司硅粉加工技改项目</w:t>
                  </w:r>
                  <w:r>
                    <w:rPr>
                      <w:rFonts w:ascii="Times New Roman" w:hAnsi="Times New Roman" w:eastAsia="宋体" w:cs="Times New Roman"/>
                      <w:kern w:val="0"/>
                      <w:szCs w:val="21"/>
                    </w:rPr>
                    <w:t>，占地面积</w:t>
                  </w:r>
                  <w:r>
                    <w:rPr>
                      <w:rFonts w:hint="eastAsia" w:ascii="Times New Roman" w:hAnsi="Times New Roman" w:eastAsia="宋体" w:cs="Times New Roman"/>
                      <w:kern w:val="0"/>
                      <w:szCs w:val="21"/>
                    </w:rPr>
                    <w:t>约1</w:t>
                  </w:r>
                  <w:r>
                    <w:rPr>
                      <w:rFonts w:ascii="Times New Roman" w:hAnsi="Times New Roman" w:eastAsia="宋体" w:cs="Times New Roman"/>
                      <w:kern w:val="0"/>
                      <w:szCs w:val="21"/>
                    </w:rPr>
                    <w:t>7000平方米，改建</w:t>
                  </w:r>
                  <w:r>
                    <w:rPr>
                      <w:rFonts w:hint="eastAsia" w:ascii="Times New Roman" w:hAnsi="Times New Roman" w:eastAsia="宋体" w:cs="Times New Roman"/>
                      <w:kern w:val="0"/>
                      <w:szCs w:val="21"/>
                    </w:rPr>
                    <w:t>2×1500硅粉车间990平方米，综合楼260平方米，硅块中转库1012.5平方米，产品粉散装罐区843.5平方米，机修车间60.225平方米。硅块料仓3台、细碎料仓3台、除尘器料仓3台、电机振动给料3台、颚式破碎机3台、分级机前料仓1台、板链式斗提</w:t>
                  </w:r>
                  <w:r>
                    <w:rPr>
                      <w:rFonts w:hint="eastAsia" w:ascii="Times New Roman" w:hAnsi="Times New Roman" w:eastAsia="宋体" w:cs="Times New Roman"/>
                      <w:kern w:val="0"/>
                      <w:szCs w:val="21"/>
                      <w:lang w:eastAsia="zh-CN"/>
                    </w:rPr>
                    <w:t>机</w:t>
                  </w:r>
                  <w:r>
                    <w:rPr>
                      <w:rFonts w:hint="eastAsia" w:ascii="Times New Roman" w:hAnsi="Times New Roman" w:eastAsia="宋体" w:cs="Times New Roman"/>
                      <w:kern w:val="0"/>
                      <w:szCs w:val="21"/>
                    </w:rPr>
                    <w:t>3台、永磁除铁器3台、轴流风机2台、密封型电机振动给料机3台、DCS控制系统3套等</w:t>
                  </w:r>
                  <w:r>
                    <w:rPr>
                      <w:rFonts w:ascii="Times New Roman" w:hAnsi="Times New Roman" w:eastAsia="宋体" w:cs="Times New Roman"/>
                      <w:kern w:val="0"/>
                      <w:szCs w:val="21"/>
                    </w:rPr>
                    <w:t>。项目实施后达到年加工</w:t>
                  </w:r>
                  <w:r>
                    <w:rPr>
                      <w:rFonts w:hint="eastAsia" w:ascii="Times New Roman" w:hAnsi="Times New Roman" w:eastAsia="宋体" w:cs="Times New Roman"/>
                      <w:kern w:val="0"/>
                      <w:szCs w:val="21"/>
                    </w:rPr>
                    <w:t>硅粉4</w:t>
                  </w:r>
                  <w:r>
                    <w:rPr>
                      <w:rFonts w:ascii="Times New Roman" w:hAnsi="Times New Roman" w:eastAsia="宋体" w:cs="Times New Roman"/>
                      <w:kern w:val="0"/>
                      <w:szCs w:val="21"/>
                    </w:rPr>
                    <w:t>万吨的能力。</w:t>
                  </w:r>
                </w:p>
                <w:p w14:paraId="5410675C">
                  <w:pPr>
                    <w:autoSpaceDE w:val="0"/>
                    <w:autoSpaceDN w:val="0"/>
                    <w:adjustRightInd w:val="0"/>
                    <w:spacing w:line="276" w:lineRule="auto"/>
                    <w:ind w:firstLine="412" w:firstLineChars="200"/>
                    <w:rPr>
                      <w:rFonts w:ascii="Times New Roman" w:hAnsi="Times New Roman" w:eastAsia="宋体" w:cs="Times New Roman"/>
                      <w:spacing w:val="-2"/>
                      <w:szCs w:val="21"/>
                    </w:rPr>
                  </w:pPr>
                  <w:r>
                    <w:rPr>
                      <w:rFonts w:ascii="Times New Roman" w:hAnsi="Times New Roman" w:eastAsia="宋体" w:cs="Times New Roman"/>
                      <w:spacing w:val="-2"/>
                      <w:szCs w:val="21"/>
                    </w:rPr>
                    <w:t>项目环境风险潜势为Ⅰ，评价等级为简单评价。项目生产过程中存在火灾风险及</w:t>
                  </w:r>
                  <w:r>
                    <w:rPr>
                      <w:rFonts w:hint="eastAsia" w:ascii="Times New Roman" w:hAnsi="Times New Roman" w:eastAsia="宋体" w:cs="Times New Roman"/>
                      <w:spacing w:val="-2"/>
                      <w:szCs w:val="21"/>
                    </w:rPr>
                    <w:t>危险化学品泄漏、</w:t>
                  </w:r>
                  <w:r>
                    <w:rPr>
                      <w:rFonts w:ascii="Times New Roman" w:hAnsi="Times New Roman" w:eastAsia="宋体" w:cs="Times New Roman"/>
                      <w:spacing w:val="-2"/>
                      <w:szCs w:val="21"/>
                    </w:rPr>
                    <w:t>废水事故排放等风险。</w:t>
                  </w:r>
                  <w:r>
                    <w:rPr>
                      <w:rFonts w:ascii="Times New Roman" w:hAnsi="Times New Roman" w:eastAsia="宋体" w:cs="Times New Roman"/>
                      <w:kern w:val="28"/>
                      <w:szCs w:val="21"/>
                    </w:rPr>
                    <w:t>建设单位严格实施本报告中各项防范措施和应急措施，防范风险事故发生，风险水平属于可以接受的范畴。</w:t>
                  </w:r>
                </w:p>
              </w:tc>
            </w:tr>
          </w:tbl>
          <w:p w14:paraId="61C48543">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四、环保竣工验收</w:t>
            </w:r>
          </w:p>
          <w:p w14:paraId="4B3954A6">
            <w:pPr>
              <w:pStyle w:val="96"/>
              <w:spacing w:line="480" w:lineRule="exact"/>
              <w:ind w:firstLine="480"/>
              <w:rPr>
                <w:rFonts w:ascii="Times New Roman" w:hAnsi="Times New Roman" w:eastAsia="宋体" w:cs="Times New Roman"/>
                <w:sz w:val="24"/>
                <w:szCs w:val="24"/>
              </w:rPr>
            </w:pPr>
            <w:r>
              <w:rPr>
                <w:rFonts w:ascii="Times New Roman" w:hAnsi="Times New Roman" w:eastAsia="宋体" w:cs="Times New Roman"/>
                <w:sz w:val="24"/>
                <w:szCs w:val="24"/>
              </w:rPr>
              <w:t>根据2017年11月20日环境保护部“关于发布《建设项目竣工环境保护验收暂行办法》的公告”（国环规环评</w:t>
            </w:r>
            <w:r>
              <w:rPr>
                <w:rFonts w:hint="eastAsia" w:ascii="Times New Roman" w:hAnsi="Times New Roman" w:eastAsia="宋体" w:cs="Times New Roman"/>
                <w:sz w:val="24"/>
                <w:szCs w:val="24"/>
                <w:lang w:eastAsia="zh-CN"/>
              </w:rPr>
              <w:t>〔2017〕4号</w:t>
            </w:r>
            <w:r>
              <w:rPr>
                <w:rFonts w:ascii="Times New Roman" w:hAnsi="Times New Roman" w:eastAsia="宋体" w:cs="Times New Roman"/>
                <w:sz w:val="24"/>
                <w:szCs w:val="24"/>
              </w:rPr>
              <w:t>）文相关要求，项目建设单位作为环境保护验收的责任主体，应按照相关规定，自行组织环境保护验收报告，并对验收内容、结论的真实性、准确性和完整性负责，不得在验收过程中弄虚作假，建设单位不具备编制验收监测报告能力的，可以委托有能力的技术机构编制，验收期限一般不超过三个月。项目环境保护“三同时验收”如下表所示。</w:t>
            </w:r>
          </w:p>
          <w:p w14:paraId="71714110">
            <w:pPr>
              <w:widowControl/>
              <w:adjustRightInd w:val="0"/>
              <w:snapToGrid w:val="0"/>
              <w:spacing w:line="480" w:lineRule="exact"/>
              <w:ind w:right="92" w:rightChars="44"/>
              <w:jc w:val="center"/>
              <w:rPr>
                <w:rFonts w:ascii="Times New Roman" w:hAnsi="Times New Roman" w:eastAsia="宋体" w:cs="Times New Roman"/>
                <w:bCs/>
                <w:sz w:val="24"/>
              </w:rPr>
            </w:pPr>
            <w:r>
              <w:rPr>
                <w:rFonts w:ascii="Times New Roman" w:hAnsi="Times New Roman" w:eastAsia="宋体" w:cs="Times New Roman"/>
                <w:bCs/>
                <w:sz w:val="24"/>
              </w:rPr>
              <w:t>表7-27  环保竣工验收一览表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55"/>
              <w:gridCol w:w="1225"/>
              <w:gridCol w:w="2975"/>
              <w:gridCol w:w="704"/>
              <w:gridCol w:w="1945"/>
              <w:gridCol w:w="698"/>
            </w:tblGrid>
            <w:tr w14:paraId="3FF7B6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tcBorders>
                    <w:top w:val="single" w:color="auto" w:sz="12" w:space="0"/>
                    <w:left w:val="single" w:color="auto" w:sz="12" w:space="0"/>
                  </w:tcBorders>
                  <w:vAlign w:val="center"/>
                </w:tcPr>
                <w:p w14:paraId="20D9FE12">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738" w:type="pct"/>
                  <w:tcBorders>
                    <w:top w:val="single" w:color="auto" w:sz="12" w:space="0"/>
                  </w:tcBorders>
                  <w:vAlign w:val="center"/>
                </w:tcPr>
                <w:p w14:paraId="65F4CABC">
                  <w:pPr>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792" w:type="pct"/>
                  <w:tcBorders>
                    <w:top w:val="single" w:color="auto" w:sz="12" w:space="0"/>
                  </w:tcBorders>
                  <w:vAlign w:val="center"/>
                </w:tcPr>
                <w:p w14:paraId="7B127219">
                  <w:pPr>
                    <w:jc w:val="center"/>
                    <w:rPr>
                      <w:rFonts w:ascii="Times New Roman" w:hAnsi="Times New Roman" w:eastAsia="宋体" w:cs="Times New Roman"/>
                      <w:szCs w:val="21"/>
                    </w:rPr>
                  </w:pPr>
                  <w:r>
                    <w:rPr>
                      <w:rFonts w:ascii="Times New Roman" w:hAnsi="Times New Roman" w:eastAsia="宋体" w:cs="Times New Roman"/>
                      <w:szCs w:val="21"/>
                    </w:rPr>
                    <w:t>环保设施</w:t>
                  </w:r>
                </w:p>
              </w:tc>
              <w:tc>
                <w:tcPr>
                  <w:tcW w:w="424" w:type="pct"/>
                  <w:tcBorders>
                    <w:top w:val="single" w:color="auto" w:sz="12" w:space="0"/>
                  </w:tcBorders>
                  <w:vAlign w:val="center"/>
                </w:tcPr>
                <w:p w14:paraId="0DB02731">
                  <w:pPr>
                    <w:jc w:val="center"/>
                    <w:rPr>
                      <w:rFonts w:ascii="Times New Roman" w:hAnsi="Times New Roman" w:eastAsia="宋体" w:cs="Times New Roman"/>
                      <w:szCs w:val="21"/>
                    </w:rPr>
                  </w:pPr>
                  <w:r>
                    <w:rPr>
                      <w:rFonts w:ascii="Times New Roman" w:hAnsi="Times New Roman" w:eastAsia="宋体" w:cs="Times New Roman"/>
                      <w:szCs w:val="21"/>
                    </w:rPr>
                    <w:t>数量</w:t>
                  </w:r>
                </w:p>
              </w:tc>
              <w:tc>
                <w:tcPr>
                  <w:tcW w:w="1171" w:type="pct"/>
                  <w:tcBorders>
                    <w:top w:val="single" w:color="auto" w:sz="12" w:space="0"/>
                  </w:tcBorders>
                  <w:vAlign w:val="center"/>
                </w:tcPr>
                <w:p w14:paraId="39DC2AE3">
                  <w:pPr>
                    <w:jc w:val="center"/>
                    <w:rPr>
                      <w:rFonts w:ascii="Times New Roman" w:hAnsi="Times New Roman" w:eastAsia="宋体" w:cs="Times New Roman"/>
                      <w:szCs w:val="21"/>
                    </w:rPr>
                  </w:pPr>
                  <w:r>
                    <w:rPr>
                      <w:rFonts w:ascii="Times New Roman" w:hAnsi="Times New Roman" w:eastAsia="宋体" w:cs="Times New Roman"/>
                      <w:szCs w:val="21"/>
                    </w:rPr>
                    <w:t>验收标准</w:t>
                  </w:r>
                </w:p>
              </w:tc>
              <w:tc>
                <w:tcPr>
                  <w:tcW w:w="420" w:type="pct"/>
                  <w:tcBorders>
                    <w:top w:val="single" w:color="auto" w:sz="12" w:space="0"/>
                    <w:right w:val="single" w:color="auto" w:sz="12" w:space="0"/>
                  </w:tcBorders>
                  <w:vAlign w:val="center"/>
                </w:tcPr>
                <w:p w14:paraId="4E66271F">
                  <w:pPr>
                    <w:jc w:val="center"/>
                    <w:rPr>
                      <w:rFonts w:ascii="Times New Roman" w:hAnsi="Times New Roman" w:eastAsia="宋体" w:cs="Times New Roman"/>
                      <w:szCs w:val="21"/>
                    </w:rPr>
                  </w:pPr>
                  <w:r>
                    <w:rPr>
                      <w:rFonts w:ascii="Times New Roman" w:hAnsi="Times New Roman" w:eastAsia="宋体" w:cs="Times New Roman"/>
                      <w:szCs w:val="21"/>
                    </w:rPr>
                    <w:t>备注</w:t>
                  </w:r>
                </w:p>
              </w:tc>
            </w:tr>
            <w:tr w14:paraId="3DAA952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restart"/>
                  <w:tcBorders>
                    <w:left w:val="single" w:color="auto" w:sz="12" w:space="0"/>
                  </w:tcBorders>
                  <w:vAlign w:val="center"/>
                </w:tcPr>
                <w:p w14:paraId="1D17242B">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738" w:type="pct"/>
                  <w:vAlign w:val="center"/>
                </w:tcPr>
                <w:p w14:paraId="1BD34F94">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1792" w:type="pct"/>
                  <w:vAlign w:val="center"/>
                </w:tcPr>
                <w:p w14:paraId="14A09EF6">
                  <w:pPr>
                    <w:jc w:val="center"/>
                    <w:rPr>
                      <w:rFonts w:ascii="Times New Roman" w:hAnsi="Times New Roman" w:eastAsia="宋体" w:cs="Times New Roman"/>
                      <w:szCs w:val="21"/>
                    </w:rPr>
                  </w:pPr>
                  <w:r>
                    <w:rPr>
                      <w:rFonts w:hint="eastAsia" w:ascii="Times New Roman" w:hAnsi="Times New Roman" w:eastAsia="宋体" w:cs="Times New Roman"/>
                      <w:szCs w:val="21"/>
                    </w:rPr>
                    <w:t>二级生化处理设施收集处理后回用农肥</w:t>
                  </w:r>
                  <w:r>
                    <w:rPr>
                      <w:rFonts w:ascii="Times New Roman" w:hAnsi="Times New Roman" w:eastAsia="宋体" w:cs="Times New Roman"/>
                      <w:szCs w:val="21"/>
                    </w:rPr>
                    <w:t>。</w:t>
                  </w:r>
                </w:p>
              </w:tc>
              <w:tc>
                <w:tcPr>
                  <w:tcW w:w="424" w:type="pct"/>
                  <w:vAlign w:val="center"/>
                </w:tcPr>
                <w:p w14:paraId="70FEEDB3">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171" w:type="pct"/>
                  <w:vAlign w:val="center"/>
                </w:tcPr>
                <w:p w14:paraId="7EF1DDEA">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420" w:type="pct"/>
                  <w:vMerge w:val="restart"/>
                  <w:tcBorders>
                    <w:right w:val="single" w:color="auto" w:sz="12" w:space="0"/>
                  </w:tcBorders>
                  <w:vAlign w:val="center"/>
                </w:tcPr>
                <w:p w14:paraId="1FDB5DCF">
                  <w:pPr>
                    <w:jc w:val="center"/>
                    <w:rPr>
                      <w:rFonts w:ascii="Times New Roman" w:hAnsi="Times New Roman" w:eastAsia="宋体" w:cs="Times New Roman"/>
                      <w:szCs w:val="21"/>
                    </w:rPr>
                  </w:pPr>
                  <w:r>
                    <w:rPr>
                      <w:rFonts w:ascii="Times New Roman" w:hAnsi="Times New Roman" w:eastAsia="宋体" w:cs="Times New Roman"/>
                      <w:szCs w:val="21"/>
                    </w:rPr>
                    <w:t>与主体工程同时设计、同时施工、同时投产使用</w:t>
                  </w:r>
                </w:p>
              </w:tc>
            </w:tr>
            <w:tr w14:paraId="4E5CD39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5428F9E5">
                  <w:pPr>
                    <w:jc w:val="center"/>
                    <w:rPr>
                      <w:rFonts w:ascii="Times New Roman" w:hAnsi="Times New Roman" w:eastAsia="宋体" w:cs="Times New Roman"/>
                      <w:szCs w:val="21"/>
                    </w:rPr>
                  </w:pPr>
                </w:p>
              </w:tc>
              <w:tc>
                <w:tcPr>
                  <w:tcW w:w="738" w:type="pct"/>
                  <w:vAlign w:val="center"/>
                </w:tcPr>
                <w:p w14:paraId="4307A247">
                  <w:pPr>
                    <w:jc w:val="center"/>
                    <w:rPr>
                      <w:rFonts w:ascii="Times New Roman" w:hAnsi="Times New Roman" w:eastAsia="宋体" w:cs="Times New Roman"/>
                      <w:szCs w:val="21"/>
                    </w:rPr>
                  </w:pPr>
                  <w:r>
                    <w:rPr>
                      <w:rFonts w:ascii="Times New Roman" w:hAnsi="Times New Roman" w:eastAsia="宋体" w:cs="Times New Roman"/>
                      <w:szCs w:val="21"/>
                    </w:rPr>
                    <w:t>生产废水</w:t>
                  </w:r>
                </w:p>
              </w:tc>
              <w:tc>
                <w:tcPr>
                  <w:tcW w:w="1792" w:type="pct"/>
                  <w:vAlign w:val="center"/>
                </w:tcPr>
                <w:p w14:paraId="16E960B3">
                  <w:pPr>
                    <w:jc w:val="center"/>
                    <w:rPr>
                      <w:rFonts w:ascii="Times New Roman" w:hAnsi="Times New Roman" w:eastAsia="宋体" w:cs="Times New Roman"/>
                      <w:szCs w:val="21"/>
                    </w:rPr>
                  </w:pPr>
                  <w:r>
                    <w:rPr>
                      <w:rFonts w:hint="eastAsia" w:ascii="Times New Roman" w:hAnsi="Times New Roman" w:eastAsia="宋体" w:cs="Times New Roman"/>
                      <w:szCs w:val="21"/>
                    </w:rPr>
                    <w:t>轮胎清洗池</w:t>
                  </w:r>
                </w:p>
              </w:tc>
              <w:tc>
                <w:tcPr>
                  <w:tcW w:w="424" w:type="pct"/>
                  <w:vAlign w:val="center"/>
                </w:tcPr>
                <w:p w14:paraId="122F83E1">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171" w:type="pct"/>
                  <w:vAlign w:val="center"/>
                </w:tcPr>
                <w:p w14:paraId="43E301D7">
                  <w:pPr>
                    <w:jc w:val="center"/>
                    <w:rPr>
                      <w:rFonts w:ascii="Times New Roman" w:hAnsi="Times New Roman" w:eastAsia="宋体" w:cs="Times New Roman"/>
                      <w:szCs w:val="21"/>
                    </w:rPr>
                  </w:pPr>
                  <w:r>
                    <w:rPr>
                      <w:rFonts w:hint="eastAsia" w:ascii="Times New Roman" w:hAnsi="Times New Roman" w:eastAsia="宋体" w:cs="Times New Roman"/>
                      <w:szCs w:val="21"/>
                    </w:rPr>
                    <w:t>自然蒸发</w:t>
                  </w:r>
                  <w:r>
                    <w:rPr>
                      <w:rFonts w:ascii="Times New Roman" w:hAnsi="Times New Roman" w:eastAsia="宋体" w:cs="Times New Roman"/>
                      <w:szCs w:val="21"/>
                    </w:rPr>
                    <w:t>，不外排</w:t>
                  </w:r>
                </w:p>
              </w:tc>
              <w:tc>
                <w:tcPr>
                  <w:tcW w:w="420" w:type="pct"/>
                  <w:vMerge w:val="continue"/>
                  <w:tcBorders>
                    <w:right w:val="single" w:color="auto" w:sz="12" w:space="0"/>
                  </w:tcBorders>
                  <w:vAlign w:val="center"/>
                </w:tcPr>
                <w:p w14:paraId="76CA6A4C">
                  <w:pPr>
                    <w:jc w:val="center"/>
                    <w:rPr>
                      <w:rFonts w:ascii="Times New Roman" w:hAnsi="Times New Roman" w:eastAsia="宋体" w:cs="Times New Roman"/>
                      <w:szCs w:val="21"/>
                    </w:rPr>
                  </w:pPr>
                </w:p>
              </w:tc>
            </w:tr>
            <w:tr w14:paraId="6A99134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restart"/>
                  <w:tcBorders>
                    <w:left w:val="single" w:color="auto" w:sz="12" w:space="0"/>
                  </w:tcBorders>
                  <w:vAlign w:val="center"/>
                </w:tcPr>
                <w:p w14:paraId="5A2EADA9">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738" w:type="pct"/>
                  <w:vAlign w:val="center"/>
                </w:tcPr>
                <w:p w14:paraId="4BC909C1">
                  <w:pPr>
                    <w:jc w:val="center"/>
                    <w:rPr>
                      <w:rFonts w:ascii="Times New Roman" w:hAnsi="Times New Roman" w:eastAsia="宋体" w:cs="Times New Roman"/>
                      <w:szCs w:val="21"/>
                    </w:rPr>
                  </w:pPr>
                  <w:r>
                    <w:rPr>
                      <w:rFonts w:hint="eastAsia" w:ascii="Times New Roman" w:hAnsi="Times New Roman" w:eastAsia="宋体" w:cs="Times New Roman"/>
                      <w:szCs w:val="21"/>
                    </w:rPr>
                    <w:t>有组织粉尘</w:t>
                  </w:r>
                </w:p>
              </w:tc>
              <w:tc>
                <w:tcPr>
                  <w:tcW w:w="1792" w:type="pct"/>
                  <w:vAlign w:val="center"/>
                </w:tcPr>
                <w:p w14:paraId="7A881763">
                  <w:pPr>
                    <w:jc w:val="center"/>
                    <w:rPr>
                      <w:rFonts w:ascii="Times New Roman" w:hAnsi="Times New Roman" w:eastAsia="宋体" w:cs="Times New Roman"/>
                      <w:szCs w:val="21"/>
                    </w:rPr>
                  </w:pPr>
                  <w:r>
                    <w:rPr>
                      <w:rFonts w:hint="eastAsia" w:ascii="Times New Roman" w:hAnsi="Times New Roman" w:eastAsia="宋体" w:cs="Times New Roman"/>
                      <w:szCs w:val="21"/>
                    </w:rPr>
                    <w:t>各工段安装集气罩，布置4套脉冲布袋除尘共用一根</w:t>
                  </w:r>
                  <w:r>
                    <w:rPr>
                      <w:rFonts w:ascii="Times New Roman" w:hAnsi="Times New Roman" w:eastAsia="宋体" w:cs="Times New Roman"/>
                      <w:szCs w:val="21"/>
                    </w:rPr>
                    <w:t>15</w:t>
                  </w:r>
                  <w:r>
                    <w:rPr>
                      <w:rFonts w:hint="eastAsia" w:ascii="Times New Roman" w:hAnsi="Times New Roman" w:eastAsia="宋体" w:cs="Times New Roman"/>
                      <w:szCs w:val="21"/>
                    </w:rPr>
                    <w:t>m排气筒</w:t>
                  </w:r>
                </w:p>
              </w:tc>
              <w:tc>
                <w:tcPr>
                  <w:tcW w:w="424" w:type="pct"/>
                  <w:vAlign w:val="center"/>
                </w:tcPr>
                <w:p w14:paraId="51F62ED8">
                  <w:pPr>
                    <w:jc w:val="center"/>
                    <w:rPr>
                      <w:rFonts w:ascii="Times New Roman" w:hAnsi="Times New Roman" w:eastAsia="宋体" w:cs="Times New Roman"/>
                      <w:szCs w:val="21"/>
                    </w:rPr>
                  </w:pPr>
                  <w:r>
                    <w:rPr>
                      <w:rFonts w:ascii="Times New Roman" w:hAnsi="Times New Roman" w:eastAsia="宋体" w:cs="Times New Roman"/>
                      <w:szCs w:val="21"/>
                    </w:rPr>
                    <w:t>4</w:t>
                  </w:r>
                </w:p>
              </w:tc>
              <w:tc>
                <w:tcPr>
                  <w:tcW w:w="1171" w:type="pct"/>
                  <w:vMerge w:val="restart"/>
                  <w:vAlign w:val="center"/>
                </w:tcPr>
                <w:p w14:paraId="6C6FF44D">
                  <w:pPr>
                    <w:jc w:val="center"/>
                    <w:rPr>
                      <w:rFonts w:ascii="Times New Roman" w:hAnsi="Times New Roman" w:eastAsia="宋体" w:cs="Times New Roman"/>
                      <w:szCs w:val="21"/>
                    </w:rPr>
                  </w:pPr>
                  <w:r>
                    <w:rPr>
                      <w:rFonts w:ascii="Times New Roman" w:hAnsi="Times New Roman" w:eastAsia="宋体" w:cs="Times New Roman"/>
                      <w:szCs w:val="21"/>
                    </w:rPr>
                    <w:t>《大气污染物综合排放标准》（GB16297-1996）</w:t>
                  </w:r>
                </w:p>
              </w:tc>
              <w:tc>
                <w:tcPr>
                  <w:tcW w:w="420" w:type="pct"/>
                  <w:vMerge w:val="continue"/>
                  <w:tcBorders>
                    <w:right w:val="single" w:color="auto" w:sz="12" w:space="0"/>
                  </w:tcBorders>
                  <w:vAlign w:val="center"/>
                </w:tcPr>
                <w:p w14:paraId="1DFC1407">
                  <w:pPr>
                    <w:jc w:val="center"/>
                    <w:rPr>
                      <w:rFonts w:ascii="Times New Roman" w:hAnsi="Times New Roman" w:eastAsia="宋体" w:cs="Times New Roman"/>
                      <w:szCs w:val="21"/>
                    </w:rPr>
                  </w:pPr>
                </w:p>
              </w:tc>
            </w:tr>
            <w:tr w14:paraId="70BE98D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0D866B1C">
                  <w:pPr>
                    <w:jc w:val="center"/>
                    <w:rPr>
                      <w:rFonts w:ascii="Times New Roman" w:hAnsi="Times New Roman" w:eastAsia="宋体" w:cs="Times New Roman"/>
                      <w:szCs w:val="21"/>
                    </w:rPr>
                  </w:pPr>
                </w:p>
              </w:tc>
              <w:tc>
                <w:tcPr>
                  <w:tcW w:w="738" w:type="pct"/>
                  <w:vAlign w:val="center"/>
                </w:tcPr>
                <w:p w14:paraId="78C7C77E">
                  <w:pPr>
                    <w:jc w:val="center"/>
                    <w:rPr>
                      <w:rFonts w:ascii="Times New Roman" w:hAnsi="Times New Roman" w:eastAsia="宋体" w:cs="Times New Roman"/>
                      <w:szCs w:val="21"/>
                    </w:rPr>
                  </w:pPr>
                  <w:r>
                    <w:rPr>
                      <w:rFonts w:hint="eastAsia" w:ascii="Times New Roman" w:hAnsi="Times New Roman" w:eastAsia="宋体" w:cs="Times New Roman"/>
                      <w:szCs w:val="21"/>
                    </w:rPr>
                    <w:t>无组织粉尘</w:t>
                  </w:r>
                </w:p>
              </w:tc>
              <w:tc>
                <w:tcPr>
                  <w:tcW w:w="1792" w:type="pct"/>
                  <w:vAlign w:val="center"/>
                </w:tcPr>
                <w:p w14:paraId="233D2110">
                  <w:pPr>
                    <w:jc w:val="center"/>
                    <w:rPr>
                      <w:rFonts w:ascii="Times New Roman" w:hAnsi="Times New Roman" w:eastAsia="宋体" w:cs="Times New Roman"/>
                      <w:kern w:val="0"/>
                      <w:szCs w:val="21"/>
                    </w:rPr>
                  </w:pPr>
                  <w:r>
                    <w:rPr>
                      <w:rFonts w:hint="eastAsia" w:ascii="Times New Roman" w:hAnsi="Times New Roman" w:eastAsia="宋体" w:cs="Times New Roman"/>
                      <w:szCs w:val="21"/>
                    </w:rPr>
                    <w:t>车间密闭</w:t>
                  </w:r>
                  <w:r>
                    <w:rPr>
                      <w:rFonts w:ascii="Times New Roman" w:hAnsi="Times New Roman" w:eastAsia="宋体" w:cs="Times New Roman"/>
                      <w:szCs w:val="21"/>
                    </w:rPr>
                    <w:t>+少量堆存</w:t>
                  </w:r>
                  <w:r>
                    <w:rPr>
                      <w:rFonts w:hint="eastAsia" w:ascii="Times New Roman" w:hAnsi="Times New Roman" w:eastAsia="宋体" w:cs="Times New Roman"/>
                      <w:szCs w:val="21"/>
                    </w:rPr>
                    <w:t>；</w:t>
                  </w:r>
                  <w:r>
                    <w:rPr>
                      <w:rFonts w:ascii="Times New Roman" w:hAnsi="Times New Roman" w:eastAsia="宋体" w:cs="Times New Roman"/>
                      <w:szCs w:val="21"/>
                    </w:rPr>
                    <w:t>轮胎冲洗、</w:t>
                  </w:r>
                  <w:r>
                    <w:rPr>
                      <w:rFonts w:hint="eastAsia" w:ascii="Times New Roman" w:hAnsi="Times New Roman" w:eastAsia="宋体" w:cs="Times New Roman"/>
                      <w:szCs w:val="21"/>
                    </w:rPr>
                    <w:t>主要道路硬化</w:t>
                  </w:r>
                </w:p>
              </w:tc>
              <w:tc>
                <w:tcPr>
                  <w:tcW w:w="424" w:type="pct"/>
                  <w:vAlign w:val="center"/>
                </w:tcPr>
                <w:p w14:paraId="7B2A390D">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1DDBAA8D">
                  <w:pPr>
                    <w:jc w:val="center"/>
                    <w:rPr>
                      <w:rFonts w:ascii="Times New Roman" w:hAnsi="Times New Roman" w:eastAsia="宋体" w:cs="Times New Roman"/>
                      <w:szCs w:val="21"/>
                    </w:rPr>
                  </w:pPr>
                </w:p>
              </w:tc>
              <w:tc>
                <w:tcPr>
                  <w:tcW w:w="420" w:type="pct"/>
                  <w:vMerge w:val="continue"/>
                  <w:tcBorders>
                    <w:right w:val="single" w:color="auto" w:sz="12" w:space="0"/>
                  </w:tcBorders>
                  <w:vAlign w:val="center"/>
                </w:tcPr>
                <w:p w14:paraId="0F2A9C65">
                  <w:pPr>
                    <w:jc w:val="center"/>
                    <w:rPr>
                      <w:rFonts w:ascii="Times New Roman" w:hAnsi="Times New Roman" w:eastAsia="宋体" w:cs="Times New Roman"/>
                      <w:szCs w:val="21"/>
                    </w:rPr>
                  </w:pPr>
                </w:p>
              </w:tc>
            </w:tr>
            <w:tr w14:paraId="7C35CE4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restart"/>
                  <w:tcBorders>
                    <w:left w:val="single" w:color="auto" w:sz="12" w:space="0"/>
                  </w:tcBorders>
                  <w:vAlign w:val="center"/>
                </w:tcPr>
                <w:p w14:paraId="5AFB761B">
                  <w:pPr>
                    <w:jc w:val="center"/>
                    <w:rPr>
                      <w:rFonts w:ascii="Times New Roman" w:hAnsi="Times New Roman" w:eastAsia="宋体" w:cs="Times New Roman"/>
                      <w:szCs w:val="21"/>
                    </w:rPr>
                  </w:pPr>
                  <w:r>
                    <w:rPr>
                      <w:rFonts w:ascii="Times New Roman" w:hAnsi="Times New Roman" w:eastAsia="宋体" w:cs="Times New Roman"/>
                      <w:szCs w:val="21"/>
                    </w:rPr>
                    <w:t>固体废物</w:t>
                  </w:r>
                </w:p>
              </w:tc>
              <w:tc>
                <w:tcPr>
                  <w:tcW w:w="738" w:type="pct"/>
                </w:tcPr>
                <w:p w14:paraId="7BEED494">
                  <w:pPr>
                    <w:jc w:val="center"/>
                    <w:rPr>
                      <w:rFonts w:ascii="Times New Roman" w:hAnsi="Times New Roman" w:eastAsia="宋体" w:cs="Times New Roman"/>
                      <w:szCs w:val="21"/>
                    </w:rPr>
                  </w:pPr>
                  <w:r>
                    <w:rPr>
                      <w:rFonts w:hint="eastAsia" w:ascii="Times New Roman" w:hAnsi="Times New Roman" w:eastAsia="宋体" w:cs="Times New Roman"/>
                      <w:kern w:val="0"/>
                      <w:szCs w:val="21"/>
                    </w:rPr>
                    <w:t>二级生化处理设施污泥</w:t>
                  </w:r>
                </w:p>
              </w:tc>
              <w:tc>
                <w:tcPr>
                  <w:tcW w:w="1792" w:type="pct"/>
                  <w:vAlign w:val="center"/>
                </w:tcPr>
                <w:p w14:paraId="145E2BC0">
                  <w:pPr>
                    <w:jc w:val="center"/>
                    <w:rPr>
                      <w:rFonts w:ascii="Times New Roman" w:hAnsi="Times New Roman" w:eastAsia="宋体" w:cs="Times New Roman"/>
                      <w:szCs w:val="21"/>
                    </w:rPr>
                  </w:pPr>
                  <w:r>
                    <w:rPr>
                      <w:rFonts w:hint="eastAsia" w:ascii="Times New Roman" w:hAnsi="Times New Roman" w:eastAsia="宋体" w:cs="Times New Roman"/>
                      <w:szCs w:val="21"/>
                    </w:rPr>
                    <w:t>回用农肥综合利用</w:t>
                  </w:r>
                </w:p>
              </w:tc>
              <w:tc>
                <w:tcPr>
                  <w:tcW w:w="424" w:type="pct"/>
                  <w:vAlign w:val="center"/>
                </w:tcPr>
                <w:p w14:paraId="7BC1337F">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171" w:type="pct"/>
                  <w:vMerge w:val="restart"/>
                  <w:vAlign w:val="center"/>
                </w:tcPr>
                <w:p w14:paraId="3DE18BAB">
                  <w:pPr>
                    <w:jc w:val="left"/>
                    <w:rPr>
                      <w:rFonts w:ascii="Times New Roman" w:hAnsi="Times New Roman" w:eastAsia="宋体" w:cs="Times New Roman"/>
                      <w:szCs w:val="21"/>
                    </w:rPr>
                  </w:pPr>
                  <w:r>
                    <w:rPr>
                      <w:rFonts w:ascii="Times New Roman" w:hAnsi="Times New Roman" w:eastAsia="宋体" w:cs="Times New Roman"/>
                      <w:szCs w:val="21"/>
                    </w:rPr>
                    <w:t>固体废物分类收集，去向明确，不造成二次污染。</w:t>
                  </w:r>
                </w:p>
              </w:tc>
              <w:tc>
                <w:tcPr>
                  <w:tcW w:w="420" w:type="pct"/>
                  <w:vMerge w:val="continue"/>
                  <w:tcBorders>
                    <w:right w:val="single" w:color="auto" w:sz="12" w:space="0"/>
                  </w:tcBorders>
                  <w:vAlign w:val="center"/>
                </w:tcPr>
                <w:p w14:paraId="10B7F4C4">
                  <w:pPr>
                    <w:jc w:val="center"/>
                    <w:rPr>
                      <w:rFonts w:ascii="Times New Roman" w:hAnsi="Times New Roman" w:eastAsia="宋体" w:cs="Times New Roman"/>
                      <w:szCs w:val="21"/>
                    </w:rPr>
                  </w:pPr>
                </w:p>
              </w:tc>
            </w:tr>
            <w:tr w14:paraId="7ADA5DA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37377A25">
                  <w:pPr>
                    <w:jc w:val="center"/>
                    <w:rPr>
                      <w:rFonts w:ascii="Times New Roman" w:hAnsi="Times New Roman" w:eastAsia="宋体" w:cs="Times New Roman"/>
                      <w:szCs w:val="21"/>
                    </w:rPr>
                  </w:pPr>
                </w:p>
              </w:tc>
              <w:tc>
                <w:tcPr>
                  <w:tcW w:w="738" w:type="pct"/>
                </w:tcPr>
                <w:p w14:paraId="6655BD1F">
                  <w:pPr>
                    <w:jc w:val="center"/>
                    <w:rPr>
                      <w:rFonts w:ascii="Times New Roman" w:hAnsi="Times New Roman" w:eastAsia="宋体" w:cs="Times New Roman"/>
                      <w:szCs w:val="21"/>
                    </w:rPr>
                  </w:pPr>
                  <w:r>
                    <w:rPr>
                      <w:rFonts w:hint="eastAsia" w:ascii="Times New Roman" w:hAnsi="Times New Roman" w:eastAsia="宋体" w:cs="Times New Roman"/>
                      <w:kern w:val="0"/>
                      <w:szCs w:val="21"/>
                    </w:rPr>
                    <w:t>磁选废铁渣</w:t>
                  </w:r>
                </w:p>
              </w:tc>
              <w:tc>
                <w:tcPr>
                  <w:tcW w:w="1792" w:type="pct"/>
                  <w:vAlign w:val="center"/>
                </w:tcPr>
                <w:p w14:paraId="02454CBF">
                  <w:pPr>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c>
                <w:tcPr>
                  <w:tcW w:w="424" w:type="pct"/>
                  <w:vAlign w:val="center"/>
                </w:tcPr>
                <w:p w14:paraId="379DDFE1">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3EA27FD3">
                  <w:pPr>
                    <w:jc w:val="left"/>
                    <w:rPr>
                      <w:rFonts w:ascii="Times New Roman" w:hAnsi="Times New Roman" w:eastAsia="宋体" w:cs="Times New Roman"/>
                      <w:szCs w:val="21"/>
                    </w:rPr>
                  </w:pPr>
                </w:p>
              </w:tc>
              <w:tc>
                <w:tcPr>
                  <w:tcW w:w="420" w:type="pct"/>
                  <w:vMerge w:val="continue"/>
                  <w:tcBorders>
                    <w:right w:val="single" w:color="auto" w:sz="12" w:space="0"/>
                  </w:tcBorders>
                  <w:vAlign w:val="center"/>
                </w:tcPr>
                <w:p w14:paraId="7B0E9E43">
                  <w:pPr>
                    <w:jc w:val="center"/>
                    <w:rPr>
                      <w:rFonts w:ascii="Times New Roman" w:hAnsi="Times New Roman" w:eastAsia="宋体" w:cs="Times New Roman"/>
                      <w:szCs w:val="21"/>
                    </w:rPr>
                  </w:pPr>
                </w:p>
              </w:tc>
            </w:tr>
            <w:tr w14:paraId="3F23183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2647F6D6">
                  <w:pPr>
                    <w:jc w:val="center"/>
                    <w:rPr>
                      <w:rFonts w:ascii="Times New Roman" w:hAnsi="Times New Roman" w:eastAsia="宋体" w:cs="Times New Roman"/>
                      <w:szCs w:val="21"/>
                    </w:rPr>
                  </w:pPr>
                </w:p>
              </w:tc>
              <w:tc>
                <w:tcPr>
                  <w:tcW w:w="738" w:type="pct"/>
                </w:tcPr>
                <w:p w14:paraId="31D52C83">
                  <w:pPr>
                    <w:jc w:val="center"/>
                    <w:rPr>
                      <w:rFonts w:ascii="Times New Roman" w:hAnsi="Times New Roman" w:eastAsia="宋体" w:cs="Times New Roman"/>
                      <w:szCs w:val="21"/>
                    </w:rPr>
                  </w:pPr>
                  <w:r>
                    <w:rPr>
                      <w:rFonts w:hint="eastAsia" w:ascii="Times New Roman" w:hAnsi="Times New Roman" w:eastAsia="宋体" w:cs="Times New Roman"/>
                      <w:kern w:val="0"/>
                      <w:szCs w:val="21"/>
                    </w:rPr>
                    <w:t>除尘粉尘</w:t>
                  </w:r>
                </w:p>
              </w:tc>
              <w:tc>
                <w:tcPr>
                  <w:tcW w:w="1792" w:type="pct"/>
                  <w:vAlign w:val="center"/>
                </w:tcPr>
                <w:p w14:paraId="5A195CFA">
                  <w:pPr>
                    <w:jc w:val="center"/>
                    <w:rPr>
                      <w:rFonts w:ascii="Times New Roman" w:hAnsi="Times New Roman" w:eastAsia="宋体" w:cs="Times New Roman"/>
                      <w:szCs w:val="21"/>
                    </w:rPr>
                  </w:pPr>
                  <w:r>
                    <w:rPr>
                      <w:rFonts w:hint="eastAsia" w:ascii="Times New Roman" w:hAnsi="Times New Roman" w:eastAsia="宋体" w:cs="Times New Roman"/>
                      <w:szCs w:val="21"/>
                    </w:rPr>
                    <w:t>作为产品外售</w:t>
                  </w:r>
                </w:p>
              </w:tc>
              <w:tc>
                <w:tcPr>
                  <w:tcW w:w="424" w:type="pct"/>
                  <w:vAlign w:val="center"/>
                </w:tcPr>
                <w:p w14:paraId="1A10D64A">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12F984D7">
                  <w:pPr>
                    <w:jc w:val="left"/>
                    <w:rPr>
                      <w:rFonts w:ascii="Times New Roman" w:hAnsi="Times New Roman" w:eastAsia="宋体" w:cs="Times New Roman"/>
                      <w:szCs w:val="21"/>
                    </w:rPr>
                  </w:pPr>
                </w:p>
              </w:tc>
              <w:tc>
                <w:tcPr>
                  <w:tcW w:w="420" w:type="pct"/>
                  <w:vMerge w:val="continue"/>
                  <w:tcBorders>
                    <w:right w:val="single" w:color="auto" w:sz="12" w:space="0"/>
                  </w:tcBorders>
                  <w:vAlign w:val="center"/>
                </w:tcPr>
                <w:p w14:paraId="0969E92D">
                  <w:pPr>
                    <w:jc w:val="center"/>
                    <w:rPr>
                      <w:rFonts w:ascii="Times New Roman" w:hAnsi="Times New Roman" w:eastAsia="宋体" w:cs="Times New Roman"/>
                      <w:szCs w:val="21"/>
                    </w:rPr>
                  </w:pPr>
                </w:p>
              </w:tc>
            </w:tr>
            <w:tr w14:paraId="7F12D30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40660BDE">
                  <w:pPr>
                    <w:jc w:val="center"/>
                    <w:rPr>
                      <w:rFonts w:ascii="Times New Roman" w:hAnsi="Times New Roman" w:eastAsia="宋体" w:cs="Times New Roman"/>
                      <w:szCs w:val="21"/>
                    </w:rPr>
                  </w:pPr>
                </w:p>
              </w:tc>
              <w:tc>
                <w:tcPr>
                  <w:tcW w:w="738" w:type="pct"/>
                  <w:vAlign w:val="center"/>
                </w:tcPr>
                <w:p w14:paraId="25E21B77">
                  <w:pPr>
                    <w:jc w:val="center"/>
                    <w:rPr>
                      <w:rFonts w:ascii="Times New Roman" w:hAnsi="Times New Roman" w:eastAsia="宋体" w:cs="Times New Roman"/>
                      <w:szCs w:val="21"/>
                    </w:rPr>
                  </w:pPr>
                  <w:r>
                    <w:rPr>
                      <w:rFonts w:hint="eastAsia" w:ascii="Times New Roman" w:hAnsi="Times New Roman" w:eastAsia="宋体" w:cs="Times New Roman"/>
                      <w:kern w:val="0"/>
                      <w:szCs w:val="21"/>
                    </w:rPr>
                    <w:t>废机油</w:t>
                  </w:r>
                </w:p>
              </w:tc>
              <w:tc>
                <w:tcPr>
                  <w:tcW w:w="1792" w:type="pct"/>
                  <w:vAlign w:val="center"/>
                </w:tcPr>
                <w:p w14:paraId="6E447992">
                  <w:pPr>
                    <w:jc w:val="center"/>
                    <w:rPr>
                      <w:rFonts w:ascii="Times New Roman" w:hAnsi="Times New Roman" w:eastAsia="宋体" w:cs="Times New Roman"/>
                      <w:szCs w:val="21"/>
                    </w:rPr>
                  </w:pPr>
                  <w:r>
                    <w:rPr>
                      <w:rFonts w:hint="eastAsia" w:ascii="Times New Roman" w:hAnsi="Times New Roman" w:eastAsia="宋体" w:cs="Times New Roman"/>
                      <w:szCs w:val="21"/>
                    </w:rPr>
                    <w:t>铁桶收集暂存于危废暂存间，定期交由有资质单位处理</w:t>
                  </w:r>
                </w:p>
              </w:tc>
              <w:tc>
                <w:tcPr>
                  <w:tcW w:w="424" w:type="pct"/>
                  <w:vAlign w:val="center"/>
                </w:tcPr>
                <w:p w14:paraId="53F8D1F8">
                  <w:pPr>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1171" w:type="pct"/>
                  <w:vMerge w:val="continue"/>
                  <w:tcBorders>
                    <w:bottom w:val="single" w:color="000000" w:sz="4" w:space="0"/>
                  </w:tcBorders>
                  <w:vAlign w:val="center"/>
                </w:tcPr>
                <w:p w14:paraId="0B9C01B8">
                  <w:pPr>
                    <w:jc w:val="left"/>
                    <w:rPr>
                      <w:rFonts w:ascii="Times New Roman" w:hAnsi="Times New Roman" w:eastAsia="宋体" w:cs="Times New Roman"/>
                      <w:szCs w:val="21"/>
                    </w:rPr>
                  </w:pPr>
                </w:p>
              </w:tc>
              <w:tc>
                <w:tcPr>
                  <w:tcW w:w="420" w:type="pct"/>
                  <w:vMerge w:val="continue"/>
                  <w:tcBorders>
                    <w:right w:val="single" w:color="auto" w:sz="12" w:space="0"/>
                  </w:tcBorders>
                  <w:vAlign w:val="center"/>
                </w:tcPr>
                <w:p w14:paraId="7AFAB586">
                  <w:pPr>
                    <w:jc w:val="center"/>
                    <w:rPr>
                      <w:rFonts w:ascii="Times New Roman" w:hAnsi="Times New Roman" w:eastAsia="宋体" w:cs="Times New Roman"/>
                      <w:szCs w:val="21"/>
                    </w:rPr>
                  </w:pPr>
                </w:p>
              </w:tc>
            </w:tr>
            <w:tr w14:paraId="58A3CEE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tcBorders>
                    <w:left w:val="single" w:color="auto" w:sz="12" w:space="0"/>
                  </w:tcBorders>
                  <w:vAlign w:val="center"/>
                </w:tcPr>
                <w:p w14:paraId="1036D5C4">
                  <w:pPr>
                    <w:jc w:val="center"/>
                    <w:rPr>
                      <w:rFonts w:ascii="Times New Roman" w:hAnsi="Times New Roman" w:eastAsia="宋体" w:cs="Times New Roman"/>
                      <w:szCs w:val="21"/>
                    </w:rPr>
                  </w:pPr>
                </w:p>
              </w:tc>
              <w:tc>
                <w:tcPr>
                  <w:tcW w:w="738" w:type="pct"/>
                  <w:vAlign w:val="center"/>
                </w:tcPr>
                <w:p w14:paraId="22B37D6C">
                  <w:pPr>
                    <w:jc w:val="center"/>
                    <w:rPr>
                      <w:rFonts w:ascii="Times New Roman" w:hAnsi="Times New Roman" w:eastAsia="宋体" w:cs="Times New Roman"/>
                      <w:szCs w:val="21"/>
                    </w:rPr>
                  </w:pPr>
                  <w:r>
                    <w:rPr>
                      <w:rFonts w:ascii="Times New Roman" w:hAnsi="Times New Roman" w:eastAsia="宋体" w:cs="Times New Roman"/>
                      <w:szCs w:val="21"/>
                    </w:rPr>
                    <w:t>生活垃圾</w:t>
                  </w:r>
                </w:p>
              </w:tc>
              <w:tc>
                <w:tcPr>
                  <w:tcW w:w="1792" w:type="pct"/>
                  <w:vAlign w:val="center"/>
                </w:tcPr>
                <w:p w14:paraId="5ADF5B12">
                  <w:pPr>
                    <w:jc w:val="center"/>
                    <w:rPr>
                      <w:rFonts w:ascii="Times New Roman" w:hAnsi="Times New Roman" w:eastAsia="宋体" w:cs="Times New Roman"/>
                      <w:szCs w:val="21"/>
                    </w:rPr>
                  </w:pPr>
                  <w:r>
                    <w:rPr>
                      <w:rFonts w:ascii="Times New Roman" w:hAnsi="Times New Roman" w:eastAsia="宋体" w:cs="Times New Roman"/>
                      <w:szCs w:val="21"/>
                    </w:rPr>
                    <w:t>垃圾桶</w:t>
                  </w:r>
                </w:p>
              </w:tc>
              <w:tc>
                <w:tcPr>
                  <w:tcW w:w="424" w:type="pct"/>
                  <w:vAlign w:val="center"/>
                </w:tcPr>
                <w:p w14:paraId="45B59C47">
                  <w:pPr>
                    <w:jc w:val="center"/>
                    <w:rPr>
                      <w:rFonts w:ascii="Times New Roman" w:hAnsi="Times New Roman" w:eastAsia="宋体" w:cs="Times New Roman"/>
                      <w:szCs w:val="21"/>
                    </w:rPr>
                  </w:pPr>
                  <w:r>
                    <w:rPr>
                      <w:rFonts w:ascii="Times New Roman" w:hAnsi="Times New Roman" w:eastAsia="宋体" w:cs="Times New Roman"/>
                      <w:szCs w:val="21"/>
                    </w:rPr>
                    <w:t>若干</w:t>
                  </w:r>
                </w:p>
              </w:tc>
              <w:tc>
                <w:tcPr>
                  <w:tcW w:w="1171" w:type="pct"/>
                  <w:tcBorders>
                    <w:top w:val="single" w:color="000000" w:sz="4" w:space="0"/>
                  </w:tcBorders>
                  <w:vAlign w:val="center"/>
                </w:tcPr>
                <w:p w14:paraId="6339285B">
                  <w:pPr>
                    <w:jc w:val="center"/>
                    <w:rPr>
                      <w:rFonts w:ascii="Times New Roman" w:hAnsi="Times New Roman" w:eastAsia="宋体" w:cs="Times New Roman"/>
                      <w:szCs w:val="21"/>
                    </w:rPr>
                  </w:pPr>
                  <w:r>
                    <w:rPr>
                      <w:rFonts w:ascii="Times New Roman" w:hAnsi="Times New Roman" w:eastAsia="宋体" w:cs="Times New Roman"/>
                      <w:szCs w:val="21"/>
                    </w:rPr>
                    <w:t>环卫部门日产日清</w:t>
                  </w:r>
                </w:p>
              </w:tc>
              <w:tc>
                <w:tcPr>
                  <w:tcW w:w="420" w:type="pct"/>
                  <w:vMerge w:val="continue"/>
                  <w:tcBorders>
                    <w:right w:val="single" w:color="auto" w:sz="12" w:space="0"/>
                  </w:tcBorders>
                  <w:vAlign w:val="center"/>
                </w:tcPr>
                <w:p w14:paraId="22CE1FB9">
                  <w:pPr>
                    <w:jc w:val="center"/>
                    <w:rPr>
                      <w:rFonts w:ascii="Times New Roman" w:hAnsi="Times New Roman" w:eastAsia="宋体" w:cs="Times New Roman"/>
                      <w:szCs w:val="21"/>
                    </w:rPr>
                  </w:pPr>
                </w:p>
              </w:tc>
            </w:tr>
            <w:tr w14:paraId="459D44B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tcBorders>
                    <w:left w:val="single" w:color="auto" w:sz="12" w:space="0"/>
                    <w:bottom w:val="single" w:color="auto" w:sz="12" w:space="0"/>
                  </w:tcBorders>
                  <w:vAlign w:val="center"/>
                </w:tcPr>
                <w:p w14:paraId="1F464852">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738" w:type="pct"/>
                  <w:tcBorders>
                    <w:bottom w:val="single" w:color="auto" w:sz="12" w:space="0"/>
                  </w:tcBorders>
                  <w:vAlign w:val="center"/>
                </w:tcPr>
                <w:p w14:paraId="66512CAE">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792" w:type="pct"/>
                  <w:tcBorders>
                    <w:bottom w:val="single" w:color="auto" w:sz="12" w:space="0"/>
                  </w:tcBorders>
                  <w:vAlign w:val="center"/>
                </w:tcPr>
                <w:p w14:paraId="532C0692">
                  <w:pPr>
                    <w:jc w:val="center"/>
                    <w:rPr>
                      <w:rFonts w:ascii="Times New Roman" w:hAnsi="Times New Roman" w:eastAsia="宋体" w:cs="Times New Roman"/>
                      <w:szCs w:val="21"/>
                    </w:rPr>
                  </w:pPr>
                  <w:r>
                    <w:rPr>
                      <w:rFonts w:ascii="Times New Roman" w:hAnsi="Times New Roman" w:eastAsia="宋体" w:cs="Times New Roman"/>
                      <w:kern w:val="0"/>
                      <w:szCs w:val="21"/>
                    </w:rPr>
                    <w:t>采取隔声、减震</w:t>
                  </w:r>
                  <w:r>
                    <w:rPr>
                      <w:rFonts w:hint="eastAsia" w:ascii="Times New Roman" w:hAnsi="Times New Roman" w:eastAsia="宋体" w:cs="Times New Roman"/>
                      <w:kern w:val="0"/>
                      <w:szCs w:val="21"/>
                    </w:rPr>
                    <w:t>等</w:t>
                  </w:r>
                  <w:r>
                    <w:rPr>
                      <w:rFonts w:ascii="Times New Roman" w:hAnsi="Times New Roman" w:eastAsia="宋体" w:cs="Times New Roman"/>
                      <w:kern w:val="0"/>
                      <w:szCs w:val="21"/>
                    </w:rPr>
                    <w:t>措施，确保不产生噪声扰民影响，加强厂区绿化</w:t>
                  </w:r>
                </w:p>
              </w:tc>
              <w:tc>
                <w:tcPr>
                  <w:tcW w:w="424" w:type="pct"/>
                  <w:tcBorders>
                    <w:bottom w:val="single" w:color="auto" w:sz="12" w:space="0"/>
                  </w:tcBorders>
                  <w:vAlign w:val="center"/>
                </w:tcPr>
                <w:p w14:paraId="5B04F670">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171" w:type="pct"/>
                  <w:tcBorders>
                    <w:bottom w:val="single" w:color="auto" w:sz="12" w:space="0"/>
                  </w:tcBorders>
                  <w:vAlign w:val="center"/>
                </w:tcPr>
                <w:p w14:paraId="686F1A00">
                  <w:pPr>
                    <w:jc w:val="center"/>
                    <w:rPr>
                      <w:rFonts w:ascii="Times New Roman" w:hAnsi="Times New Roman" w:eastAsia="宋体" w:cs="Times New Roman"/>
                      <w:szCs w:val="21"/>
                    </w:rPr>
                  </w:pPr>
                  <w:r>
                    <w:rPr>
                      <w:rFonts w:ascii="Times New Roman" w:hAnsi="Times New Roman" w:eastAsia="宋体" w:cs="Times New Roman"/>
                      <w:szCs w:val="21"/>
                    </w:rPr>
                    <w:t>《工业企业厂界环境噪声排放标准》(GB12348-2008</w:t>
                  </w:r>
                  <w:r>
                    <w:rPr>
                      <w:rFonts w:hint="eastAsia" w:ascii="Times New Roman" w:hAnsi="Times New Roman" w:eastAsia="宋体" w:cs="Times New Roman"/>
                      <w:szCs w:val="21"/>
                      <w:lang w:eastAsia="zh-CN"/>
                    </w:rPr>
                    <w:t>）</w:t>
                  </w:r>
                  <w:r>
                    <w:rPr>
                      <w:rFonts w:ascii="Times New Roman" w:hAnsi="Times New Roman" w:eastAsia="宋体" w:cs="Times New Roman"/>
                      <w:szCs w:val="21"/>
                    </w:rPr>
                    <w:t>中3类标准</w:t>
                  </w:r>
                </w:p>
              </w:tc>
              <w:tc>
                <w:tcPr>
                  <w:tcW w:w="420" w:type="pct"/>
                  <w:vMerge w:val="continue"/>
                  <w:tcBorders>
                    <w:bottom w:val="single" w:color="auto" w:sz="12" w:space="0"/>
                    <w:right w:val="single" w:color="auto" w:sz="12" w:space="0"/>
                  </w:tcBorders>
                  <w:vAlign w:val="center"/>
                </w:tcPr>
                <w:p w14:paraId="094560BF">
                  <w:pPr>
                    <w:jc w:val="center"/>
                    <w:rPr>
                      <w:rFonts w:ascii="Times New Roman" w:hAnsi="Times New Roman" w:eastAsia="宋体" w:cs="Times New Roman"/>
                      <w:szCs w:val="21"/>
                    </w:rPr>
                  </w:pPr>
                </w:p>
              </w:tc>
            </w:tr>
          </w:tbl>
          <w:p w14:paraId="3D613B2E">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五、环境监测计划</w:t>
            </w:r>
          </w:p>
          <w:p w14:paraId="5628175F">
            <w:pPr>
              <w:pStyle w:val="96"/>
              <w:spacing w:line="480" w:lineRule="exact"/>
              <w:ind w:firstLine="480"/>
              <w:rPr>
                <w:rFonts w:ascii="Times New Roman" w:hAnsi="Times New Roman" w:eastAsia="宋体" w:cs="Times New Roman"/>
                <w:sz w:val="24"/>
                <w:szCs w:val="24"/>
                <w:lang w:val="en-GB"/>
              </w:rPr>
            </w:pPr>
            <w:r>
              <w:rPr>
                <w:rFonts w:ascii="Times New Roman" w:hAnsi="Times New Roman" w:eastAsia="宋体" w:cs="Times New Roman"/>
                <w:sz w:val="24"/>
                <w:szCs w:val="24"/>
                <w:lang w:val="en-GB"/>
              </w:rPr>
              <w:t>本项目的环境监测计划主要是保证项目所排放的污染物能够达标排放，从本项目的污染物排放特点来看，具体监测计划见下表。</w:t>
            </w:r>
          </w:p>
          <w:p w14:paraId="5B15722C">
            <w:pPr>
              <w:widowControl/>
              <w:adjustRightInd w:val="0"/>
              <w:snapToGrid w:val="0"/>
              <w:spacing w:line="480" w:lineRule="exact"/>
              <w:ind w:right="92" w:rightChars="44"/>
              <w:jc w:val="center"/>
              <w:rPr>
                <w:rFonts w:ascii="Times New Roman" w:hAnsi="Times New Roman" w:eastAsia="宋体" w:cs="Times New Roman"/>
                <w:bCs/>
                <w:sz w:val="24"/>
              </w:rPr>
            </w:pPr>
            <w:r>
              <w:rPr>
                <w:rFonts w:ascii="Times New Roman" w:hAnsi="Times New Roman" w:eastAsia="宋体" w:cs="Times New Roman"/>
                <w:bCs/>
                <w:sz w:val="24"/>
              </w:rPr>
              <w:t>表7-28  本项目环境监测计划</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542"/>
              <w:gridCol w:w="3651"/>
              <w:gridCol w:w="2089"/>
            </w:tblGrid>
            <w:tr w14:paraId="2E9A5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535" w:type="pct"/>
                  <w:vAlign w:val="center"/>
                </w:tcPr>
                <w:p w14:paraId="60C9F9F1">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监测点位</w:t>
                  </w:r>
                </w:p>
              </w:tc>
              <w:tc>
                <w:tcPr>
                  <w:tcW w:w="2204" w:type="pct"/>
                  <w:vAlign w:val="center"/>
                </w:tcPr>
                <w:p w14:paraId="3F868B56">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监测项目</w:t>
                  </w:r>
                </w:p>
              </w:tc>
              <w:tc>
                <w:tcPr>
                  <w:tcW w:w="1260" w:type="pct"/>
                  <w:vAlign w:val="center"/>
                </w:tcPr>
                <w:p w14:paraId="279C3497">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监测频次</w:t>
                  </w:r>
                </w:p>
              </w:tc>
            </w:tr>
            <w:tr w14:paraId="62AA7B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000" w:type="pct"/>
                  <w:gridSpan w:val="3"/>
                  <w:vAlign w:val="center"/>
                </w:tcPr>
                <w:p w14:paraId="7104DD4B">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大气污染物监测</w:t>
                  </w:r>
                </w:p>
              </w:tc>
            </w:tr>
            <w:tr w14:paraId="65AC09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535" w:type="pct"/>
                  <w:vAlign w:val="center"/>
                </w:tcPr>
                <w:p w14:paraId="4159ADF1">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厂界无组织监控点</w:t>
                  </w:r>
                </w:p>
              </w:tc>
              <w:tc>
                <w:tcPr>
                  <w:tcW w:w="2204" w:type="pct"/>
                  <w:vAlign w:val="center"/>
                </w:tcPr>
                <w:p w14:paraId="2872DDCE">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260" w:type="pct"/>
                  <w:vAlign w:val="center"/>
                </w:tcPr>
                <w:p w14:paraId="59B3E6D9">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一次/年</w:t>
                  </w:r>
                </w:p>
              </w:tc>
            </w:tr>
            <w:tr w14:paraId="6BD0FD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535" w:type="pct"/>
                  <w:vAlign w:val="center"/>
                </w:tcPr>
                <w:p w14:paraId="140181DA">
                  <w:pPr>
                    <w:spacing w:line="320" w:lineRule="exact"/>
                    <w:jc w:val="center"/>
                    <w:rPr>
                      <w:rFonts w:ascii="Times New Roman" w:hAnsi="Times New Roman" w:eastAsia="宋体" w:cs="Times New Roman"/>
                      <w:szCs w:val="21"/>
                    </w:rPr>
                  </w:pPr>
                  <w:r>
                    <w:rPr>
                      <w:rFonts w:hint="eastAsia" w:ascii="Times New Roman" w:hAnsi="Times New Roman" w:eastAsia="宋体" w:cs="Times New Roman"/>
                      <w:szCs w:val="21"/>
                    </w:rPr>
                    <w:t>厂区有组织监控点</w:t>
                  </w:r>
                </w:p>
              </w:tc>
              <w:tc>
                <w:tcPr>
                  <w:tcW w:w="2204" w:type="pct"/>
                  <w:vAlign w:val="center"/>
                </w:tcPr>
                <w:p w14:paraId="18DF4364">
                  <w:pPr>
                    <w:spacing w:line="320" w:lineRule="exact"/>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1260" w:type="pct"/>
                  <w:vAlign w:val="center"/>
                </w:tcPr>
                <w:p w14:paraId="482919D6">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一次/年</w:t>
                  </w:r>
                </w:p>
              </w:tc>
            </w:tr>
            <w:tr w14:paraId="55CCE1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000" w:type="pct"/>
                  <w:gridSpan w:val="3"/>
                  <w:vAlign w:val="center"/>
                </w:tcPr>
                <w:p w14:paraId="4BA00AD8">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噪声监测</w:t>
                  </w:r>
                </w:p>
              </w:tc>
            </w:tr>
            <w:tr w14:paraId="5395B8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535" w:type="pct"/>
                  <w:vAlign w:val="center"/>
                </w:tcPr>
                <w:p w14:paraId="2FE84E79">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厂界噪声监测点位</w:t>
                  </w:r>
                </w:p>
              </w:tc>
              <w:tc>
                <w:tcPr>
                  <w:tcW w:w="2204" w:type="pct"/>
                  <w:vAlign w:val="center"/>
                </w:tcPr>
                <w:p w14:paraId="7E1755D7">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设备噪声及厂界噪声</w:t>
                  </w:r>
                </w:p>
              </w:tc>
              <w:tc>
                <w:tcPr>
                  <w:tcW w:w="1260" w:type="pct"/>
                  <w:vAlign w:val="center"/>
                </w:tcPr>
                <w:p w14:paraId="604509CC">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一次/</w:t>
                  </w:r>
                  <w:r>
                    <w:rPr>
                      <w:rFonts w:hint="eastAsia" w:ascii="Times New Roman" w:hAnsi="Times New Roman" w:eastAsia="宋体" w:cs="Times New Roman"/>
                      <w:szCs w:val="21"/>
                    </w:rPr>
                    <w:t>年</w:t>
                  </w:r>
                </w:p>
              </w:tc>
            </w:tr>
          </w:tbl>
          <w:p w14:paraId="31C61F89">
            <w:pPr>
              <w:pStyle w:val="96"/>
              <w:spacing w:line="480" w:lineRule="exact"/>
              <w:ind w:firstLine="480"/>
              <w:rPr>
                <w:rFonts w:ascii="Times New Roman" w:hAnsi="Times New Roman" w:eastAsia="宋体" w:cs="Times New Roman"/>
                <w:sz w:val="24"/>
                <w:szCs w:val="24"/>
              </w:rPr>
            </w:pPr>
          </w:p>
          <w:p w14:paraId="18B4982C">
            <w:pPr>
              <w:pStyle w:val="96"/>
              <w:spacing w:line="480" w:lineRule="exact"/>
              <w:ind w:firstLine="480"/>
              <w:rPr>
                <w:rFonts w:ascii="Times New Roman" w:hAnsi="Times New Roman" w:eastAsia="宋体" w:cs="Times New Roman"/>
                <w:sz w:val="24"/>
                <w:szCs w:val="24"/>
              </w:rPr>
            </w:pPr>
          </w:p>
          <w:p w14:paraId="633E9BCF">
            <w:pPr>
              <w:pStyle w:val="96"/>
              <w:spacing w:line="480" w:lineRule="exact"/>
              <w:ind w:firstLine="480"/>
              <w:rPr>
                <w:rFonts w:ascii="Times New Roman" w:hAnsi="Times New Roman" w:eastAsia="宋体" w:cs="Times New Roman"/>
                <w:sz w:val="24"/>
                <w:szCs w:val="24"/>
              </w:rPr>
            </w:pPr>
          </w:p>
          <w:p w14:paraId="73EC4D81">
            <w:pPr>
              <w:pStyle w:val="96"/>
              <w:spacing w:line="480" w:lineRule="exact"/>
              <w:ind w:firstLine="480"/>
              <w:rPr>
                <w:rFonts w:ascii="Times New Roman" w:hAnsi="Times New Roman" w:eastAsia="宋体" w:cs="Times New Roman"/>
                <w:sz w:val="24"/>
                <w:szCs w:val="24"/>
              </w:rPr>
            </w:pPr>
          </w:p>
          <w:p w14:paraId="4B6650FD">
            <w:pPr>
              <w:pStyle w:val="96"/>
              <w:spacing w:line="480" w:lineRule="exact"/>
              <w:ind w:firstLine="480"/>
              <w:rPr>
                <w:rFonts w:ascii="Times New Roman" w:hAnsi="Times New Roman" w:eastAsia="宋体" w:cs="Times New Roman"/>
                <w:sz w:val="24"/>
                <w:szCs w:val="24"/>
              </w:rPr>
            </w:pPr>
          </w:p>
          <w:p w14:paraId="2F3DCEF5">
            <w:pPr>
              <w:pStyle w:val="96"/>
              <w:spacing w:line="480" w:lineRule="exact"/>
              <w:ind w:firstLine="480"/>
              <w:rPr>
                <w:rFonts w:ascii="Times New Roman" w:hAnsi="Times New Roman" w:eastAsia="宋体" w:cs="Times New Roman"/>
                <w:sz w:val="24"/>
                <w:szCs w:val="24"/>
              </w:rPr>
            </w:pPr>
          </w:p>
          <w:p w14:paraId="713946B2">
            <w:pPr>
              <w:pStyle w:val="96"/>
              <w:spacing w:line="480" w:lineRule="exact"/>
              <w:ind w:firstLine="480"/>
              <w:rPr>
                <w:rFonts w:ascii="Times New Roman" w:hAnsi="Times New Roman" w:eastAsia="宋体" w:cs="Times New Roman"/>
                <w:sz w:val="24"/>
                <w:szCs w:val="24"/>
              </w:rPr>
            </w:pPr>
          </w:p>
          <w:p w14:paraId="3D5A159F">
            <w:pPr>
              <w:pStyle w:val="96"/>
              <w:spacing w:line="480" w:lineRule="exact"/>
              <w:ind w:firstLine="480"/>
              <w:rPr>
                <w:rFonts w:ascii="Times New Roman" w:hAnsi="Times New Roman" w:eastAsia="宋体" w:cs="Times New Roman"/>
                <w:sz w:val="24"/>
                <w:szCs w:val="24"/>
              </w:rPr>
            </w:pPr>
          </w:p>
          <w:p w14:paraId="43FC5173">
            <w:pPr>
              <w:pStyle w:val="96"/>
              <w:spacing w:line="480" w:lineRule="exact"/>
              <w:ind w:firstLine="480"/>
              <w:rPr>
                <w:rFonts w:ascii="Times New Roman" w:hAnsi="Times New Roman" w:eastAsia="宋体" w:cs="Times New Roman"/>
                <w:sz w:val="24"/>
                <w:szCs w:val="24"/>
              </w:rPr>
            </w:pPr>
          </w:p>
          <w:p w14:paraId="41CD76B4">
            <w:pPr>
              <w:pStyle w:val="96"/>
              <w:spacing w:line="480" w:lineRule="exact"/>
              <w:ind w:firstLine="480"/>
              <w:rPr>
                <w:rFonts w:ascii="Times New Roman" w:hAnsi="Times New Roman" w:eastAsia="宋体" w:cs="Times New Roman"/>
                <w:sz w:val="24"/>
                <w:szCs w:val="24"/>
              </w:rPr>
            </w:pPr>
          </w:p>
          <w:p w14:paraId="024FADA3">
            <w:pPr>
              <w:pStyle w:val="96"/>
              <w:spacing w:line="480" w:lineRule="exact"/>
              <w:ind w:firstLine="480"/>
              <w:rPr>
                <w:rFonts w:ascii="Times New Roman" w:hAnsi="Times New Roman" w:eastAsia="宋体" w:cs="Times New Roman"/>
                <w:sz w:val="24"/>
                <w:szCs w:val="24"/>
              </w:rPr>
            </w:pPr>
          </w:p>
          <w:p w14:paraId="45C4FC50">
            <w:pPr>
              <w:pStyle w:val="96"/>
              <w:spacing w:line="480" w:lineRule="exact"/>
              <w:ind w:firstLine="480"/>
              <w:rPr>
                <w:rFonts w:ascii="Times New Roman" w:hAnsi="Times New Roman" w:eastAsia="宋体" w:cs="Times New Roman"/>
                <w:sz w:val="24"/>
                <w:szCs w:val="24"/>
              </w:rPr>
            </w:pPr>
          </w:p>
          <w:p w14:paraId="110B0E11">
            <w:pPr>
              <w:pStyle w:val="96"/>
              <w:spacing w:line="480" w:lineRule="exact"/>
              <w:ind w:firstLine="480"/>
              <w:rPr>
                <w:rFonts w:ascii="Times New Roman" w:hAnsi="Times New Roman" w:eastAsia="宋体" w:cs="Times New Roman"/>
                <w:sz w:val="24"/>
                <w:szCs w:val="24"/>
              </w:rPr>
            </w:pPr>
          </w:p>
          <w:p w14:paraId="2E530D42">
            <w:pPr>
              <w:pStyle w:val="96"/>
              <w:spacing w:line="480" w:lineRule="exact"/>
              <w:ind w:firstLine="480"/>
              <w:rPr>
                <w:rFonts w:ascii="Times New Roman" w:hAnsi="Times New Roman" w:eastAsia="宋体" w:cs="Times New Roman"/>
                <w:sz w:val="24"/>
                <w:szCs w:val="24"/>
              </w:rPr>
            </w:pPr>
          </w:p>
          <w:p w14:paraId="329920A3">
            <w:pPr>
              <w:pStyle w:val="96"/>
              <w:spacing w:line="480" w:lineRule="exact"/>
              <w:ind w:firstLine="480"/>
              <w:rPr>
                <w:rFonts w:ascii="Times New Roman" w:hAnsi="Times New Roman" w:eastAsia="宋体" w:cs="Times New Roman"/>
                <w:sz w:val="24"/>
                <w:szCs w:val="24"/>
              </w:rPr>
            </w:pPr>
          </w:p>
          <w:p w14:paraId="236D2883">
            <w:pPr>
              <w:pStyle w:val="96"/>
              <w:spacing w:line="480" w:lineRule="exact"/>
              <w:ind w:firstLine="480"/>
              <w:rPr>
                <w:rFonts w:ascii="Times New Roman" w:hAnsi="Times New Roman" w:eastAsia="宋体" w:cs="Times New Roman"/>
                <w:sz w:val="24"/>
                <w:szCs w:val="24"/>
              </w:rPr>
            </w:pPr>
          </w:p>
          <w:p w14:paraId="2DB7FF16">
            <w:pPr>
              <w:pStyle w:val="96"/>
              <w:spacing w:line="480" w:lineRule="exact"/>
              <w:ind w:firstLine="480"/>
              <w:rPr>
                <w:rFonts w:ascii="Times New Roman" w:hAnsi="Times New Roman" w:eastAsia="宋体" w:cs="Times New Roman"/>
                <w:sz w:val="24"/>
                <w:szCs w:val="24"/>
              </w:rPr>
            </w:pPr>
          </w:p>
        </w:tc>
      </w:tr>
    </w:tbl>
    <w:p w14:paraId="4EF57695">
      <w:pPr>
        <w:spacing w:line="20" w:lineRule="exact"/>
        <w:rPr>
          <w:rFonts w:ascii="Times New Roman" w:hAnsi="Times New Roman" w:eastAsia="宋体" w:cs="Times New Roman"/>
        </w:rPr>
      </w:pPr>
    </w:p>
    <w:p w14:paraId="39D310FD">
      <w:pPr>
        <w:spacing w:line="20" w:lineRule="exact"/>
        <w:rPr>
          <w:rFonts w:ascii="Times New Roman" w:hAnsi="Times New Roman" w:eastAsia="宋体" w:cs="Times New Roman"/>
        </w:rPr>
      </w:pPr>
    </w:p>
    <w:p w14:paraId="713F9219">
      <w:pPr>
        <w:spacing w:line="20" w:lineRule="exact"/>
        <w:rPr>
          <w:rFonts w:ascii="Times New Roman" w:hAnsi="Times New Roman" w:eastAsia="宋体" w:cs="Times New Roman"/>
        </w:rPr>
      </w:pPr>
    </w:p>
    <w:p w14:paraId="2ED4C145">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建设项目拟采取的防治措施及预期治理效果（表八）</w:t>
      </w:r>
    </w:p>
    <w:tbl>
      <w:tblPr>
        <w:tblStyle w:val="26"/>
        <w:tblW w:w="89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74"/>
        <w:gridCol w:w="956"/>
        <w:gridCol w:w="2268"/>
        <w:gridCol w:w="3402"/>
        <w:gridCol w:w="1535"/>
      </w:tblGrid>
      <w:tr w14:paraId="5174F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74" w:type="dxa"/>
            <w:tcBorders>
              <w:top w:val="single" w:color="auto" w:sz="4" w:space="0"/>
              <w:left w:val="single" w:color="auto" w:sz="4" w:space="0"/>
              <w:bottom w:val="single" w:color="auto" w:sz="4" w:space="0"/>
              <w:right w:val="single" w:color="auto" w:sz="4" w:space="0"/>
            </w:tcBorders>
            <w:vAlign w:val="center"/>
          </w:tcPr>
          <w:p w14:paraId="33073508">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mc:AlternateContent>
                <mc:Choice Requires="wps">
                  <w:drawing>
                    <wp:anchor distT="0" distB="0" distL="114300" distR="114300" simplePos="0" relativeHeight="251660288" behindDoc="0" locked="0" layoutInCell="0" allowOverlap="1">
                      <wp:simplePos x="0" y="0"/>
                      <wp:positionH relativeFrom="column">
                        <wp:posOffset>-68580</wp:posOffset>
                      </wp:positionH>
                      <wp:positionV relativeFrom="paragraph">
                        <wp:posOffset>-6350</wp:posOffset>
                      </wp:positionV>
                      <wp:extent cx="635" cy="0"/>
                      <wp:effectExtent l="5715" t="12065" r="12700" b="6985"/>
                      <wp:wrapNone/>
                      <wp:docPr id="5" name="Line 4287"/>
                      <wp:cNvGraphicFramePr/>
                      <a:graphic xmlns:a="http://schemas.openxmlformats.org/drawingml/2006/main">
                        <a:graphicData uri="http://schemas.microsoft.com/office/word/2010/wordprocessingShape">
                          <wps:wsp>
                            <wps:cNvCnPr>
                              <a:cxnSpLocks noChangeShapeType="1"/>
                            </wps:cNvCnPr>
                            <wps:spPr bwMode="auto">
                              <a:xfrm>
                                <a:off x="0" y="0"/>
                                <a:ext cx="635" cy="0"/>
                              </a:xfrm>
                              <a:prstGeom prst="line">
                                <a:avLst/>
                              </a:prstGeom>
                              <a:noFill/>
                              <a:ln w="9525">
                                <a:solidFill>
                                  <a:srgbClr val="000000"/>
                                </a:solidFill>
                                <a:round/>
                              </a:ln>
                            </wps:spPr>
                            <wps:bodyPr/>
                          </wps:wsp>
                        </a:graphicData>
                      </a:graphic>
                    </wp:anchor>
                  </w:drawing>
                </mc:Choice>
                <mc:Fallback>
                  <w:pict>
                    <v:line id="Line 4287" o:spid="_x0000_s1026" o:spt="20" style="position:absolute;left:0pt;margin-left:-5.4pt;margin-top:-0.5pt;height:0pt;width:0.05pt;z-index:251660288;mso-width-relative:page;mso-height-relative:page;" filled="f" stroked="t" coordsize="21600,21600" o:allowincell="f" o:gfxdata="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3XktQAAAAJAQAADwAAAAAAAAABACAAAAAiAAAAZHJzL2Rvd25y&#10;ZXYueG1sUEsBAhQAFAAAAAgAh07iQOSOD7TJAQAAngMAAA4AAAAAAAAAAQAgAAAAIwEAAGRycy9l&#10;Mm9Eb2MueG1sUEsFBgAAAAAGAAYAWQEAAF4FAAAAAA==&#10;">
                      <v:fill on="f" focussize="0,0"/>
                      <v:stroke color="#000000" joinstyle="round"/>
                      <v:imagedata o:title=""/>
                      <o:lock v:ext="edit" aspectratio="f"/>
                    </v:line>
                  </w:pict>
                </mc:Fallback>
              </mc:AlternateContent>
            </w:r>
            <w:r>
              <w:rPr>
                <w:rFonts w:ascii="Times New Roman" w:hAnsi="Times New Roman" w:eastAsia="宋体" w:cs="Times New Roman"/>
                <w:b/>
                <w:bCs/>
                <w:sz w:val="24"/>
                <w:szCs w:val="24"/>
              </w:rPr>
              <w:t>内容类型</w:t>
            </w:r>
          </w:p>
        </w:tc>
        <w:tc>
          <w:tcPr>
            <w:tcW w:w="956" w:type="dxa"/>
            <w:tcBorders>
              <w:top w:val="single" w:color="auto" w:sz="4" w:space="0"/>
              <w:left w:val="single" w:color="auto" w:sz="4" w:space="0"/>
              <w:bottom w:val="single" w:color="auto" w:sz="4" w:space="0"/>
              <w:right w:val="single" w:color="auto" w:sz="4" w:space="0"/>
            </w:tcBorders>
            <w:vAlign w:val="center"/>
          </w:tcPr>
          <w:p w14:paraId="368A39E4">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排放源</w:t>
            </w:r>
          </w:p>
          <w:p w14:paraId="6FDBAC54">
            <w:pPr>
              <w:jc w:val="center"/>
              <w:rPr>
                <w:rFonts w:ascii="Times New Roman" w:hAnsi="Times New Roman" w:eastAsia="宋体" w:cs="Times New Roman"/>
                <w:b/>
                <w:bCs/>
                <w:sz w:val="24"/>
                <w:szCs w:val="24"/>
              </w:rPr>
            </w:pPr>
            <w:r>
              <w:rPr>
                <w:rFonts w:hint="eastAsia" w:ascii="Times New Roman" w:hAnsi="Times New Roman" w:eastAsia="宋体" w:cs="Times New Roman"/>
                <w:b/>
                <w:bCs/>
                <w:sz w:val="24"/>
                <w:szCs w:val="24"/>
                <w:lang w:eastAsia="zh-CN"/>
              </w:rPr>
              <w:t>（</w:t>
            </w:r>
            <w:r>
              <w:rPr>
                <w:rFonts w:ascii="Times New Roman" w:hAnsi="Times New Roman" w:eastAsia="宋体" w:cs="Times New Roman"/>
                <w:b/>
                <w:bCs/>
                <w:sz w:val="24"/>
                <w:szCs w:val="24"/>
              </w:rPr>
              <w:t>编号</w:t>
            </w:r>
            <w:r>
              <w:rPr>
                <w:rFonts w:hint="eastAsia" w:ascii="Times New Roman" w:hAnsi="Times New Roman" w:eastAsia="宋体" w:cs="Times New Roman"/>
                <w:b/>
                <w:bCs/>
                <w:sz w:val="24"/>
                <w:szCs w:val="24"/>
                <w:lang w:eastAsia="zh-CN"/>
              </w:rPr>
              <w:t>）</w:t>
            </w:r>
          </w:p>
        </w:tc>
        <w:tc>
          <w:tcPr>
            <w:tcW w:w="2268" w:type="dxa"/>
            <w:tcBorders>
              <w:top w:val="single" w:color="auto" w:sz="4" w:space="0"/>
              <w:left w:val="single" w:color="auto" w:sz="4" w:space="0"/>
              <w:bottom w:val="single" w:color="auto" w:sz="4" w:space="0"/>
              <w:right w:val="single" w:color="auto" w:sz="4" w:space="0"/>
            </w:tcBorders>
            <w:vAlign w:val="center"/>
          </w:tcPr>
          <w:p w14:paraId="596EFDD0">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污染物名称</w:t>
            </w:r>
          </w:p>
        </w:tc>
        <w:tc>
          <w:tcPr>
            <w:tcW w:w="3402" w:type="dxa"/>
            <w:tcBorders>
              <w:top w:val="single" w:color="auto" w:sz="4" w:space="0"/>
              <w:left w:val="single" w:color="auto" w:sz="4" w:space="0"/>
              <w:bottom w:val="single" w:color="auto" w:sz="4" w:space="0"/>
              <w:right w:val="single" w:color="auto" w:sz="4" w:space="0"/>
            </w:tcBorders>
            <w:vAlign w:val="center"/>
          </w:tcPr>
          <w:p w14:paraId="120BF29A">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防治措施</w:t>
            </w:r>
          </w:p>
        </w:tc>
        <w:tc>
          <w:tcPr>
            <w:tcW w:w="1535" w:type="dxa"/>
            <w:tcBorders>
              <w:top w:val="single" w:color="auto" w:sz="4" w:space="0"/>
              <w:left w:val="single" w:color="auto" w:sz="4" w:space="0"/>
              <w:bottom w:val="single" w:color="auto" w:sz="4" w:space="0"/>
              <w:right w:val="single" w:color="auto" w:sz="4" w:space="0"/>
            </w:tcBorders>
            <w:vAlign w:val="center"/>
          </w:tcPr>
          <w:p w14:paraId="6F66AFD8">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预期治理效果</w:t>
            </w:r>
          </w:p>
        </w:tc>
      </w:tr>
      <w:tr w14:paraId="503A2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jc w:val="center"/>
        </w:trPr>
        <w:tc>
          <w:tcPr>
            <w:tcW w:w="774" w:type="dxa"/>
            <w:vMerge w:val="restart"/>
            <w:vAlign w:val="center"/>
          </w:tcPr>
          <w:p w14:paraId="0E3FE70C">
            <w:pPr>
              <w:jc w:val="left"/>
              <w:rPr>
                <w:rFonts w:ascii="Times New Roman" w:hAnsi="Times New Roman" w:eastAsia="宋体" w:cs="Times New Roman"/>
                <w:sz w:val="24"/>
                <w:szCs w:val="24"/>
              </w:rPr>
            </w:pPr>
            <w:r>
              <w:rPr>
                <w:rFonts w:ascii="Times New Roman" w:hAnsi="Times New Roman" w:eastAsia="宋体" w:cs="Times New Roman"/>
                <w:sz w:val="24"/>
                <w:szCs w:val="24"/>
              </w:rPr>
              <w:t>大气污染物</w:t>
            </w:r>
          </w:p>
        </w:tc>
        <w:tc>
          <w:tcPr>
            <w:tcW w:w="956" w:type="dxa"/>
            <w:vMerge w:val="restart"/>
            <w:vAlign w:val="center"/>
          </w:tcPr>
          <w:p w14:paraId="448F5E52">
            <w:pPr>
              <w:jc w:val="center"/>
              <w:rPr>
                <w:rFonts w:ascii="Times New Roman" w:hAnsi="Times New Roman" w:eastAsia="宋体" w:cs="Times New Roman"/>
                <w:spacing w:val="-12"/>
                <w:sz w:val="24"/>
                <w:szCs w:val="24"/>
              </w:rPr>
            </w:pPr>
            <w:r>
              <w:rPr>
                <w:rFonts w:ascii="Times New Roman" w:hAnsi="Times New Roman" w:eastAsia="宋体" w:cs="Times New Roman"/>
                <w:sz w:val="24"/>
                <w:szCs w:val="24"/>
              </w:rPr>
              <w:t>施工期</w:t>
            </w:r>
          </w:p>
        </w:tc>
        <w:tc>
          <w:tcPr>
            <w:tcW w:w="2268" w:type="dxa"/>
            <w:vAlign w:val="center"/>
          </w:tcPr>
          <w:p w14:paraId="4B225B03">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施工扬尘</w:t>
            </w:r>
          </w:p>
        </w:tc>
        <w:tc>
          <w:tcPr>
            <w:tcW w:w="3402" w:type="dxa"/>
            <w:vAlign w:val="center"/>
          </w:tcPr>
          <w:p w14:paraId="000A5929">
            <w:pPr>
              <w:jc w:val="left"/>
              <w:rPr>
                <w:rFonts w:ascii="Times New Roman" w:hAnsi="Times New Roman" w:eastAsia="宋体" w:cs="Times New Roman"/>
                <w:sz w:val="24"/>
                <w:szCs w:val="24"/>
              </w:rPr>
            </w:pPr>
            <w:r>
              <w:rPr>
                <w:rFonts w:ascii="Times New Roman" w:hAnsi="Times New Roman" w:eastAsia="宋体" w:cs="Times New Roman"/>
                <w:sz w:val="24"/>
                <w:szCs w:val="24"/>
              </w:rPr>
              <w:t>工地周边围挡、物料堆放覆盖、土方开挖湿法作业、路面硬化、出入车辆清洗、渣土车辆密闭运输“六个百分之百”等方面作出防治措施</w:t>
            </w:r>
          </w:p>
        </w:tc>
        <w:tc>
          <w:tcPr>
            <w:tcW w:w="1535" w:type="dxa"/>
            <w:vAlign w:val="center"/>
          </w:tcPr>
          <w:p w14:paraId="280B2FEB">
            <w:pPr>
              <w:jc w:val="center"/>
              <w:rPr>
                <w:rFonts w:ascii="Times New Roman" w:hAnsi="Times New Roman" w:eastAsia="宋体" w:cs="Times New Roman"/>
                <w:sz w:val="24"/>
                <w:szCs w:val="24"/>
              </w:rPr>
            </w:pPr>
            <w:r>
              <w:rPr>
                <w:rFonts w:ascii="Times New Roman" w:hAnsi="Times New Roman" w:eastAsia="宋体" w:cs="Times New Roman"/>
                <w:sz w:val="24"/>
                <w:szCs w:val="24"/>
              </w:rPr>
              <w:t>&lt;1.0mg/m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；量极少</w:t>
            </w:r>
          </w:p>
        </w:tc>
      </w:tr>
      <w:tr w14:paraId="6D23B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774" w:type="dxa"/>
            <w:vMerge w:val="continue"/>
            <w:vAlign w:val="center"/>
          </w:tcPr>
          <w:p w14:paraId="61556D62">
            <w:pPr>
              <w:jc w:val="left"/>
              <w:rPr>
                <w:rFonts w:ascii="Times New Roman" w:hAnsi="Times New Roman" w:eastAsia="宋体" w:cs="Times New Roman"/>
                <w:sz w:val="24"/>
                <w:szCs w:val="24"/>
              </w:rPr>
            </w:pPr>
          </w:p>
        </w:tc>
        <w:tc>
          <w:tcPr>
            <w:tcW w:w="956" w:type="dxa"/>
            <w:vMerge w:val="continue"/>
            <w:vAlign w:val="center"/>
          </w:tcPr>
          <w:p w14:paraId="255225D0">
            <w:pPr>
              <w:jc w:val="center"/>
              <w:rPr>
                <w:rFonts w:ascii="Times New Roman" w:hAnsi="Times New Roman" w:eastAsia="宋体" w:cs="Times New Roman"/>
                <w:sz w:val="24"/>
                <w:szCs w:val="24"/>
              </w:rPr>
            </w:pPr>
          </w:p>
        </w:tc>
        <w:tc>
          <w:tcPr>
            <w:tcW w:w="2268" w:type="dxa"/>
            <w:vAlign w:val="center"/>
          </w:tcPr>
          <w:p w14:paraId="5B8174E7">
            <w:pPr>
              <w:jc w:val="center"/>
              <w:rPr>
                <w:rFonts w:ascii="Times New Roman" w:hAnsi="Times New Roman" w:eastAsia="宋体" w:cs="Times New Roman"/>
                <w:sz w:val="24"/>
                <w:szCs w:val="24"/>
              </w:rPr>
            </w:pPr>
            <w:r>
              <w:rPr>
                <w:rFonts w:ascii="Times New Roman" w:hAnsi="Times New Roman" w:eastAsia="宋体" w:cs="Times New Roman"/>
                <w:sz w:val="24"/>
                <w:szCs w:val="24"/>
              </w:rPr>
              <w:t>汽车尾气</w:t>
            </w:r>
          </w:p>
        </w:tc>
        <w:tc>
          <w:tcPr>
            <w:tcW w:w="3402" w:type="dxa"/>
            <w:vAlign w:val="center"/>
          </w:tcPr>
          <w:p w14:paraId="106EA1AE">
            <w:pPr>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量极少，</w:t>
            </w:r>
            <w:r>
              <w:rPr>
                <w:rFonts w:ascii="Times New Roman" w:hAnsi="Times New Roman" w:eastAsia="宋体" w:cs="Times New Roman"/>
                <w:sz w:val="24"/>
                <w:szCs w:val="24"/>
              </w:rPr>
              <w:t>自然扩散</w:t>
            </w:r>
          </w:p>
        </w:tc>
        <w:tc>
          <w:tcPr>
            <w:tcW w:w="1535" w:type="dxa"/>
            <w:vAlign w:val="center"/>
          </w:tcPr>
          <w:p w14:paraId="7F3D48EE">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46C42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774" w:type="dxa"/>
            <w:vMerge w:val="continue"/>
            <w:vAlign w:val="center"/>
          </w:tcPr>
          <w:p w14:paraId="0F789669">
            <w:pPr>
              <w:jc w:val="center"/>
              <w:rPr>
                <w:rFonts w:ascii="Times New Roman" w:hAnsi="Times New Roman" w:eastAsia="宋体" w:cs="Times New Roman"/>
                <w:sz w:val="24"/>
                <w:szCs w:val="24"/>
              </w:rPr>
            </w:pPr>
          </w:p>
        </w:tc>
        <w:tc>
          <w:tcPr>
            <w:tcW w:w="956" w:type="dxa"/>
            <w:vMerge w:val="restart"/>
            <w:vAlign w:val="center"/>
          </w:tcPr>
          <w:p w14:paraId="202EFC4F">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2268" w:type="dxa"/>
            <w:vAlign w:val="center"/>
          </w:tcPr>
          <w:p w14:paraId="45922516">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工艺</w:t>
            </w:r>
            <w:r>
              <w:rPr>
                <w:rFonts w:ascii="Times New Roman" w:hAnsi="Times New Roman" w:eastAsia="宋体" w:cs="Times New Roman"/>
                <w:sz w:val="24"/>
                <w:szCs w:val="24"/>
              </w:rPr>
              <w:t>粉尘</w:t>
            </w:r>
          </w:p>
        </w:tc>
        <w:tc>
          <w:tcPr>
            <w:tcW w:w="3402" w:type="dxa"/>
            <w:vAlign w:val="center"/>
          </w:tcPr>
          <w:p w14:paraId="12A59449">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各工段安装集气罩，布置4套脉冲布袋除尘共用一根15m排气筒</w:t>
            </w:r>
          </w:p>
        </w:tc>
        <w:tc>
          <w:tcPr>
            <w:tcW w:w="1535" w:type="dxa"/>
            <w:vAlign w:val="center"/>
          </w:tcPr>
          <w:p w14:paraId="75367F72">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2D27B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774" w:type="dxa"/>
            <w:vMerge w:val="continue"/>
            <w:vAlign w:val="center"/>
          </w:tcPr>
          <w:p w14:paraId="6EABEEF0">
            <w:pPr>
              <w:jc w:val="center"/>
              <w:rPr>
                <w:rFonts w:ascii="Times New Roman" w:hAnsi="Times New Roman" w:eastAsia="宋体" w:cs="Times New Roman"/>
                <w:sz w:val="24"/>
                <w:szCs w:val="24"/>
              </w:rPr>
            </w:pPr>
          </w:p>
        </w:tc>
        <w:tc>
          <w:tcPr>
            <w:tcW w:w="956" w:type="dxa"/>
            <w:vMerge w:val="continue"/>
            <w:vAlign w:val="center"/>
          </w:tcPr>
          <w:p w14:paraId="54FA6AEB">
            <w:pPr>
              <w:jc w:val="center"/>
              <w:rPr>
                <w:rFonts w:ascii="Times New Roman" w:hAnsi="Times New Roman" w:eastAsia="宋体" w:cs="Times New Roman"/>
                <w:sz w:val="24"/>
                <w:szCs w:val="24"/>
              </w:rPr>
            </w:pPr>
          </w:p>
        </w:tc>
        <w:tc>
          <w:tcPr>
            <w:tcW w:w="2268" w:type="dxa"/>
            <w:vAlign w:val="center"/>
          </w:tcPr>
          <w:p w14:paraId="25E48B6B">
            <w:pPr>
              <w:jc w:val="center"/>
              <w:rPr>
                <w:rFonts w:ascii="Times New Roman" w:hAnsi="Times New Roman" w:eastAsia="宋体" w:cs="Times New Roman"/>
                <w:bCs/>
                <w:sz w:val="24"/>
                <w:szCs w:val="24"/>
              </w:rPr>
            </w:pPr>
            <w:r>
              <w:rPr>
                <w:rFonts w:hint="eastAsia" w:ascii="Times New Roman" w:hAnsi="Times New Roman" w:eastAsia="宋体" w:cs="Times New Roman"/>
                <w:sz w:val="24"/>
                <w:szCs w:val="24"/>
              </w:rPr>
              <w:t>进料、输送</w:t>
            </w:r>
            <w:r>
              <w:rPr>
                <w:rFonts w:ascii="Times New Roman" w:hAnsi="Times New Roman" w:eastAsia="宋体" w:cs="Times New Roman"/>
                <w:sz w:val="24"/>
                <w:szCs w:val="24"/>
              </w:rPr>
              <w:t>粉尘</w:t>
            </w:r>
          </w:p>
        </w:tc>
        <w:tc>
          <w:tcPr>
            <w:tcW w:w="3402" w:type="dxa"/>
            <w:vAlign w:val="center"/>
          </w:tcPr>
          <w:p w14:paraId="4BC55DBD">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安装集气罩，进入脉冲布袋除尘共用一根15m排气筒</w:t>
            </w:r>
          </w:p>
        </w:tc>
        <w:tc>
          <w:tcPr>
            <w:tcW w:w="1535" w:type="dxa"/>
            <w:vAlign w:val="center"/>
          </w:tcPr>
          <w:p w14:paraId="6DA9FBA4">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16A93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774" w:type="dxa"/>
            <w:vMerge w:val="continue"/>
            <w:vAlign w:val="center"/>
          </w:tcPr>
          <w:p w14:paraId="6793B968">
            <w:pPr>
              <w:jc w:val="center"/>
              <w:rPr>
                <w:rFonts w:ascii="Times New Roman" w:hAnsi="Times New Roman" w:eastAsia="宋体" w:cs="Times New Roman"/>
                <w:sz w:val="24"/>
                <w:szCs w:val="24"/>
              </w:rPr>
            </w:pPr>
          </w:p>
        </w:tc>
        <w:tc>
          <w:tcPr>
            <w:tcW w:w="956" w:type="dxa"/>
            <w:vMerge w:val="continue"/>
            <w:vAlign w:val="center"/>
          </w:tcPr>
          <w:p w14:paraId="293CB7BB">
            <w:pPr>
              <w:jc w:val="center"/>
              <w:rPr>
                <w:rFonts w:ascii="Times New Roman" w:hAnsi="Times New Roman" w:eastAsia="宋体" w:cs="Times New Roman"/>
                <w:sz w:val="24"/>
                <w:szCs w:val="24"/>
              </w:rPr>
            </w:pPr>
          </w:p>
        </w:tc>
        <w:tc>
          <w:tcPr>
            <w:tcW w:w="2268" w:type="dxa"/>
            <w:vAlign w:val="center"/>
          </w:tcPr>
          <w:p w14:paraId="19613875">
            <w:pPr>
              <w:jc w:val="center"/>
              <w:rPr>
                <w:rFonts w:ascii="Times New Roman" w:hAnsi="Times New Roman" w:eastAsia="宋体" w:cs="Times New Roman"/>
                <w:bCs/>
                <w:sz w:val="24"/>
                <w:szCs w:val="24"/>
              </w:rPr>
            </w:pPr>
            <w:r>
              <w:rPr>
                <w:rFonts w:ascii="Times New Roman" w:hAnsi="Times New Roman" w:eastAsia="宋体" w:cs="Times New Roman"/>
                <w:sz w:val="24"/>
                <w:szCs w:val="24"/>
              </w:rPr>
              <w:t>堆场粉尘</w:t>
            </w:r>
          </w:p>
        </w:tc>
        <w:tc>
          <w:tcPr>
            <w:tcW w:w="3402" w:type="dxa"/>
            <w:vAlign w:val="center"/>
          </w:tcPr>
          <w:p w14:paraId="41BFAAD5">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袋装+车间密闭</w:t>
            </w:r>
            <w:r>
              <w:rPr>
                <w:rFonts w:ascii="Times New Roman" w:hAnsi="Times New Roman" w:eastAsia="宋体" w:cs="Times New Roman"/>
                <w:sz w:val="24"/>
                <w:szCs w:val="24"/>
              </w:rPr>
              <w:t>+少量堆存</w:t>
            </w:r>
          </w:p>
        </w:tc>
        <w:tc>
          <w:tcPr>
            <w:tcW w:w="1535" w:type="dxa"/>
            <w:vAlign w:val="center"/>
          </w:tcPr>
          <w:p w14:paraId="71098E69">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61B88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774" w:type="dxa"/>
            <w:vMerge w:val="continue"/>
            <w:vAlign w:val="center"/>
          </w:tcPr>
          <w:p w14:paraId="7453C57E">
            <w:pPr>
              <w:jc w:val="center"/>
              <w:rPr>
                <w:rFonts w:ascii="Times New Roman" w:hAnsi="Times New Roman" w:eastAsia="宋体" w:cs="Times New Roman"/>
                <w:sz w:val="24"/>
                <w:szCs w:val="24"/>
              </w:rPr>
            </w:pPr>
          </w:p>
        </w:tc>
        <w:tc>
          <w:tcPr>
            <w:tcW w:w="956" w:type="dxa"/>
            <w:vMerge w:val="continue"/>
            <w:vAlign w:val="center"/>
          </w:tcPr>
          <w:p w14:paraId="4CCC72E6">
            <w:pPr>
              <w:jc w:val="center"/>
              <w:rPr>
                <w:rFonts w:ascii="Times New Roman" w:hAnsi="Times New Roman" w:eastAsia="宋体" w:cs="Times New Roman"/>
                <w:sz w:val="24"/>
                <w:szCs w:val="24"/>
              </w:rPr>
            </w:pPr>
          </w:p>
        </w:tc>
        <w:tc>
          <w:tcPr>
            <w:tcW w:w="2268" w:type="dxa"/>
            <w:vAlign w:val="center"/>
          </w:tcPr>
          <w:p w14:paraId="5A60D2C5">
            <w:pPr>
              <w:jc w:val="center"/>
              <w:rPr>
                <w:rFonts w:ascii="Times New Roman" w:hAnsi="Times New Roman" w:eastAsia="宋体" w:cs="Times New Roman"/>
                <w:bCs/>
                <w:sz w:val="24"/>
                <w:szCs w:val="24"/>
              </w:rPr>
            </w:pPr>
            <w:r>
              <w:rPr>
                <w:rFonts w:ascii="Times New Roman" w:hAnsi="Times New Roman" w:eastAsia="宋体" w:cs="Times New Roman"/>
                <w:sz w:val="24"/>
                <w:szCs w:val="24"/>
              </w:rPr>
              <w:t>汽车运输扬尘</w:t>
            </w:r>
          </w:p>
        </w:tc>
        <w:tc>
          <w:tcPr>
            <w:tcW w:w="3402" w:type="dxa"/>
            <w:vAlign w:val="center"/>
          </w:tcPr>
          <w:p w14:paraId="4F82BB03">
            <w:pPr>
              <w:jc w:val="center"/>
              <w:rPr>
                <w:rFonts w:ascii="Times New Roman" w:hAnsi="Times New Roman" w:eastAsia="宋体" w:cs="Times New Roman"/>
                <w:sz w:val="24"/>
                <w:szCs w:val="24"/>
              </w:rPr>
            </w:pPr>
            <w:r>
              <w:rPr>
                <w:rFonts w:ascii="Times New Roman" w:hAnsi="Times New Roman" w:eastAsia="宋体" w:cs="Times New Roman"/>
                <w:sz w:val="24"/>
                <w:szCs w:val="24"/>
              </w:rPr>
              <w:t>轮胎冲洗、</w:t>
            </w:r>
            <w:r>
              <w:rPr>
                <w:rFonts w:hint="eastAsia" w:ascii="Times New Roman" w:hAnsi="Times New Roman" w:eastAsia="宋体" w:cs="Times New Roman"/>
                <w:sz w:val="24"/>
                <w:szCs w:val="24"/>
              </w:rPr>
              <w:t>道路硬化、洒水降尘</w:t>
            </w:r>
          </w:p>
        </w:tc>
        <w:tc>
          <w:tcPr>
            <w:tcW w:w="1535" w:type="dxa"/>
            <w:vAlign w:val="center"/>
          </w:tcPr>
          <w:p w14:paraId="654D4E0F">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0F34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restart"/>
            <w:vAlign w:val="center"/>
          </w:tcPr>
          <w:p w14:paraId="7FD96A47">
            <w:pPr>
              <w:jc w:val="center"/>
              <w:rPr>
                <w:rFonts w:ascii="Times New Roman" w:hAnsi="Times New Roman" w:eastAsia="宋体" w:cs="Times New Roman"/>
                <w:sz w:val="24"/>
                <w:szCs w:val="24"/>
              </w:rPr>
            </w:pPr>
            <w:r>
              <w:rPr>
                <w:rFonts w:ascii="Times New Roman" w:hAnsi="Times New Roman" w:eastAsia="宋体" w:cs="Times New Roman"/>
                <w:sz w:val="24"/>
                <w:szCs w:val="24"/>
              </w:rPr>
              <w:t>水污染物</w:t>
            </w:r>
          </w:p>
        </w:tc>
        <w:tc>
          <w:tcPr>
            <w:tcW w:w="956" w:type="dxa"/>
            <w:vMerge w:val="restart"/>
            <w:vAlign w:val="center"/>
          </w:tcPr>
          <w:p w14:paraId="52CF2851">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2268" w:type="dxa"/>
            <w:vAlign w:val="center"/>
          </w:tcPr>
          <w:p w14:paraId="704A9572">
            <w:pPr>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施工人员生活污水</w:t>
            </w:r>
          </w:p>
        </w:tc>
        <w:tc>
          <w:tcPr>
            <w:tcW w:w="3402" w:type="dxa"/>
            <w:tcBorders>
              <w:right w:val="single" w:color="000000" w:sz="4" w:space="0"/>
            </w:tcBorders>
            <w:vAlign w:val="center"/>
          </w:tcPr>
          <w:p w14:paraId="78543770">
            <w:pPr>
              <w:jc w:val="left"/>
              <w:rPr>
                <w:rFonts w:ascii="Times New Roman" w:hAnsi="Times New Roman" w:eastAsia="宋体" w:cs="Times New Roman"/>
                <w:sz w:val="24"/>
                <w:szCs w:val="24"/>
              </w:rPr>
            </w:pPr>
            <w:r>
              <w:rPr>
                <w:rFonts w:ascii="Times New Roman" w:hAnsi="Times New Roman" w:eastAsia="宋体" w:cs="Times New Roman"/>
                <w:sz w:val="24"/>
                <w:szCs w:val="24"/>
              </w:rPr>
              <w:t>依托现有设施处理后回用农肥</w:t>
            </w:r>
          </w:p>
        </w:tc>
        <w:tc>
          <w:tcPr>
            <w:tcW w:w="1535" w:type="dxa"/>
            <w:vMerge w:val="restart"/>
            <w:tcBorders>
              <w:left w:val="single" w:color="000000" w:sz="4" w:space="0"/>
            </w:tcBorders>
            <w:vAlign w:val="center"/>
          </w:tcPr>
          <w:p w14:paraId="51DFBBCC">
            <w:pPr>
              <w:jc w:val="center"/>
              <w:rPr>
                <w:rFonts w:ascii="Times New Roman" w:hAnsi="Times New Roman" w:eastAsia="宋体" w:cs="Times New Roman"/>
                <w:sz w:val="24"/>
                <w:szCs w:val="24"/>
              </w:rPr>
            </w:pPr>
            <w:r>
              <w:rPr>
                <w:rFonts w:ascii="Times New Roman" w:hAnsi="Times New Roman" w:eastAsia="宋体" w:cs="Times New Roman"/>
                <w:sz w:val="24"/>
                <w:szCs w:val="24"/>
              </w:rPr>
              <w:t>妥善处理处置</w:t>
            </w:r>
          </w:p>
        </w:tc>
      </w:tr>
      <w:tr w14:paraId="65366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678EE291">
            <w:pPr>
              <w:jc w:val="center"/>
              <w:rPr>
                <w:rFonts w:ascii="Times New Roman" w:hAnsi="Times New Roman" w:eastAsia="宋体" w:cs="Times New Roman"/>
                <w:sz w:val="24"/>
                <w:szCs w:val="24"/>
              </w:rPr>
            </w:pPr>
          </w:p>
        </w:tc>
        <w:tc>
          <w:tcPr>
            <w:tcW w:w="956" w:type="dxa"/>
            <w:vMerge w:val="continue"/>
            <w:vAlign w:val="center"/>
          </w:tcPr>
          <w:p w14:paraId="6F96C30B">
            <w:pPr>
              <w:jc w:val="center"/>
              <w:rPr>
                <w:rFonts w:ascii="Times New Roman" w:hAnsi="Times New Roman" w:eastAsia="宋体" w:cs="Times New Roman"/>
                <w:sz w:val="24"/>
                <w:szCs w:val="24"/>
              </w:rPr>
            </w:pPr>
          </w:p>
        </w:tc>
        <w:tc>
          <w:tcPr>
            <w:tcW w:w="2268" w:type="dxa"/>
            <w:vAlign w:val="center"/>
          </w:tcPr>
          <w:p w14:paraId="05C56C32">
            <w:pPr>
              <w:jc w:val="center"/>
              <w:rPr>
                <w:rFonts w:ascii="Times New Roman" w:hAnsi="Times New Roman" w:eastAsia="宋体" w:cs="Times New Roman"/>
                <w:sz w:val="24"/>
                <w:szCs w:val="24"/>
              </w:rPr>
            </w:pPr>
            <w:r>
              <w:rPr>
                <w:rFonts w:ascii="Times New Roman" w:hAnsi="Times New Roman" w:eastAsia="宋体" w:cs="Times New Roman"/>
                <w:sz w:val="24"/>
                <w:szCs w:val="24"/>
              </w:rPr>
              <w:t>施工废水</w:t>
            </w:r>
          </w:p>
        </w:tc>
        <w:tc>
          <w:tcPr>
            <w:tcW w:w="3402" w:type="dxa"/>
            <w:tcBorders>
              <w:right w:val="single" w:color="000000" w:sz="4" w:space="0"/>
            </w:tcBorders>
            <w:vAlign w:val="center"/>
          </w:tcPr>
          <w:p w14:paraId="01D45C8F">
            <w:pPr>
              <w:jc w:val="left"/>
              <w:rPr>
                <w:rFonts w:ascii="Times New Roman" w:hAnsi="Times New Roman" w:eastAsia="宋体" w:cs="Times New Roman"/>
                <w:sz w:val="24"/>
                <w:szCs w:val="24"/>
              </w:rPr>
            </w:pPr>
            <w:r>
              <w:rPr>
                <w:rFonts w:ascii="Times New Roman" w:hAnsi="Times New Roman" w:eastAsia="宋体" w:cs="Times New Roman"/>
                <w:sz w:val="24"/>
                <w:szCs w:val="24"/>
              </w:rPr>
              <w:t>沉淀池收集处理后回用</w:t>
            </w:r>
          </w:p>
        </w:tc>
        <w:tc>
          <w:tcPr>
            <w:tcW w:w="1535" w:type="dxa"/>
            <w:vMerge w:val="continue"/>
            <w:tcBorders>
              <w:left w:val="single" w:color="000000" w:sz="4" w:space="0"/>
            </w:tcBorders>
            <w:vAlign w:val="center"/>
          </w:tcPr>
          <w:p w14:paraId="4AEF9BBC">
            <w:pPr>
              <w:jc w:val="center"/>
              <w:rPr>
                <w:rFonts w:ascii="Times New Roman" w:hAnsi="Times New Roman" w:eastAsia="宋体" w:cs="Times New Roman"/>
                <w:sz w:val="24"/>
                <w:szCs w:val="24"/>
              </w:rPr>
            </w:pPr>
          </w:p>
        </w:tc>
      </w:tr>
      <w:tr w14:paraId="71AE0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73302893">
            <w:pPr>
              <w:jc w:val="center"/>
              <w:rPr>
                <w:rFonts w:ascii="Times New Roman" w:hAnsi="Times New Roman" w:eastAsia="宋体" w:cs="Times New Roman"/>
                <w:sz w:val="24"/>
                <w:szCs w:val="24"/>
              </w:rPr>
            </w:pPr>
          </w:p>
        </w:tc>
        <w:tc>
          <w:tcPr>
            <w:tcW w:w="956" w:type="dxa"/>
            <w:vMerge w:val="restart"/>
            <w:vAlign w:val="center"/>
          </w:tcPr>
          <w:p w14:paraId="199175C2">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2268" w:type="dxa"/>
            <w:vAlign w:val="center"/>
          </w:tcPr>
          <w:p w14:paraId="7C5F4BBF">
            <w:pPr>
              <w:jc w:val="center"/>
              <w:rPr>
                <w:rFonts w:ascii="Times New Roman" w:hAnsi="Times New Roman" w:eastAsia="宋体" w:cs="Times New Roman"/>
                <w:sz w:val="24"/>
                <w:szCs w:val="24"/>
              </w:rPr>
            </w:pPr>
            <w:r>
              <w:rPr>
                <w:rFonts w:ascii="Times New Roman" w:hAnsi="Times New Roman" w:eastAsia="宋体" w:cs="Times New Roman"/>
                <w:sz w:val="24"/>
                <w:szCs w:val="24"/>
              </w:rPr>
              <w:t>生活污水</w:t>
            </w:r>
          </w:p>
        </w:tc>
        <w:tc>
          <w:tcPr>
            <w:tcW w:w="3402" w:type="dxa"/>
            <w:tcBorders>
              <w:right w:val="single" w:color="000000" w:sz="4" w:space="0"/>
            </w:tcBorders>
            <w:vAlign w:val="center"/>
          </w:tcPr>
          <w:p w14:paraId="6EE9C808">
            <w:pPr>
              <w:jc w:val="center"/>
              <w:rPr>
                <w:rFonts w:ascii="Times New Roman" w:hAnsi="Times New Roman" w:eastAsia="宋体" w:cs="Times New Roman"/>
                <w:sz w:val="24"/>
                <w:szCs w:val="24"/>
              </w:rPr>
            </w:pPr>
            <w:r>
              <w:rPr>
                <w:rFonts w:ascii="Times New Roman" w:hAnsi="Times New Roman" w:eastAsia="宋体" w:cs="Times New Roman"/>
                <w:kern w:val="0"/>
                <w:sz w:val="24"/>
                <w:szCs w:val="24"/>
              </w:rPr>
              <w:t>经预处理池处理后回用作农肥，不直接外排</w:t>
            </w:r>
          </w:p>
        </w:tc>
        <w:tc>
          <w:tcPr>
            <w:tcW w:w="1535" w:type="dxa"/>
            <w:vMerge w:val="continue"/>
            <w:tcBorders>
              <w:left w:val="single" w:color="000000" w:sz="4" w:space="0"/>
            </w:tcBorders>
            <w:vAlign w:val="center"/>
          </w:tcPr>
          <w:p w14:paraId="19ABDF9B">
            <w:pPr>
              <w:jc w:val="center"/>
              <w:rPr>
                <w:rFonts w:ascii="Times New Roman" w:hAnsi="Times New Roman" w:eastAsia="宋体" w:cs="Times New Roman"/>
                <w:sz w:val="24"/>
                <w:szCs w:val="24"/>
              </w:rPr>
            </w:pPr>
          </w:p>
        </w:tc>
      </w:tr>
      <w:tr w14:paraId="27A9C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3CEEF32B">
            <w:pPr>
              <w:jc w:val="center"/>
              <w:rPr>
                <w:rFonts w:ascii="Times New Roman" w:hAnsi="Times New Roman" w:eastAsia="宋体" w:cs="Times New Roman"/>
                <w:sz w:val="24"/>
                <w:szCs w:val="24"/>
              </w:rPr>
            </w:pPr>
          </w:p>
        </w:tc>
        <w:tc>
          <w:tcPr>
            <w:tcW w:w="956" w:type="dxa"/>
            <w:vMerge w:val="continue"/>
            <w:vAlign w:val="center"/>
          </w:tcPr>
          <w:p w14:paraId="35F3995B">
            <w:pPr>
              <w:jc w:val="center"/>
              <w:rPr>
                <w:rFonts w:ascii="Times New Roman" w:hAnsi="Times New Roman" w:eastAsia="宋体" w:cs="Times New Roman"/>
                <w:sz w:val="24"/>
                <w:szCs w:val="24"/>
              </w:rPr>
            </w:pPr>
          </w:p>
        </w:tc>
        <w:tc>
          <w:tcPr>
            <w:tcW w:w="2268" w:type="dxa"/>
            <w:vAlign w:val="center"/>
          </w:tcPr>
          <w:p w14:paraId="5D4EFEA4">
            <w:pPr>
              <w:jc w:val="center"/>
              <w:rPr>
                <w:rFonts w:ascii="Times New Roman" w:hAnsi="Times New Roman" w:eastAsia="宋体" w:cs="Times New Roman"/>
                <w:sz w:val="24"/>
                <w:szCs w:val="24"/>
              </w:rPr>
            </w:pPr>
            <w:r>
              <w:rPr>
                <w:rFonts w:ascii="Times New Roman" w:hAnsi="Times New Roman" w:eastAsia="宋体" w:cs="Times New Roman"/>
                <w:bCs/>
                <w:sz w:val="24"/>
              </w:rPr>
              <w:t>轮胎冲洗水</w:t>
            </w:r>
          </w:p>
        </w:tc>
        <w:tc>
          <w:tcPr>
            <w:tcW w:w="3402" w:type="dxa"/>
            <w:tcBorders>
              <w:right w:val="single" w:color="000000" w:sz="4" w:space="0"/>
            </w:tcBorders>
            <w:vAlign w:val="center"/>
          </w:tcPr>
          <w:p w14:paraId="3A8BB777">
            <w:pPr>
              <w:jc w:val="center"/>
              <w:rPr>
                <w:rFonts w:ascii="Times New Roman" w:hAnsi="Times New Roman" w:eastAsia="宋体" w:cs="Times New Roman"/>
                <w:sz w:val="24"/>
                <w:szCs w:val="24"/>
              </w:rPr>
            </w:pPr>
            <w:r>
              <w:rPr>
                <w:rFonts w:ascii="Times New Roman" w:hAnsi="Times New Roman" w:eastAsia="宋体" w:cs="Times New Roman"/>
                <w:bCs/>
                <w:kern w:val="0"/>
                <w:sz w:val="24"/>
                <w:szCs w:val="24"/>
              </w:rPr>
              <w:t>轮胎冲洗池</w:t>
            </w:r>
          </w:p>
        </w:tc>
        <w:tc>
          <w:tcPr>
            <w:tcW w:w="1535" w:type="dxa"/>
            <w:vMerge w:val="continue"/>
            <w:tcBorders>
              <w:left w:val="single" w:color="000000" w:sz="4" w:space="0"/>
            </w:tcBorders>
            <w:vAlign w:val="center"/>
          </w:tcPr>
          <w:p w14:paraId="1D0A1A90">
            <w:pPr>
              <w:jc w:val="center"/>
              <w:rPr>
                <w:rFonts w:ascii="Times New Roman" w:hAnsi="Times New Roman" w:eastAsia="宋体" w:cs="Times New Roman"/>
                <w:sz w:val="24"/>
                <w:szCs w:val="24"/>
              </w:rPr>
            </w:pPr>
          </w:p>
        </w:tc>
      </w:tr>
      <w:tr w14:paraId="18145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365D3FA4">
            <w:pPr>
              <w:jc w:val="center"/>
              <w:rPr>
                <w:rFonts w:ascii="Times New Roman" w:hAnsi="Times New Roman" w:eastAsia="宋体" w:cs="Times New Roman"/>
                <w:sz w:val="24"/>
                <w:szCs w:val="24"/>
              </w:rPr>
            </w:pPr>
          </w:p>
        </w:tc>
        <w:tc>
          <w:tcPr>
            <w:tcW w:w="956" w:type="dxa"/>
            <w:vMerge w:val="continue"/>
            <w:vAlign w:val="center"/>
          </w:tcPr>
          <w:p w14:paraId="325F43FB">
            <w:pPr>
              <w:jc w:val="center"/>
              <w:rPr>
                <w:rFonts w:ascii="Times New Roman" w:hAnsi="Times New Roman" w:eastAsia="宋体" w:cs="Times New Roman"/>
                <w:sz w:val="24"/>
                <w:szCs w:val="24"/>
              </w:rPr>
            </w:pPr>
          </w:p>
        </w:tc>
        <w:tc>
          <w:tcPr>
            <w:tcW w:w="2268" w:type="dxa"/>
            <w:vAlign w:val="center"/>
          </w:tcPr>
          <w:p w14:paraId="0BBFC004">
            <w:pPr>
              <w:jc w:val="center"/>
              <w:rPr>
                <w:rFonts w:ascii="Times New Roman" w:hAnsi="Times New Roman" w:eastAsia="宋体" w:cs="Times New Roman"/>
                <w:sz w:val="24"/>
                <w:szCs w:val="24"/>
              </w:rPr>
            </w:pPr>
            <w:r>
              <w:rPr>
                <w:rFonts w:ascii="Times New Roman" w:hAnsi="Times New Roman" w:eastAsia="宋体" w:cs="Times New Roman"/>
                <w:bCs/>
                <w:sz w:val="24"/>
              </w:rPr>
              <w:t>雨水</w:t>
            </w:r>
          </w:p>
        </w:tc>
        <w:tc>
          <w:tcPr>
            <w:tcW w:w="3402" w:type="dxa"/>
            <w:tcBorders>
              <w:right w:val="single" w:color="000000" w:sz="4" w:space="0"/>
            </w:tcBorders>
            <w:vAlign w:val="center"/>
          </w:tcPr>
          <w:p w14:paraId="56360609">
            <w:pPr>
              <w:jc w:val="center"/>
              <w:rPr>
                <w:rFonts w:ascii="Times New Roman" w:hAnsi="Times New Roman" w:eastAsia="宋体" w:cs="Times New Roman"/>
                <w:sz w:val="24"/>
                <w:szCs w:val="24"/>
              </w:rPr>
            </w:pPr>
            <w:r>
              <w:rPr>
                <w:rFonts w:hint="eastAsia" w:ascii="Times New Roman" w:hAnsi="Times New Roman" w:eastAsia="宋体" w:cs="Times New Roman"/>
                <w:bCs/>
                <w:kern w:val="0"/>
                <w:sz w:val="24"/>
                <w:szCs w:val="24"/>
              </w:rPr>
              <w:t>雨水导排沟、雨水斗等</w:t>
            </w:r>
          </w:p>
        </w:tc>
        <w:tc>
          <w:tcPr>
            <w:tcW w:w="1535" w:type="dxa"/>
            <w:vMerge w:val="continue"/>
            <w:tcBorders>
              <w:left w:val="single" w:color="000000" w:sz="4" w:space="0"/>
            </w:tcBorders>
            <w:vAlign w:val="center"/>
          </w:tcPr>
          <w:p w14:paraId="71926407">
            <w:pPr>
              <w:jc w:val="center"/>
              <w:rPr>
                <w:rFonts w:ascii="Times New Roman" w:hAnsi="Times New Roman" w:eastAsia="宋体" w:cs="Times New Roman"/>
                <w:sz w:val="24"/>
                <w:szCs w:val="24"/>
              </w:rPr>
            </w:pPr>
          </w:p>
        </w:tc>
      </w:tr>
      <w:tr w14:paraId="18B37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restart"/>
            <w:vAlign w:val="center"/>
          </w:tcPr>
          <w:p w14:paraId="601299AB">
            <w:pPr>
              <w:jc w:val="left"/>
              <w:rPr>
                <w:rFonts w:ascii="Times New Roman" w:hAnsi="Times New Roman" w:eastAsia="宋体" w:cs="Times New Roman"/>
                <w:sz w:val="24"/>
                <w:szCs w:val="24"/>
              </w:rPr>
            </w:pPr>
            <w:r>
              <w:rPr>
                <w:rFonts w:ascii="Times New Roman" w:hAnsi="Times New Roman" w:eastAsia="宋体" w:cs="Times New Roman"/>
                <w:sz w:val="24"/>
                <w:szCs w:val="24"/>
              </w:rPr>
              <w:t>固体废弃物</w:t>
            </w:r>
          </w:p>
        </w:tc>
        <w:tc>
          <w:tcPr>
            <w:tcW w:w="956" w:type="dxa"/>
            <w:vMerge w:val="restart"/>
            <w:vAlign w:val="center"/>
          </w:tcPr>
          <w:p w14:paraId="449E18ED">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2268" w:type="dxa"/>
            <w:tcBorders>
              <w:bottom w:val="single" w:color="auto" w:sz="4" w:space="0"/>
            </w:tcBorders>
            <w:vAlign w:val="center"/>
          </w:tcPr>
          <w:p w14:paraId="002F13D8">
            <w:pPr>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施工人员生活垃圾</w:t>
            </w:r>
          </w:p>
        </w:tc>
        <w:tc>
          <w:tcPr>
            <w:tcW w:w="3402" w:type="dxa"/>
            <w:tcBorders>
              <w:right w:val="single" w:color="000000" w:sz="4" w:space="0"/>
            </w:tcBorders>
            <w:vAlign w:val="center"/>
          </w:tcPr>
          <w:p w14:paraId="2918ED7B">
            <w:pPr>
              <w:jc w:val="center"/>
              <w:rPr>
                <w:rFonts w:ascii="Times New Roman" w:hAnsi="Times New Roman" w:eastAsia="宋体" w:cs="Times New Roman"/>
                <w:sz w:val="24"/>
                <w:szCs w:val="24"/>
              </w:rPr>
            </w:pPr>
            <w:r>
              <w:rPr>
                <w:rFonts w:ascii="Times New Roman" w:hAnsi="Times New Roman" w:eastAsia="宋体" w:cs="Times New Roman"/>
                <w:sz w:val="24"/>
                <w:szCs w:val="24"/>
              </w:rPr>
              <w:t>由环卫部门清运</w:t>
            </w:r>
          </w:p>
        </w:tc>
        <w:tc>
          <w:tcPr>
            <w:tcW w:w="1535" w:type="dxa"/>
            <w:vMerge w:val="restart"/>
            <w:tcBorders>
              <w:left w:val="single" w:color="000000" w:sz="4" w:space="0"/>
            </w:tcBorders>
            <w:vAlign w:val="center"/>
          </w:tcPr>
          <w:p w14:paraId="3C5B6160">
            <w:pPr>
              <w:jc w:val="center"/>
              <w:rPr>
                <w:rFonts w:ascii="Times New Roman" w:hAnsi="Times New Roman" w:eastAsia="宋体" w:cs="Times New Roman"/>
                <w:sz w:val="24"/>
                <w:szCs w:val="24"/>
              </w:rPr>
            </w:pPr>
            <w:r>
              <w:rPr>
                <w:rFonts w:ascii="Times New Roman" w:hAnsi="Times New Roman" w:eastAsia="宋体" w:cs="Times New Roman"/>
                <w:sz w:val="24"/>
                <w:szCs w:val="24"/>
              </w:rPr>
              <w:t>减量化、资源化、无害化</w:t>
            </w:r>
          </w:p>
        </w:tc>
      </w:tr>
      <w:tr w14:paraId="72F84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37292079">
            <w:pPr>
              <w:jc w:val="left"/>
              <w:rPr>
                <w:rFonts w:ascii="Times New Roman" w:hAnsi="Times New Roman" w:eastAsia="宋体" w:cs="Times New Roman"/>
                <w:sz w:val="24"/>
                <w:szCs w:val="24"/>
              </w:rPr>
            </w:pPr>
          </w:p>
        </w:tc>
        <w:tc>
          <w:tcPr>
            <w:tcW w:w="956" w:type="dxa"/>
            <w:vMerge w:val="continue"/>
            <w:vAlign w:val="center"/>
          </w:tcPr>
          <w:p w14:paraId="3FCF9DD2">
            <w:pPr>
              <w:jc w:val="center"/>
              <w:rPr>
                <w:rFonts w:ascii="Times New Roman" w:hAnsi="Times New Roman" w:eastAsia="宋体" w:cs="Times New Roman"/>
                <w:sz w:val="24"/>
                <w:szCs w:val="24"/>
              </w:rPr>
            </w:pPr>
          </w:p>
        </w:tc>
        <w:tc>
          <w:tcPr>
            <w:tcW w:w="2268" w:type="dxa"/>
            <w:tcBorders>
              <w:bottom w:val="single" w:color="auto" w:sz="4" w:space="0"/>
            </w:tcBorders>
            <w:vAlign w:val="center"/>
          </w:tcPr>
          <w:p w14:paraId="1AE64F4B">
            <w:pPr>
              <w:jc w:val="center"/>
              <w:rPr>
                <w:rFonts w:ascii="Times New Roman" w:hAnsi="Times New Roman" w:eastAsia="宋体" w:cs="Times New Roman"/>
                <w:sz w:val="24"/>
                <w:szCs w:val="24"/>
              </w:rPr>
            </w:pPr>
            <w:r>
              <w:rPr>
                <w:rFonts w:ascii="Times New Roman" w:hAnsi="Times New Roman" w:eastAsia="宋体" w:cs="Times New Roman"/>
                <w:sz w:val="24"/>
                <w:szCs w:val="24"/>
              </w:rPr>
              <w:t>建筑垃圾及弃渣</w:t>
            </w:r>
          </w:p>
        </w:tc>
        <w:tc>
          <w:tcPr>
            <w:tcW w:w="3402" w:type="dxa"/>
            <w:tcBorders>
              <w:right w:val="single" w:color="000000" w:sz="4" w:space="0"/>
            </w:tcBorders>
            <w:vAlign w:val="center"/>
          </w:tcPr>
          <w:p w14:paraId="107CA719">
            <w:pPr>
              <w:jc w:val="center"/>
              <w:rPr>
                <w:rFonts w:ascii="Times New Roman" w:hAnsi="Times New Roman" w:eastAsia="宋体" w:cs="Times New Roman"/>
                <w:sz w:val="24"/>
                <w:szCs w:val="24"/>
              </w:rPr>
            </w:pPr>
            <w:r>
              <w:rPr>
                <w:rFonts w:ascii="Times New Roman" w:hAnsi="Times New Roman" w:eastAsia="宋体" w:cs="Times New Roman"/>
                <w:sz w:val="24"/>
                <w:szCs w:val="24"/>
              </w:rPr>
              <w:t>运往政府制定地点</w:t>
            </w:r>
          </w:p>
        </w:tc>
        <w:tc>
          <w:tcPr>
            <w:tcW w:w="1535" w:type="dxa"/>
            <w:vMerge w:val="continue"/>
            <w:tcBorders>
              <w:left w:val="single" w:color="000000" w:sz="4" w:space="0"/>
            </w:tcBorders>
            <w:vAlign w:val="center"/>
          </w:tcPr>
          <w:p w14:paraId="19231C10">
            <w:pPr>
              <w:jc w:val="center"/>
              <w:rPr>
                <w:rFonts w:ascii="Times New Roman" w:hAnsi="Times New Roman" w:eastAsia="宋体" w:cs="Times New Roman"/>
                <w:sz w:val="24"/>
                <w:szCs w:val="24"/>
              </w:rPr>
            </w:pPr>
          </w:p>
        </w:tc>
      </w:tr>
      <w:tr w14:paraId="17D81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3A6A0F57">
            <w:pPr>
              <w:jc w:val="center"/>
              <w:rPr>
                <w:rFonts w:ascii="Times New Roman" w:hAnsi="Times New Roman" w:eastAsia="宋体" w:cs="Times New Roman"/>
                <w:sz w:val="24"/>
                <w:szCs w:val="24"/>
              </w:rPr>
            </w:pPr>
          </w:p>
        </w:tc>
        <w:tc>
          <w:tcPr>
            <w:tcW w:w="956" w:type="dxa"/>
            <w:vMerge w:val="restart"/>
            <w:tcBorders>
              <w:top w:val="single" w:color="auto" w:sz="6" w:space="0"/>
            </w:tcBorders>
            <w:vAlign w:val="center"/>
          </w:tcPr>
          <w:p w14:paraId="11DB436A">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2268" w:type="dxa"/>
            <w:tcBorders>
              <w:top w:val="single" w:color="auto" w:sz="6" w:space="0"/>
              <w:bottom w:val="single" w:color="auto" w:sz="6" w:space="0"/>
            </w:tcBorders>
            <w:vAlign w:val="center"/>
          </w:tcPr>
          <w:p w14:paraId="23B605F0">
            <w:pPr>
              <w:jc w:val="center"/>
              <w:rPr>
                <w:rFonts w:ascii="Times New Roman" w:hAnsi="Times New Roman" w:eastAsia="宋体" w:cs="Times New Roman"/>
                <w:bCs/>
                <w:caps/>
                <w:sz w:val="24"/>
                <w:szCs w:val="24"/>
              </w:rPr>
            </w:pPr>
            <w:r>
              <w:rPr>
                <w:rFonts w:ascii="Times New Roman" w:hAnsi="Times New Roman" w:eastAsia="宋体" w:cs="Times New Roman"/>
                <w:kern w:val="0"/>
                <w:sz w:val="24"/>
                <w:szCs w:val="24"/>
              </w:rPr>
              <w:t>生活垃圾</w:t>
            </w:r>
          </w:p>
        </w:tc>
        <w:tc>
          <w:tcPr>
            <w:tcW w:w="3402" w:type="dxa"/>
            <w:tcBorders>
              <w:top w:val="single" w:color="auto" w:sz="6" w:space="0"/>
              <w:right w:val="single" w:color="000000" w:sz="4" w:space="0"/>
            </w:tcBorders>
            <w:vAlign w:val="center"/>
          </w:tcPr>
          <w:p w14:paraId="190E8628">
            <w:pPr>
              <w:jc w:val="center"/>
              <w:rPr>
                <w:rFonts w:ascii="Times New Roman" w:hAnsi="Times New Roman" w:eastAsia="宋体" w:cs="Times New Roman"/>
                <w:sz w:val="24"/>
                <w:szCs w:val="24"/>
              </w:rPr>
            </w:pPr>
            <w:r>
              <w:rPr>
                <w:rFonts w:ascii="Times New Roman" w:hAnsi="Times New Roman" w:eastAsia="宋体" w:cs="Times New Roman"/>
                <w:sz w:val="24"/>
                <w:szCs w:val="24"/>
              </w:rPr>
              <w:t>厂区垃圾桶收集后交环卫部门清运处理</w:t>
            </w:r>
          </w:p>
        </w:tc>
        <w:tc>
          <w:tcPr>
            <w:tcW w:w="1535" w:type="dxa"/>
            <w:vMerge w:val="continue"/>
            <w:tcBorders>
              <w:left w:val="single" w:color="000000" w:sz="4" w:space="0"/>
            </w:tcBorders>
            <w:vAlign w:val="center"/>
          </w:tcPr>
          <w:p w14:paraId="5D3D6853">
            <w:pPr>
              <w:jc w:val="center"/>
              <w:rPr>
                <w:rFonts w:ascii="Times New Roman" w:hAnsi="Times New Roman" w:eastAsia="宋体" w:cs="Times New Roman"/>
                <w:sz w:val="24"/>
                <w:szCs w:val="24"/>
              </w:rPr>
            </w:pPr>
          </w:p>
        </w:tc>
      </w:tr>
      <w:tr w14:paraId="4F65B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56EC524F">
            <w:pPr>
              <w:jc w:val="center"/>
              <w:rPr>
                <w:rFonts w:ascii="Times New Roman" w:hAnsi="Times New Roman" w:eastAsia="宋体" w:cs="Times New Roman"/>
                <w:sz w:val="24"/>
                <w:szCs w:val="24"/>
              </w:rPr>
            </w:pPr>
          </w:p>
        </w:tc>
        <w:tc>
          <w:tcPr>
            <w:tcW w:w="956" w:type="dxa"/>
            <w:vMerge w:val="continue"/>
            <w:tcBorders>
              <w:top w:val="single" w:color="auto" w:sz="6" w:space="0"/>
            </w:tcBorders>
            <w:vAlign w:val="center"/>
          </w:tcPr>
          <w:p w14:paraId="431E7225">
            <w:pPr>
              <w:jc w:val="center"/>
              <w:rPr>
                <w:rFonts w:ascii="Times New Roman" w:hAnsi="Times New Roman" w:eastAsia="宋体" w:cs="Times New Roman"/>
                <w:sz w:val="24"/>
                <w:szCs w:val="24"/>
              </w:rPr>
            </w:pPr>
          </w:p>
        </w:tc>
        <w:tc>
          <w:tcPr>
            <w:tcW w:w="2268" w:type="dxa"/>
            <w:tcBorders>
              <w:top w:val="single" w:color="auto" w:sz="6" w:space="0"/>
              <w:bottom w:val="single" w:color="auto" w:sz="6" w:space="0"/>
            </w:tcBorders>
          </w:tcPr>
          <w:p w14:paraId="020DE04B">
            <w:pPr>
              <w:jc w:val="center"/>
              <w:rPr>
                <w:rFonts w:ascii="Times New Roman" w:hAnsi="Times New Roman" w:eastAsia="宋体" w:cs="Times New Roman"/>
                <w:sz w:val="24"/>
                <w:szCs w:val="24"/>
              </w:rPr>
            </w:pPr>
            <w:r>
              <w:rPr>
                <w:rFonts w:hint="eastAsia" w:ascii="Times New Roman" w:hAnsi="Times New Roman" w:eastAsia="宋体" w:cs="Times New Roman"/>
                <w:kern w:val="0"/>
                <w:sz w:val="24"/>
                <w:szCs w:val="24"/>
              </w:rPr>
              <w:t>磁选废铁渣</w:t>
            </w:r>
          </w:p>
        </w:tc>
        <w:tc>
          <w:tcPr>
            <w:tcW w:w="3402" w:type="dxa"/>
            <w:tcBorders>
              <w:top w:val="single" w:color="auto" w:sz="6" w:space="0"/>
              <w:right w:val="single" w:color="000000" w:sz="4" w:space="0"/>
            </w:tcBorders>
            <w:vAlign w:val="center"/>
          </w:tcPr>
          <w:p w14:paraId="69625178">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废品公司</w:t>
            </w:r>
            <w:r>
              <w:rPr>
                <w:rFonts w:ascii="Times New Roman" w:hAnsi="Times New Roman" w:eastAsia="宋体" w:cs="Times New Roman"/>
                <w:sz w:val="24"/>
                <w:szCs w:val="24"/>
              </w:rPr>
              <w:t>回收外售</w:t>
            </w:r>
          </w:p>
        </w:tc>
        <w:tc>
          <w:tcPr>
            <w:tcW w:w="1535" w:type="dxa"/>
            <w:vMerge w:val="continue"/>
            <w:tcBorders>
              <w:left w:val="single" w:color="000000" w:sz="4" w:space="0"/>
            </w:tcBorders>
            <w:vAlign w:val="center"/>
          </w:tcPr>
          <w:p w14:paraId="7BDC5996">
            <w:pPr>
              <w:jc w:val="center"/>
              <w:rPr>
                <w:rFonts w:ascii="Times New Roman" w:hAnsi="Times New Roman" w:eastAsia="宋体" w:cs="Times New Roman"/>
                <w:sz w:val="24"/>
                <w:szCs w:val="24"/>
              </w:rPr>
            </w:pPr>
          </w:p>
        </w:tc>
      </w:tr>
      <w:tr w14:paraId="3E9C9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0D11F1B1">
            <w:pPr>
              <w:jc w:val="center"/>
              <w:rPr>
                <w:rFonts w:ascii="Times New Roman" w:hAnsi="Times New Roman" w:eastAsia="宋体" w:cs="Times New Roman"/>
                <w:sz w:val="24"/>
                <w:szCs w:val="24"/>
              </w:rPr>
            </w:pPr>
          </w:p>
        </w:tc>
        <w:tc>
          <w:tcPr>
            <w:tcW w:w="956" w:type="dxa"/>
            <w:vMerge w:val="continue"/>
            <w:tcBorders>
              <w:top w:val="single" w:color="auto" w:sz="6" w:space="0"/>
            </w:tcBorders>
            <w:vAlign w:val="center"/>
          </w:tcPr>
          <w:p w14:paraId="0471CA9A">
            <w:pPr>
              <w:jc w:val="center"/>
              <w:rPr>
                <w:rFonts w:ascii="Times New Roman" w:hAnsi="Times New Roman" w:eastAsia="宋体" w:cs="Times New Roman"/>
                <w:sz w:val="24"/>
                <w:szCs w:val="24"/>
              </w:rPr>
            </w:pPr>
          </w:p>
        </w:tc>
        <w:tc>
          <w:tcPr>
            <w:tcW w:w="2268" w:type="dxa"/>
            <w:tcBorders>
              <w:top w:val="single" w:color="auto" w:sz="6" w:space="0"/>
              <w:bottom w:val="single" w:color="auto" w:sz="6" w:space="0"/>
            </w:tcBorders>
          </w:tcPr>
          <w:p w14:paraId="1C762B5F">
            <w:pPr>
              <w:jc w:val="center"/>
              <w:rPr>
                <w:rFonts w:ascii="Times New Roman" w:hAnsi="Times New Roman" w:eastAsia="宋体" w:cs="Times New Roman"/>
                <w:sz w:val="24"/>
                <w:szCs w:val="24"/>
              </w:rPr>
            </w:pPr>
            <w:r>
              <w:rPr>
                <w:rFonts w:hint="eastAsia" w:ascii="Times New Roman" w:hAnsi="Times New Roman" w:eastAsia="宋体" w:cs="Times New Roman"/>
                <w:kern w:val="0"/>
                <w:sz w:val="24"/>
                <w:szCs w:val="24"/>
              </w:rPr>
              <w:t>除尘粉尘</w:t>
            </w:r>
          </w:p>
        </w:tc>
        <w:tc>
          <w:tcPr>
            <w:tcW w:w="3402" w:type="dxa"/>
            <w:tcBorders>
              <w:top w:val="single" w:color="auto" w:sz="6" w:space="0"/>
              <w:right w:val="single" w:color="000000" w:sz="4" w:space="0"/>
            </w:tcBorders>
            <w:vAlign w:val="center"/>
          </w:tcPr>
          <w:p w14:paraId="7C6AA28A">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作为产品外售</w:t>
            </w:r>
          </w:p>
        </w:tc>
        <w:tc>
          <w:tcPr>
            <w:tcW w:w="1535" w:type="dxa"/>
            <w:vMerge w:val="continue"/>
            <w:tcBorders>
              <w:left w:val="single" w:color="000000" w:sz="4" w:space="0"/>
            </w:tcBorders>
            <w:vAlign w:val="center"/>
          </w:tcPr>
          <w:p w14:paraId="21EA8FD5">
            <w:pPr>
              <w:jc w:val="center"/>
              <w:rPr>
                <w:rFonts w:ascii="Times New Roman" w:hAnsi="Times New Roman" w:eastAsia="宋体" w:cs="Times New Roman"/>
                <w:sz w:val="24"/>
                <w:szCs w:val="24"/>
              </w:rPr>
            </w:pPr>
          </w:p>
        </w:tc>
      </w:tr>
      <w:tr w14:paraId="4074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174F5356">
            <w:pPr>
              <w:jc w:val="center"/>
              <w:rPr>
                <w:rFonts w:ascii="Times New Roman" w:hAnsi="Times New Roman" w:eastAsia="宋体" w:cs="Times New Roman"/>
                <w:sz w:val="24"/>
                <w:szCs w:val="24"/>
              </w:rPr>
            </w:pPr>
          </w:p>
        </w:tc>
        <w:tc>
          <w:tcPr>
            <w:tcW w:w="956" w:type="dxa"/>
            <w:vMerge w:val="continue"/>
            <w:tcBorders>
              <w:top w:val="single" w:color="auto" w:sz="6" w:space="0"/>
            </w:tcBorders>
            <w:vAlign w:val="center"/>
          </w:tcPr>
          <w:p w14:paraId="593CD372">
            <w:pPr>
              <w:jc w:val="center"/>
              <w:rPr>
                <w:rFonts w:ascii="Times New Roman" w:hAnsi="Times New Roman" w:eastAsia="宋体" w:cs="Times New Roman"/>
                <w:sz w:val="24"/>
                <w:szCs w:val="24"/>
              </w:rPr>
            </w:pPr>
          </w:p>
        </w:tc>
        <w:tc>
          <w:tcPr>
            <w:tcW w:w="2268" w:type="dxa"/>
            <w:tcBorders>
              <w:top w:val="single" w:color="auto" w:sz="6" w:space="0"/>
              <w:bottom w:val="single" w:color="auto" w:sz="6" w:space="0"/>
            </w:tcBorders>
          </w:tcPr>
          <w:p w14:paraId="0D88A804">
            <w:pPr>
              <w:jc w:val="center"/>
              <w:rPr>
                <w:rFonts w:ascii="Times New Roman" w:hAnsi="Times New Roman" w:eastAsia="宋体" w:cs="Times New Roman"/>
                <w:sz w:val="24"/>
                <w:szCs w:val="24"/>
              </w:rPr>
            </w:pPr>
            <w:r>
              <w:rPr>
                <w:rFonts w:hint="eastAsia" w:ascii="Times New Roman" w:hAnsi="Times New Roman" w:eastAsia="宋体" w:cs="Times New Roman"/>
                <w:kern w:val="0"/>
                <w:sz w:val="24"/>
                <w:szCs w:val="24"/>
              </w:rPr>
              <w:t>二级生化处理设施污泥</w:t>
            </w:r>
          </w:p>
        </w:tc>
        <w:tc>
          <w:tcPr>
            <w:tcW w:w="3402" w:type="dxa"/>
            <w:tcBorders>
              <w:top w:val="single" w:color="auto" w:sz="6" w:space="0"/>
              <w:right w:val="single" w:color="000000" w:sz="4" w:space="0"/>
            </w:tcBorders>
            <w:vAlign w:val="center"/>
          </w:tcPr>
          <w:p w14:paraId="4EA24EA2">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回用农肥综合利用</w:t>
            </w:r>
          </w:p>
        </w:tc>
        <w:tc>
          <w:tcPr>
            <w:tcW w:w="1535" w:type="dxa"/>
            <w:vMerge w:val="continue"/>
            <w:tcBorders>
              <w:left w:val="single" w:color="000000" w:sz="4" w:space="0"/>
            </w:tcBorders>
            <w:vAlign w:val="center"/>
          </w:tcPr>
          <w:p w14:paraId="43AF8AFF">
            <w:pPr>
              <w:jc w:val="center"/>
              <w:rPr>
                <w:rFonts w:ascii="Times New Roman" w:hAnsi="Times New Roman" w:eastAsia="宋体" w:cs="Times New Roman"/>
                <w:sz w:val="24"/>
                <w:szCs w:val="24"/>
              </w:rPr>
            </w:pPr>
          </w:p>
        </w:tc>
      </w:tr>
      <w:tr w14:paraId="340D9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 w:hRule="atLeast"/>
          <w:jc w:val="center"/>
        </w:trPr>
        <w:tc>
          <w:tcPr>
            <w:tcW w:w="774" w:type="dxa"/>
            <w:vMerge w:val="continue"/>
            <w:vAlign w:val="center"/>
          </w:tcPr>
          <w:p w14:paraId="44D28337">
            <w:pPr>
              <w:jc w:val="center"/>
              <w:rPr>
                <w:rFonts w:ascii="Times New Roman" w:hAnsi="Times New Roman" w:eastAsia="宋体" w:cs="Times New Roman"/>
                <w:sz w:val="24"/>
                <w:szCs w:val="24"/>
              </w:rPr>
            </w:pPr>
          </w:p>
        </w:tc>
        <w:tc>
          <w:tcPr>
            <w:tcW w:w="956" w:type="dxa"/>
            <w:vMerge w:val="continue"/>
            <w:vAlign w:val="center"/>
          </w:tcPr>
          <w:p w14:paraId="5B00BC01">
            <w:pPr>
              <w:jc w:val="center"/>
              <w:rPr>
                <w:rFonts w:ascii="Times New Roman" w:hAnsi="Times New Roman" w:eastAsia="宋体" w:cs="Times New Roman"/>
                <w:sz w:val="24"/>
                <w:szCs w:val="24"/>
              </w:rPr>
            </w:pPr>
          </w:p>
        </w:tc>
        <w:tc>
          <w:tcPr>
            <w:tcW w:w="2268" w:type="dxa"/>
            <w:vAlign w:val="center"/>
          </w:tcPr>
          <w:p w14:paraId="46396933">
            <w:pPr>
              <w:jc w:val="center"/>
              <w:rPr>
                <w:rFonts w:ascii="Times New Roman" w:hAnsi="Times New Roman" w:eastAsia="宋体" w:cs="Times New Roman"/>
                <w:bCs/>
                <w:sz w:val="24"/>
                <w:szCs w:val="24"/>
              </w:rPr>
            </w:pPr>
            <w:r>
              <w:rPr>
                <w:rFonts w:hint="eastAsia" w:ascii="Times New Roman" w:hAnsi="Times New Roman" w:eastAsia="宋体" w:cs="Times New Roman"/>
                <w:kern w:val="0"/>
                <w:sz w:val="24"/>
                <w:szCs w:val="24"/>
              </w:rPr>
              <w:t>废机油</w:t>
            </w:r>
          </w:p>
        </w:tc>
        <w:tc>
          <w:tcPr>
            <w:tcW w:w="3402" w:type="dxa"/>
            <w:tcBorders>
              <w:right w:val="single" w:color="000000" w:sz="4" w:space="0"/>
            </w:tcBorders>
            <w:vAlign w:val="center"/>
          </w:tcPr>
          <w:p w14:paraId="2385A684">
            <w:pPr>
              <w:jc w:val="center"/>
              <w:rPr>
                <w:rFonts w:ascii="Times New Roman" w:hAnsi="Times New Roman" w:eastAsia="宋体" w:cs="Times New Roman"/>
                <w:bCs/>
                <w:caps/>
                <w:sz w:val="24"/>
                <w:szCs w:val="24"/>
              </w:rPr>
            </w:pPr>
            <w:r>
              <w:rPr>
                <w:rFonts w:hint="eastAsia" w:ascii="Times New Roman" w:hAnsi="Times New Roman" w:eastAsia="宋体" w:cs="Times New Roman"/>
                <w:sz w:val="24"/>
                <w:szCs w:val="24"/>
              </w:rPr>
              <w:t>铁桶收集暂存于危废暂存间，定期交由有资质单位处理</w:t>
            </w:r>
          </w:p>
        </w:tc>
        <w:tc>
          <w:tcPr>
            <w:tcW w:w="1535" w:type="dxa"/>
            <w:vMerge w:val="continue"/>
            <w:tcBorders>
              <w:left w:val="single" w:color="000000" w:sz="4" w:space="0"/>
            </w:tcBorders>
            <w:vAlign w:val="center"/>
          </w:tcPr>
          <w:p w14:paraId="5951D963">
            <w:pPr>
              <w:jc w:val="center"/>
              <w:rPr>
                <w:rFonts w:ascii="Times New Roman" w:hAnsi="Times New Roman" w:eastAsia="宋体" w:cs="Times New Roman"/>
                <w:bCs/>
                <w:caps/>
                <w:sz w:val="24"/>
                <w:szCs w:val="24"/>
              </w:rPr>
            </w:pPr>
          </w:p>
        </w:tc>
      </w:tr>
      <w:tr w14:paraId="33D9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restart"/>
            <w:vAlign w:val="center"/>
          </w:tcPr>
          <w:p w14:paraId="086A04F5">
            <w:pPr>
              <w:jc w:val="center"/>
              <w:rPr>
                <w:rFonts w:ascii="Times New Roman" w:hAnsi="Times New Roman" w:eastAsia="宋体" w:cs="Times New Roman"/>
                <w:sz w:val="24"/>
                <w:szCs w:val="24"/>
              </w:rPr>
            </w:pPr>
            <w:r>
              <w:rPr>
                <w:rFonts w:ascii="Times New Roman" w:hAnsi="Times New Roman" w:eastAsia="宋体" w:cs="Times New Roman"/>
                <w:sz w:val="24"/>
                <w:szCs w:val="24"/>
              </w:rPr>
              <w:t>噪</w:t>
            </w:r>
          </w:p>
          <w:p w14:paraId="664CD5F0">
            <w:pPr>
              <w:jc w:val="center"/>
              <w:rPr>
                <w:rFonts w:ascii="Times New Roman" w:hAnsi="Times New Roman" w:eastAsia="宋体" w:cs="Times New Roman"/>
                <w:sz w:val="24"/>
                <w:szCs w:val="24"/>
              </w:rPr>
            </w:pPr>
            <w:r>
              <w:rPr>
                <w:rFonts w:ascii="Times New Roman" w:hAnsi="Times New Roman" w:eastAsia="宋体" w:cs="Times New Roman"/>
                <w:sz w:val="24"/>
                <w:szCs w:val="24"/>
              </w:rPr>
              <w:t>声</w:t>
            </w:r>
          </w:p>
        </w:tc>
        <w:tc>
          <w:tcPr>
            <w:tcW w:w="956" w:type="dxa"/>
            <w:vAlign w:val="center"/>
          </w:tcPr>
          <w:p w14:paraId="2CB8351A">
            <w:pPr>
              <w:jc w:val="center"/>
              <w:rPr>
                <w:rFonts w:ascii="Times New Roman" w:hAnsi="Times New Roman" w:eastAsia="宋体" w:cs="Times New Roman"/>
                <w:sz w:val="24"/>
                <w:szCs w:val="24"/>
              </w:rPr>
            </w:pPr>
            <w:r>
              <w:rPr>
                <w:rFonts w:ascii="Times New Roman" w:hAnsi="Times New Roman" w:eastAsia="宋体" w:cs="Times New Roman"/>
                <w:spacing w:val="-6"/>
                <w:sz w:val="24"/>
                <w:szCs w:val="24"/>
              </w:rPr>
              <w:t>施工期</w:t>
            </w:r>
          </w:p>
        </w:tc>
        <w:tc>
          <w:tcPr>
            <w:tcW w:w="2268" w:type="dxa"/>
            <w:vAlign w:val="center"/>
          </w:tcPr>
          <w:p w14:paraId="31D9E2EA">
            <w:pPr>
              <w:jc w:val="center"/>
              <w:rPr>
                <w:rFonts w:ascii="Times New Roman" w:hAnsi="Times New Roman" w:eastAsia="宋体" w:cs="Times New Roman"/>
                <w:sz w:val="24"/>
                <w:szCs w:val="24"/>
              </w:rPr>
            </w:pPr>
            <w:r>
              <w:rPr>
                <w:rFonts w:ascii="Times New Roman" w:hAnsi="Times New Roman" w:eastAsia="宋体" w:cs="Times New Roman"/>
                <w:sz w:val="24"/>
                <w:szCs w:val="24"/>
              </w:rPr>
              <w:t>施工噪声</w:t>
            </w:r>
          </w:p>
        </w:tc>
        <w:tc>
          <w:tcPr>
            <w:tcW w:w="4937" w:type="dxa"/>
            <w:gridSpan w:val="2"/>
            <w:tcBorders>
              <w:top w:val="single" w:color="000000" w:sz="4" w:space="0"/>
            </w:tcBorders>
            <w:vAlign w:val="center"/>
          </w:tcPr>
          <w:p w14:paraId="0EE2F4E4">
            <w:pPr>
              <w:jc w:val="center"/>
              <w:rPr>
                <w:rFonts w:ascii="Times New Roman" w:hAnsi="Times New Roman" w:eastAsia="宋体" w:cs="Times New Roman"/>
                <w:sz w:val="24"/>
                <w:szCs w:val="24"/>
              </w:rPr>
            </w:pPr>
            <w:r>
              <w:rPr>
                <w:rFonts w:ascii="Times New Roman" w:hAnsi="Times New Roman" w:eastAsia="宋体" w:cs="Times New Roman"/>
                <w:sz w:val="24"/>
                <w:szCs w:val="24"/>
              </w:rPr>
              <w:t>昼间&lt;70 dB（A），夜间&lt;55 dB（A）</w:t>
            </w:r>
          </w:p>
        </w:tc>
      </w:tr>
      <w:tr w14:paraId="047F2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4" w:type="dxa"/>
            <w:vMerge w:val="continue"/>
            <w:vAlign w:val="center"/>
          </w:tcPr>
          <w:p w14:paraId="3AF8758B">
            <w:pPr>
              <w:jc w:val="center"/>
              <w:rPr>
                <w:rFonts w:ascii="Times New Roman" w:hAnsi="Times New Roman" w:eastAsia="宋体" w:cs="Times New Roman"/>
                <w:sz w:val="24"/>
                <w:szCs w:val="24"/>
              </w:rPr>
            </w:pPr>
          </w:p>
        </w:tc>
        <w:tc>
          <w:tcPr>
            <w:tcW w:w="956" w:type="dxa"/>
            <w:vAlign w:val="center"/>
          </w:tcPr>
          <w:p w14:paraId="68C220A6">
            <w:pPr>
              <w:jc w:val="center"/>
              <w:rPr>
                <w:rFonts w:ascii="Times New Roman" w:hAnsi="Times New Roman" w:eastAsia="宋体" w:cs="Times New Roman"/>
                <w:spacing w:val="-6"/>
                <w:sz w:val="24"/>
                <w:szCs w:val="24"/>
              </w:rPr>
            </w:pPr>
            <w:r>
              <w:rPr>
                <w:rFonts w:ascii="Times New Roman" w:hAnsi="Times New Roman" w:eastAsia="宋体" w:cs="Times New Roman"/>
                <w:spacing w:val="-6"/>
                <w:sz w:val="24"/>
                <w:szCs w:val="24"/>
              </w:rPr>
              <w:t>运营期</w:t>
            </w:r>
          </w:p>
        </w:tc>
        <w:tc>
          <w:tcPr>
            <w:tcW w:w="7205" w:type="dxa"/>
            <w:gridSpan w:val="3"/>
            <w:vAlign w:val="center"/>
          </w:tcPr>
          <w:p w14:paraId="7A6B6142">
            <w:pPr>
              <w:jc w:val="left"/>
              <w:rPr>
                <w:rFonts w:ascii="Times New Roman" w:hAnsi="Times New Roman" w:eastAsia="宋体" w:cs="Times New Roman"/>
                <w:bCs/>
                <w:sz w:val="24"/>
                <w:szCs w:val="24"/>
              </w:rPr>
            </w:pPr>
            <w:r>
              <w:rPr>
                <w:rFonts w:ascii="Times New Roman" w:hAnsi="Times New Roman" w:eastAsia="宋体" w:cs="Times New Roman"/>
                <w:sz w:val="24"/>
                <w:szCs w:val="24"/>
              </w:rPr>
              <w:t>《工业企业厂界环境噪声排放标准》(GB12348-2008</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中3类标准</w:t>
            </w:r>
          </w:p>
        </w:tc>
      </w:tr>
      <w:tr w14:paraId="198C9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5" w:type="dxa"/>
            <w:gridSpan w:val="5"/>
            <w:vAlign w:val="center"/>
          </w:tcPr>
          <w:p w14:paraId="1C67F09D">
            <w:pPr>
              <w:spacing w:line="360"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生态保护措施及预期效果：</w:t>
            </w:r>
          </w:p>
          <w:p w14:paraId="5A86897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改建范围为原已租用厂区范围，该区域人类活动频繁，无珍稀保护动植物。本项目施工期主要影响为施工造成地面扰动引起的水土流失，项目用地范围较为平整，不需要进行大量土石方开挖，平整后立刻进行压实，水土流失影响较小。</w:t>
            </w:r>
          </w:p>
          <w:p w14:paraId="76541FD9">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因此，项目的建设对生态环境不会产生较大影响。本项目在营运期对生态环境不会产生明显影响。</w:t>
            </w:r>
          </w:p>
          <w:p w14:paraId="1456B994">
            <w:pPr>
              <w:spacing w:line="360" w:lineRule="auto"/>
              <w:ind w:firstLine="480" w:firstLineChars="200"/>
              <w:rPr>
                <w:rFonts w:ascii="Times New Roman" w:hAnsi="Times New Roman" w:eastAsia="宋体" w:cs="Times New Roman"/>
                <w:sz w:val="24"/>
                <w:szCs w:val="24"/>
              </w:rPr>
            </w:pPr>
          </w:p>
          <w:p w14:paraId="5E1A0C0D">
            <w:pPr>
              <w:spacing w:line="360" w:lineRule="auto"/>
              <w:ind w:firstLine="480" w:firstLineChars="200"/>
              <w:rPr>
                <w:rFonts w:ascii="Times New Roman" w:hAnsi="Times New Roman" w:eastAsia="宋体" w:cs="Times New Roman"/>
                <w:sz w:val="24"/>
                <w:szCs w:val="24"/>
              </w:rPr>
            </w:pPr>
          </w:p>
          <w:p w14:paraId="284D2BC9">
            <w:pPr>
              <w:spacing w:line="360" w:lineRule="auto"/>
              <w:ind w:firstLine="480" w:firstLineChars="200"/>
              <w:rPr>
                <w:rFonts w:ascii="Times New Roman" w:hAnsi="Times New Roman" w:eastAsia="宋体" w:cs="Times New Roman"/>
                <w:sz w:val="24"/>
                <w:szCs w:val="24"/>
              </w:rPr>
            </w:pPr>
          </w:p>
          <w:p w14:paraId="3395886D">
            <w:pPr>
              <w:spacing w:line="360" w:lineRule="auto"/>
              <w:ind w:firstLine="480" w:firstLineChars="200"/>
              <w:rPr>
                <w:rFonts w:ascii="Times New Roman" w:hAnsi="Times New Roman" w:eastAsia="宋体" w:cs="Times New Roman"/>
                <w:sz w:val="24"/>
                <w:szCs w:val="24"/>
              </w:rPr>
            </w:pPr>
          </w:p>
          <w:p w14:paraId="0A9F7F3D">
            <w:pPr>
              <w:spacing w:line="360" w:lineRule="auto"/>
              <w:ind w:firstLine="480" w:firstLineChars="200"/>
              <w:rPr>
                <w:rFonts w:ascii="Times New Roman" w:hAnsi="Times New Roman" w:eastAsia="宋体" w:cs="Times New Roman"/>
                <w:sz w:val="24"/>
                <w:szCs w:val="24"/>
              </w:rPr>
            </w:pPr>
          </w:p>
          <w:p w14:paraId="23E0FF22">
            <w:pPr>
              <w:spacing w:line="360" w:lineRule="auto"/>
              <w:ind w:firstLine="480" w:firstLineChars="200"/>
              <w:rPr>
                <w:rFonts w:ascii="Times New Roman" w:hAnsi="Times New Roman" w:eastAsia="宋体" w:cs="Times New Roman"/>
                <w:sz w:val="24"/>
                <w:szCs w:val="24"/>
              </w:rPr>
            </w:pPr>
          </w:p>
          <w:p w14:paraId="09A88921">
            <w:pPr>
              <w:spacing w:line="360" w:lineRule="auto"/>
              <w:ind w:firstLine="480" w:firstLineChars="200"/>
              <w:rPr>
                <w:rFonts w:ascii="Times New Roman" w:hAnsi="Times New Roman" w:eastAsia="宋体" w:cs="Times New Roman"/>
                <w:sz w:val="24"/>
                <w:szCs w:val="24"/>
              </w:rPr>
            </w:pPr>
          </w:p>
          <w:p w14:paraId="21A17F4C">
            <w:pPr>
              <w:spacing w:line="360" w:lineRule="auto"/>
              <w:ind w:firstLine="480" w:firstLineChars="200"/>
              <w:rPr>
                <w:rFonts w:ascii="Times New Roman" w:hAnsi="Times New Roman" w:eastAsia="宋体" w:cs="Times New Roman"/>
                <w:sz w:val="24"/>
                <w:szCs w:val="24"/>
              </w:rPr>
            </w:pPr>
          </w:p>
          <w:p w14:paraId="4B9D44F3">
            <w:pPr>
              <w:spacing w:line="360" w:lineRule="auto"/>
              <w:ind w:firstLine="480" w:firstLineChars="200"/>
              <w:rPr>
                <w:rFonts w:ascii="Times New Roman" w:hAnsi="Times New Roman" w:eastAsia="宋体" w:cs="Times New Roman"/>
                <w:sz w:val="24"/>
                <w:szCs w:val="24"/>
              </w:rPr>
            </w:pPr>
          </w:p>
          <w:p w14:paraId="6B6AFCE9">
            <w:pPr>
              <w:spacing w:line="360" w:lineRule="auto"/>
              <w:ind w:firstLine="480" w:firstLineChars="200"/>
              <w:rPr>
                <w:rFonts w:ascii="Times New Roman" w:hAnsi="Times New Roman" w:eastAsia="宋体" w:cs="Times New Roman"/>
                <w:sz w:val="24"/>
                <w:szCs w:val="24"/>
              </w:rPr>
            </w:pPr>
          </w:p>
          <w:p w14:paraId="0275604C">
            <w:pPr>
              <w:spacing w:line="360" w:lineRule="auto"/>
              <w:ind w:firstLine="480" w:firstLineChars="200"/>
              <w:rPr>
                <w:rFonts w:ascii="Times New Roman" w:hAnsi="Times New Roman" w:eastAsia="宋体" w:cs="Times New Roman"/>
                <w:sz w:val="24"/>
                <w:szCs w:val="24"/>
              </w:rPr>
            </w:pPr>
          </w:p>
          <w:p w14:paraId="6BFBFB94">
            <w:pPr>
              <w:spacing w:line="360" w:lineRule="auto"/>
              <w:ind w:firstLine="480" w:firstLineChars="200"/>
              <w:rPr>
                <w:rFonts w:ascii="Times New Roman" w:hAnsi="Times New Roman" w:eastAsia="宋体" w:cs="Times New Roman"/>
                <w:sz w:val="24"/>
                <w:szCs w:val="24"/>
              </w:rPr>
            </w:pPr>
          </w:p>
          <w:p w14:paraId="3CEF50E8">
            <w:pPr>
              <w:spacing w:line="360" w:lineRule="auto"/>
              <w:ind w:firstLine="480" w:firstLineChars="200"/>
              <w:rPr>
                <w:rFonts w:ascii="Times New Roman" w:hAnsi="Times New Roman" w:eastAsia="宋体" w:cs="Times New Roman"/>
                <w:sz w:val="24"/>
                <w:szCs w:val="24"/>
              </w:rPr>
            </w:pPr>
          </w:p>
          <w:p w14:paraId="43FFB3AA">
            <w:pPr>
              <w:spacing w:line="360" w:lineRule="auto"/>
              <w:ind w:firstLine="480" w:firstLineChars="200"/>
              <w:rPr>
                <w:rFonts w:ascii="Times New Roman" w:hAnsi="Times New Roman" w:eastAsia="宋体" w:cs="Times New Roman"/>
                <w:sz w:val="24"/>
                <w:szCs w:val="24"/>
              </w:rPr>
            </w:pPr>
          </w:p>
          <w:p w14:paraId="439C635D">
            <w:pPr>
              <w:spacing w:line="360" w:lineRule="auto"/>
              <w:ind w:firstLine="480" w:firstLineChars="200"/>
              <w:rPr>
                <w:rFonts w:ascii="Times New Roman" w:hAnsi="Times New Roman" w:eastAsia="宋体" w:cs="Times New Roman"/>
                <w:sz w:val="24"/>
                <w:szCs w:val="24"/>
              </w:rPr>
            </w:pPr>
          </w:p>
          <w:p w14:paraId="619CC21F">
            <w:pPr>
              <w:spacing w:line="360" w:lineRule="auto"/>
              <w:ind w:firstLine="480" w:firstLineChars="200"/>
              <w:rPr>
                <w:rFonts w:ascii="Times New Roman" w:hAnsi="Times New Roman" w:eastAsia="宋体" w:cs="Times New Roman"/>
                <w:sz w:val="24"/>
                <w:szCs w:val="24"/>
              </w:rPr>
            </w:pPr>
          </w:p>
          <w:p w14:paraId="55D00936">
            <w:pPr>
              <w:spacing w:line="360" w:lineRule="auto"/>
              <w:ind w:firstLine="480" w:firstLineChars="200"/>
              <w:rPr>
                <w:rFonts w:ascii="Times New Roman" w:hAnsi="Times New Roman" w:eastAsia="宋体" w:cs="Times New Roman"/>
                <w:sz w:val="24"/>
                <w:szCs w:val="24"/>
              </w:rPr>
            </w:pPr>
          </w:p>
          <w:p w14:paraId="28FE3050">
            <w:pPr>
              <w:spacing w:line="360" w:lineRule="auto"/>
              <w:ind w:firstLine="480" w:firstLineChars="200"/>
              <w:rPr>
                <w:rFonts w:ascii="Times New Roman" w:hAnsi="Times New Roman" w:eastAsia="宋体" w:cs="Times New Roman"/>
                <w:sz w:val="24"/>
                <w:szCs w:val="24"/>
              </w:rPr>
            </w:pPr>
          </w:p>
          <w:p w14:paraId="3A9042C8">
            <w:pPr>
              <w:spacing w:line="360" w:lineRule="auto"/>
              <w:ind w:firstLine="480" w:firstLineChars="200"/>
              <w:rPr>
                <w:rFonts w:ascii="Times New Roman" w:hAnsi="Times New Roman" w:eastAsia="宋体" w:cs="Times New Roman"/>
                <w:sz w:val="24"/>
                <w:szCs w:val="24"/>
              </w:rPr>
            </w:pPr>
          </w:p>
          <w:p w14:paraId="4B5EC4B4">
            <w:pPr>
              <w:spacing w:line="360" w:lineRule="auto"/>
              <w:ind w:firstLine="480" w:firstLineChars="200"/>
              <w:rPr>
                <w:rFonts w:ascii="Times New Roman" w:hAnsi="Times New Roman" w:eastAsia="宋体" w:cs="Times New Roman"/>
                <w:sz w:val="24"/>
                <w:szCs w:val="24"/>
              </w:rPr>
            </w:pPr>
          </w:p>
          <w:p w14:paraId="0DAD0343">
            <w:pPr>
              <w:spacing w:line="360" w:lineRule="auto"/>
              <w:ind w:firstLine="480" w:firstLineChars="200"/>
              <w:rPr>
                <w:rFonts w:ascii="Times New Roman" w:hAnsi="Times New Roman" w:eastAsia="宋体" w:cs="Times New Roman"/>
                <w:sz w:val="24"/>
                <w:szCs w:val="24"/>
              </w:rPr>
            </w:pPr>
          </w:p>
          <w:p w14:paraId="4162DAF6">
            <w:pPr>
              <w:spacing w:line="360" w:lineRule="auto"/>
              <w:ind w:firstLine="480" w:firstLineChars="200"/>
              <w:rPr>
                <w:rFonts w:ascii="Times New Roman" w:hAnsi="Times New Roman" w:eastAsia="宋体" w:cs="Times New Roman"/>
                <w:sz w:val="24"/>
                <w:szCs w:val="24"/>
              </w:rPr>
            </w:pPr>
          </w:p>
          <w:p w14:paraId="0876DCFF">
            <w:pPr>
              <w:spacing w:line="360" w:lineRule="auto"/>
              <w:ind w:firstLine="480" w:firstLineChars="200"/>
              <w:rPr>
                <w:rFonts w:ascii="Times New Roman" w:hAnsi="Times New Roman" w:eastAsia="宋体" w:cs="Times New Roman"/>
                <w:sz w:val="24"/>
                <w:szCs w:val="24"/>
              </w:rPr>
            </w:pPr>
          </w:p>
          <w:p w14:paraId="5308DD01">
            <w:pPr>
              <w:spacing w:line="360" w:lineRule="auto"/>
              <w:ind w:firstLine="480" w:firstLineChars="200"/>
              <w:rPr>
                <w:rFonts w:ascii="Times New Roman" w:hAnsi="Times New Roman" w:eastAsia="宋体" w:cs="Times New Roman"/>
                <w:sz w:val="24"/>
                <w:szCs w:val="24"/>
              </w:rPr>
            </w:pPr>
          </w:p>
          <w:p w14:paraId="16135C50">
            <w:pPr>
              <w:spacing w:line="360" w:lineRule="auto"/>
              <w:ind w:firstLine="480" w:firstLineChars="200"/>
              <w:rPr>
                <w:rFonts w:ascii="Times New Roman" w:hAnsi="Times New Roman" w:eastAsia="宋体" w:cs="Times New Roman"/>
                <w:sz w:val="24"/>
                <w:szCs w:val="24"/>
              </w:rPr>
            </w:pPr>
          </w:p>
          <w:p w14:paraId="7FC92095">
            <w:pPr>
              <w:spacing w:line="360" w:lineRule="auto"/>
              <w:ind w:firstLine="480" w:firstLineChars="200"/>
              <w:rPr>
                <w:rFonts w:ascii="Times New Roman" w:hAnsi="Times New Roman" w:eastAsia="宋体" w:cs="Times New Roman"/>
                <w:sz w:val="24"/>
                <w:szCs w:val="24"/>
              </w:rPr>
            </w:pPr>
          </w:p>
          <w:p w14:paraId="61F3E4D2">
            <w:pPr>
              <w:spacing w:line="360" w:lineRule="auto"/>
              <w:ind w:firstLine="480" w:firstLineChars="200"/>
              <w:rPr>
                <w:rFonts w:ascii="Times New Roman" w:hAnsi="Times New Roman" w:eastAsia="宋体" w:cs="Times New Roman"/>
                <w:sz w:val="24"/>
                <w:szCs w:val="24"/>
              </w:rPr>
            </w:pPr>
          </w:p>
          <w:p w14:paraId="649E2D52">
            <w:pPr>
              <w:spacing w:line="360" w:lineRule="auto"/>
              <w:ind w:firstLine="480" w:firstLineChars="200"/>
              <w:rPr>
                <w:rFonts w:ascii="Times New Roman" w:hAnsi="Times New Roman" w:eastAsia="宋体" w:cs="Times New Roman"/>
                <w:sz w:val="24"/>
                <w:szCs w:val="24"/>
              </w:rPr>
            </w:pPr>
          </w:p>
          <w:p w14:paraId="233D853F">
            <w:pPr>
              <w:spacing w:line="360" w:lineRule="auto"/>
              <w:ind w:firstLine="480" w:firstLineChars="200"/>
              <w:rPr>
                <w:rFonts w:ascii="Times New Roman" w:hAnsi="Times New Roman" w:eastAsia="宋体" w:cs="Times New Roman"/>
                <w:sz w:val="24"/>
                <w:szCs w:val="24"/>
              </w:rPr>
            </w:pPr>
          </w:p>
          <w:p w14:paraId="0A2D8F4B">
            <w:pPr>
              <w:spacing w:line="360" w:lineRule="auto"/>
              <w:ind w:firstLine="480" w:firstLineChars="200"/>
              <w:rPr>
                <w:rFonts w:ascii="Times New Roman" w:hAnsi="Times New Roman" w:eastAsia="宋体" w:cs="Times New Roman"/>
                <w:sz w:val="24"/>
                <w:szCs w:val="24"/>
              </w:rPr>
            </w:pPr>
          </w:p>
          <w:p w14:paraId="10DED5B7">
            <w:pPr>
              <w:spacing w:line="360" w:lineRule="auto"/>
              <w:ind w:firstLine="480" w:firstLineChars="200"/>
              <w:rPr>
                <w:rFonts w:ascii="Times New Roman" w:hAnsi="Times New Roman" w:eastAsia="宋体" w:cs="Times New Roman"/>
                <w:sz w:val="24"/>
                <w:szCs w:val="24"/>
              </w:rPr>
            </w:pPr>
          </w:p>
          <w:p w14:paraId="4FB97A10">
            <w:pPr>
              <w:spacing w:line="360" w:lineRule="auto"/>
              <w:ind w:firstLine="480" w:firstLineChars="200"/>
              <w:rPr>
                <w:rFonts w:ascii="Times New Roman" w:hAnsi="Times New Roman" w:eastAsia="宋体" w:cs="Times New Roman"/>
                <w:sz w:val="24"/>
                <w:szCs w:val="24"/>
              </w:rPr>
            </w:pPr>
          </w:p>
        </w:tc>
      </w:tr>
    </w:tbl>
    <w:p w14:paraId="412CA04C">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结论与建议（表九）</w:t>
      </w:r>
    </w:p>
    <w:tbl>
      <w:tblPr>
        <w:tblStyle w:val="26"/>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27"/>
        <w:gridCol w:w="101"/>
      </w:tblGrid>
      <w:tr w14:paraId="32E42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1" w:type="dxa"/>
          <w:trHeight w:val="8856" w:hRule="atLeast"/>
          <w:jc w:val="center"/>
        </w:trPr>
        <w:tc>
          <w:tcPr>
            <w:tcW w:w="8427" w:type="dxa"/>
          </w:tcPr>
          <w:p w14:paraId="680E55BB">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一、结论</w:t>
            </w:r>
          </w:p>
          <w:p w14:paraId="08FBC3C6">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乐山艺源有机硅材料有限公司硅粉加工技改项目</w:t>
            </w:r>
            <w:r>
              <w:rPr>
                <w:rFonts w:ascii="Times New Roman" w:hAnsi="Times New Roman" w:eastAsia="宋体" w:cs="Times New Roman"/>
                <w:bCs/>
                <w:sz w:val="24"/>
                <w:szCs w:val="24"/>
              </w:rPr>
              <w:t>位于</w:t>
            </w:r>
            <w:r>
              <w:rPr>
                <w:rFonts w:hint="eastAsia" w:ascii="Times New Roman" w:hAnsi="Times New Roman" w:eastAsia="宋体" w:cs="Times New Roman"/>
                <w:bCs/>
                <w:sz w:val="24"/>
                <w:szCs w:val="24"/>
              </w:rPr>
              <w:t>乐山市峨边彝族自治县峨边新场工业园区（原林河集团黄磷厂厂区）（E103.2732°，N29.3078°）</w:t>
            </w:r>
            <w:r>
              <w:rPr>
                <w:rFonts w:ascii="Times New Roman" w:hAnsi="Times New Roman" w:eastAsia="宋体" w:cs="Times New Roman"/>
                <w:bCs/>
                <w:sz w:val="24"/>
                <w:szCs w:val="24"/>
              </w:rPr>
              <w:t>，项目用地属于</w:t>
            </w:r>
            <w:r>
              <w:rPr>
                <w:rFonts w:hint="eastAsia" w:ascii="Times New Roman" w:hAnsi="Times New Roman" w:eastAsia="宋体" w:cs="Times New Roman"/>
                <w:bCs/>
                <w:sz w:val="24"/>
                <w:szCs w:val="24"/>
              </w:rPr>
              <w:t>峨边工业集中区庞沟村组团工业用</w:t>
            </w:r>
            <w:r>
              <w:rPr>
                <w:rFonts w:ascii="Times New Roman" w:hAnsi="Times New Roman" w:eastAsia="宋体" w:cs="Times New Roman"/>
                <w:bCs/>
                <w:sz w:val="24"/>
                <w:szCs w:val="24"/>
              </w:rPr>
              <w:t>地，系在项目现有</w:t>
            </w:r>
            <w:r>
              <w:rPr>
                <w:rFonts w:hint="eastAsia" w:ascii="Times New Roman" w:hAnsi="Times New Roman" w:eastAsia="宋体" w:cs="Times New Roman"/>
                <w:bCs/>
                <w:sz w:val="24"/>
                <w:szCs w:val="24"/>
              </w:rPr>
              <w:t>平整</w:t>
            </w:r>
            <w:r>
              <w:rPr>
                <w:rFonts w:ascii="Times New Roman" w:hAnsi="Times New Roman" w:eastAsia="宋体" w:cs="Times New Roman"/>
                <w:bCs/>
                <w:sz w:val="24"/>
                <w:szCs w:val="24"/>
              </w:rPr>
              <w:t>场地内，改建</w:t>
            </w:r>
            <w:r>
              <w:rPr>
                <w:rFonts w:hint="eastAsia" w:ascii="Times New Roman" w:hAnsi="Times New Roman" w:eastAsia="宋体" w:cs="Times New Roman"/>
                <w:bCs/>
                <w:sz w:val="24"/>
                <w:szCs w:val="24"/>
              </w:rPr>
              <w:t>2×1500硅粉车间990平方米，综合楼260平方米，硅块中转库1012.5平方米，产品粉散装罐区843.5平方米，机修车间60.225平方米。硅块料仓3台、细碎料仓3台、除尘器料仓3台、电机振动给料3台、颚式破碎机3台、分级机前料仓1台、板链式斗提</w:t>
            </w:r>
            <w:r>
              <w:rPr>
                <w:rFonts w:hint="eastAsia" w:ascii="Times New Roman" w:hAnsi="Times New Roman" w:eastAsia="宋体" w:cs="Times New Roman"/>
                <w:bCs/>
                <w:sz w:val="24"/>
                <w:szCs w:val="24"/>
                <w:lang w:eastAsia="zh-CN"/>
              </w:rPr>
              <w:t>机</w:t>
            </w:r>
            <w:r>
              <w:rPr>
                <w:rFonts w:hint="eastAsia" w:ascii="Times New Roman" w:hAnsi="Times New Roman" w:eastAsia="宋体" w:cs="Times New Roman"/>
                <w:bCs/>
                <w:sz w:val="24"/>
                <w:szCs w:val="24"/>
              </w:rPr>
              <w:t>3台、永磁除铁器3台、轴流风机2台、密封型电机振动给料机3台、DCS控制系统3套等</w:t>
            </w:r>
            <w:r>
              <w:rPr>
                <w:rFonts w:ascii="Times New Roman" w:hAnsi="Times New Roman" w:eastAsia="宋体" w:cs="Times New Roman"/>
                <w:bCs/>
                <w:sz w:val="24"/>
                <w:szCs w:val="24"/>
              </w:rPr>
              <w:t>。项目实施后达到年加工</w:t>
            </w:r>
            <w:r>
              <w:rPr>
                <w:rFonts w:hint="eastAsia" w:ascii="Times New Roman" w:hAnsi="Times New Roman" w:eastAsia="宋体" w:cs="Times New Roman"/>
                <w:bCs/>
                <w:sz w:val="24"/>
                <w:szCs w:val="24"/>
              </w:rPr>
              <w:t>工业硅粉4</w:t>
            </w:r>
            <w:r>
              <w:rPr>
                <w:rFonts w:ascii="Times New Roman" w:hAnsi="Times New Roman" w:eastAsia="宋体" w:cs="Times New Roman"/>
                <w:bCs/>
                <w:sz w:val="24"/>
                <w:szCs w:val="24"/>
              </w:rPr>
              <w:t>万吨的</w:t>
            </w:r>
            <w:r>
              <w:rPr>
                <w:rFonts w:hint="eastAsia" w:ascii="Times New Roman" w:hAnsi="Times New Roman" w:eastAsia="宋体" w:cs="Times New Roman"/>
                <w:bCs/>
                <w:sz w:val="24"/>
                <w:szCs w:val="24"/>
              </w:rPr>
              <w:t>生产</w:t>
            </w:r>
            <w:r>
              <w:rPr>
                <w:rFonts w:ascii="Times New Roman" w:hAnsi="Times New Roman" w:eastAsia="宋体" w:cs="Times New Roman"/>
                <w:bCs/>
                <w:sz w:val="24"/>
                <w:szCs w:val="24"/>
              </w:rPr>
              <w:t>能力。</w:t>
            </w:r>
            <w:r>
              <w:rPr>
                <w:rFonts w:ascii="Times New Roman" w:hAnsi="Times New Roman" w:eastAsia="宋体" w:cs="Times New Roman"/>
                <w:sz w:val="24"/>
              </w:rPr>
              <w:t>项目总投资为1920万，其中环保投资为81万元，占总投资的4.22%。</w:t>
            </w:r>
            <w:r>
              <w:rPr>
                <w:rFonts w:ascii="Times New Roman" w:hAnsi="Times New Roman" w:eastAsia="宋体" w:cs="Times New Roman"/>
                <w:bCs/>
                <w:sz w:val="24"/>
              </w:rPr>
              <w:t>经过评价形成结论如下：</w:t>
            </w:r>
          </w:p>
          <w:p w14:paraId="3D92386E">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1、政策符合性</w:t>
            </w:r>
          </w:p>
          <w:p w14:paraId="2D8BA1F6">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根据国民经济行业分类与代码（GB/T4754－2017），本项目属于“</w:t>
            </w:r>
            <w:r>
              <w:rPr>
                <w:rFonts w:hint="eastAsia" w:ascii="Times New Roman" w:hAnsi="Times New Roman" w:eastAsia="宋体" w:cs="Times New Roman"/>
                <w:sz w:val="24"/>
                <w:szCs w:val="24"/>
              </w:rPr>
              <w:t>C3099 非金属矿物制品制造</w:t>
            </w:r>
            <w:r>
              <w:rPr>
                <w:rFonts w:ascii="Times New Roman" w:hAnsi="Times New Roman" w:eastAsia="宋体" w:cs="Times New Roman"/>
                <w:sz w:val="24"/>
                <w:szCs w:val="24"/>
              </w:rPr>
              <w:t>”</w:t>
            </w:r>
            <w:r>
              <w:rPr>
                <w:rFonts w:ascii="Times New Roman" w:hAnsi="Times New Roman" w:eastAsia="宋体" w:cs="Times New Roman"/>
                <w:kern w:val="44"/>
                <w:sz w:val="24"/>
              </w:rPr>
              <w:t>，中华人民共和国国家发展和改革委员会令第29号《产业结构调整指导目录（2019年本）</w:t>
            </w:r>
            <w:r>
              <w:rPr>
                <w:rFonts w:ascii="Times New Roman" w:hAnsi="Times New Roman" w:eastAsia="宋体" w:cs="Times New Roman"/>
                <w:sz w:val="24"/>
                <w:szCs w:val="24"/>
              </w:rPr>
              <w:t>》，本项目属于</w:t>
            </w:r>
            <w:r>
              <w:rPr>
                <w:rFonts w:hint="eastAsia" w:ascii="Times New Roman" w:hAnsi="Times New Roman" w:eastAsia="宋体" w:cs="Times New Roman"/>
                <w:sz w:val="24"/>
                <w:szCs w:val="24"/>
              </w:rPr>
              <w:t xml:space="preserve">“第一类 鼓励类”中的“十二、建材 </w:t>
            </w:r>
            <w:r>
              <w:rPr>
                <w:rFonts w:ascii="Times New Roman" w:hAnsi="Times New Roman" w:eastAsia="宋体" w:cs="Times New Roman"/>
                <w:sz w:val="24"/>
                <w:szCs w:val="24"/>
              </w:rPr>
              <w:t>8</w:t>
            </w:r>
            <w:r>
              <w:rPr>
                <w:rFonts w:hint="eastAsia" w:ascii="Times New Roman" w:hAnsi="Times New Roman" w:eastAsia="宋体" w:cs="Times New Roman"/>
                <w:sz w:val="24"/>
                <w:szCs w:val="24"/>
              </w:rPr>
              <w:t>、高纯纳米级球形硅微粉与</w:t>
            </w:r>
            <w:r>
              <w:rPr>
                <w:rFonts w:hint="eastAsia" w:ascii="Times New Roman" w:hAnsi="Times New Roman" w:eastAsia="宋体" w:cs="Times New Roman"/>
                <w:b/>
                <w:bCs/>
                <w:sz w:val="24"/>
                <w:szCs w:val="24"/>
              </w:rPr>
              <w:t>高纯工业硅的生产</w:t>
            </w:r>
            <w:r>
              <w:rPr>
                <w:rFonts w:hint="eastAsia" w:ascii="Times New Roman" w:hAnsi="Times New Roman" w:eastAsia="宋体" w:cs="Times New Roman"/>
                <w:sz w:val="24"/>
                <w:szCs w:val="24"/>
              </w:rPr>
              <w:t>、应用及其技术装备开发与应用”，</w:t>
            </w:r>
            <w:r>
              <w:rPr>
                <w:rFonts w:ascii="Times New Roman" w:hAnsi="Times New Roman" w:eastAsia="宋体" w:cs="Times New Roman"/>
                <w:sz w:val="24"/>
                <w:szCs w:val="24"/>
              </w:rPr>
              <w:t>且符合国家有关</w:t>
            </w:r>
            <w:r>
              <w:rPr>
                <w:rFonts w:hint="eastAsia" w:ascii="Times New Roman" w:hAnsi="Times New Roman" w:eastAsia="宋体" w:cs="Times New Roman"/>
                <w:sz w:val="24"/>
                <w:szCs w:val="24"/>
                <w:lang w:eastAsia="zh-CN"/>
              </w:rPr>
              <w:t>法律法规</w:t>
            </w:r>
            <w:r>
              <w:rPr>
                <w:rFonts w:ascii="Times New Roman" w:hAnsi="Times New Roman" w:eastAsia="宋体" w:cs="Times New Roman"/>
                <w:sz w:val="24"/>
                <w:szCs w:val="24"/>
              </w:rPr>
              <w:t>和政策规定，为</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w:t>
            </w:r>
            <w:r>
              <w:rPr>
                <w:rFonts w:hint="eastAsia" w:ascii="Times New Roman" w:hAnsi="Times New Roman" w:eastAsia="宋体" w:cs="Times New Roman"/>
                <w:sz w:val="24"/>
                <w:szCs w:val="24"/>
              </w:rPr>
              <w:t>。</w:t>
            </w:r>
            <w:r>
              <w:rPr>
                <w:rFonts w:ascii="Times New Roman" w:hAnsi="Times New Roman" w:eastAsia="宋体" w:cs="Times New Roman"/>
                <w:sz w:val="24"/>
                <w:szCs w:val="24"/>
              </w:rPr>
              <w:t>因此，本项目属于</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类，符合相关法律法规和相关政策规定。</w:t>
            </w:r>
          </w:p>
          <w:p w14:paraId="60D13794">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szCs w:val="24"/>
              </w:rPr>
              <w:t>同时，</w:t>
            </w:r>
            <w:r>
              <w:rPr>
                <w:rFonts w:hint="eastAsia" w:ascii="Times New Roman" w:hAnsi="Times New Roman" w:eastAsia="宋体" w:cs="Times New Roman"/>
                <w:bCs/>
                <w:sz w:val="24"/>
                <w:szCs w:val="24"/>
              </w:rPr>
              <w:t>峨边彝族自治县</w:t>
            </w:r>
            <w:r>
              <w:rPr>
                <w:rFonts w:ascii="Times New Roman" w:hAnsi="Times New Roman" w:eastAsia="宋体" w:cs="Times New Roman"/>
                <w:bCs/>
                <w:sz w:val="24"/>
                <w:szCs w:val="24"/>
              </w:rPr>
              <w:t>经济和信息化局</w:t>
            </w:r>
            <w:r>
              <w:rPr>
                <w:rFonts w:ascii="Times New Roman" w:hAnsi="Times New Roman" w:eastAsia="宋体" w:cs="Times New Roman"/>
                <w:sz w:val="24"/>
              </w:rPr>
              <w:t>以</w:t>
            </w:r>
            <w:r>
              <w:rPr>
                <w:rFonts w:ascii="Times New Roman" w:hAnsi="Times New Roman" w:eastAsia="宋体" w:cs="Times New Roman"/>
                <w:sz w:val="24"/>
                <w:szCs w:val="24"/>
              </w:rPr>
              <w:t>《四川省技术改造投资项目备案表》</w:t>
            </w:r>
            <w:r>
              <w:rPr>
                <w:rFonts w:ascii="Times New Roman" w:hAnsi="Times New Roman" w:eastAsia="宋体" w:cs="Times New Roman"/>
                <w:sz w:val="24"/>
              </w:rPr>
              <w:t>（</w:t>
            </w:r>
            <w:r>
              <w:rPr>
                <w:rFonts w:hint="eastAsia" w:ascii="Times New Roman" w:hAnsi="Times New Roman" w:eastAsia="宋体" w:cs="Times New Roman"/>
                <w:sz w:val="24"/>
                <w:szCs w:val="24"/>
              </w:rPr>
              <w:t>川投资备【2020-511132-32-03-465878】JXQB-0052号</w:t>
            </w:r>
            <w:r>
              <w:rPr>
                <w:rFonts w:ascii="Times New Roman" w:hAnsi="Times New Roman" w:eastAsia="宋体" w:cs="Times New Roman"/>
                <w:sz w:val="24"/>
              </w:rPr>
              <w:t>）予以备案，同意实施。</w:t>
            </w:r>
          </w:p>
          <w:p w14:paraId="554E011B">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综上所述，本项目的建设符合国家现行的产业政策。</w:t>
            </w:r>
          </w:p>
          <w:p w14:paraId="2C8D4892">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2、规划选址符合性分析</w:t>
            </w:r>
          </w:p>
          <w:p w14:paraId="4325C1C3">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经分析，</w:t>
            </w:r>
            <w:r>
              <w:rPr>
                <w:rFonts w:ascii="Times New Roman" w:hAnsi="Times New Roman" w:eastAsia="宋体" w:cs="Times New Roman"/>
                <w:sz w:val="24"/>
              </w:rPr>
              <w:t>项目符合国家产业政策、符合“三线一单”、</w:t>
            </w:r>
            <w:r>
              <w:rPr>
                <w:rFonts w:ascii="Times New Roman" w:hAnsi="Times New Roman" w:eastAsia="宋体" w:cs="Times New Roman"/>
                <w:sz w:val="24"/>
                <w:szCs w:val="24"/>
              </w:rPr>
              <w:t>乐山市打赢蓝天保卫战等九个实施方案</w:t>
            </w:r>
            <w:r>
              <w:rPr>
                <w:rFonts w:ascii="Times New Roman" w:hAnsi="Times New Roman" w:eastAsia="宋体" w:cs="Times New Roman"/>
                <w:sz w:val="24"/>
              </w:rPr>
              <w:t>等相关要求，项目外环境单纯，项目采取相应的污染防治措施后，污染物</w:t>
            </w:r>
            <w:r>
              <w:rPr>
                <w:rFonts w:ascii="Times New Roman" w:hAnsi="Times New Roman" w:eastAsia="宋体" w:cs="Times New Roman"/>
                <w:sz w:val="24"/>
                <w:szCs w:val="24"/>
              </w:rPr>
              <w:t>可达标排放，项目周围无自然保护区、风景名胜区、饮用水源等敏感区，从环保角度看该项目选址可行。</w:t>
            </w:r>
          </w:p>
          <w:p w14:paraId="1A871C93">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项目符合“三线一单”要求，外环境关系较为单纯，项目采取相应的污染防治措施后，污染物可达标排放，项目周围无自然保护区、风景名胜区、饮用水源等敏感区，从环保角度看该项目选址基本可行。</w:t>
            </w:r>
          </w:p>
          <w:p w14:paraId="4C5FF8D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3、总平面布置合理性分析</w:t>
            </w:r>
          </w:p>
          <w:p w14:paraId="18DAF860">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sz w:val="24"/>
                <w:szCs w:val="24"/>
              </w:rPr>
              <w:t>位于</w:t>
            </w:r>
            <w:r>
              <w:rPr>
                <w:rFonts w:hint="eastAsia" w:ascii="Times New Roman" w:hAnsi="Times New Roman" w:eastAsia="宋体" w:cs="Times New Roman"/>
                <w:sz w:val="24"/>
                <w:szCs w:val="24"/>
              </w:rPr>
              <w:t>乐山市峨边彝族自治县峨边新场工业园区（原林河集团黄磷厂厂区）</w:t>
            </w: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原黄磷厂早已停产</w:t>
            </w:r>
            <w:r>
              <w:rPr>
                <w:rFonts w:ascii="Times New Roman" w:hAnsi="Times New Roman" w:eastAsia="宋体" w:cs="Times New Roman"/>
                <w:sz w:val="24"/>
                <w:szCs w:val="24"/>
              </w:rPr>
              <w:t>，</w:t>
            </w:r>
            <w:r>
              <w:rPr>
                <w:rFonts w:hint="eastAsia" w:ascii="Times New Roman" w:hAnsi="Times New Roman" w:eastAsia="宋体" w:cs="Times New Roman"/>
                <w:sz w:val="24"/>
                <w:szCs w:val="24"/>
              </w:rPr>
              <w:t>场地平整仅余破旧彩钢棚厂房待拆迁。</w:t>
            </w:r>
            <w:r>
              <w:rPr>
                <w:rFonts w:ascii="Times New Roman" w:hAnsi="Times New Roman" w:eastAsia="宋体" w:cs="Times New Roman"/>
                <w:sz w:val="24"/>
                <w:szCs w:val="24"/>
              </w:rPr>
              <w:t>本次环评在原有场地上改扩建厂房及办公附属设施，</w:t>
            </w:r>
            <w:r>
              <w:rPr>
                <w:rFonts w:hint="eastAsia" w:ascii="Times New Roman" w:hAnsi="Times New Roman" w:eastAsia="宋体" w:cs="Times New Roman"/>
                <w:bCs/>
                <w:sz w:val="24"/>
                <w:szCs w:val="24"/>
              </w:rPr>
              <w:t>改建2×1500硅粉车间990平方米，综合楼260平方米，硅块中转库1012.5平方米，产品粉散装罐区843.5平方米，机修车间60.225平方米。硅块料仓3台、细碎料仓3台、除尘器料仓3台、电机振动给料3台、颚式破碎机3台、分级机前料仓1台、板链式斗提</w:t>
            </w:r>
            <w:r>
              <w:rPr>
                <w:rFonts w:hint="eastAsia" w:ascii="Times New Roman" w:hAnsi="Times New Roman" w:eastAsia="宋体" w:cs="Times New Roman"/>
                <w:bCs/>
                <w:sz w:val="24"/>
                <w:szCs w:val="24"/>
                <w:lang w:eastAsia="zh-CN"/>
              </w:rPr>
              <w:t>机</w:t>
            </w:r>
            <w:r>
              <w:rPr>
                <w:rFonts w:hint="eastAsia" w:ascii="Times New Roman" w:hAnsi="Times New Roman" w:eastAsia="宋体" w:cs="Times New Roman"/>
                <w:bCs/>
                <w:sz w:val="24"/>
                <w:szCs w:val="24"/>
              </w:rPr>
              <w:t>3台、永磁除铁器3台、轴流风机2台、密封型电机振动给料机3台、DCS控制系统3套等。</w:t>
            </w:r>
            <w:r>
              <w:rPr>
                <w:rFonts w:ascii="Times New Roman" w:hAnsi="Times New Roman" w:eastAsia="宋体" w:cs="Times New Roman"/>
                <w:sz w:val="24"/>
              </w:rPr>
              <w:t>所依托的办公</w:t>
            </w:r>
            <w:r>
              <w:rPr>
                <w:rFonts w:hint="eastAsia" w:ascii="Times New Roman" w:hAnsi="Times New Roman" w:eastAsia="宋体" w:cs="Times New Roman"/>
                <w:sz w:val="24"/>
              </w:rPr>
              <w:t>生活</w:t>
            </w:r>
            <w:r>
              <w:rPr>
                <w:rFonts w:ascii="Times New Roman" w:hAnsi="Times New Roman" w:eastAsia="宋体" w:cs="Times New Roman"/>
                <w:sz w:val="24"/>
              </w:rPr>
              <w:t>等辅助配套设施均已建成，满足工艺流程，也满足功能分区要求及运输作业要求。</w:t>
            </w:r>
          </w:p>
          <w:p w14:paraId="2377364C">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根据建设单位设计，项目</w:t>
            </w:r>
            <w:r>
              <w:rPr>
                <w:rFonts w:hint="eastAsia" w:ascii="Times New Roman" w:hAnsi="Times New Roman" w:eastAsia="宋体" w:cs="Times New Roman"/>
                <w:sz w:val="24"/>
              </w:rPr>
              <w:t>厂区主要分布为综合楼、机修车间、硅粉车间；硅粉车间主要包含硅块中转库、加工生产线、散装罐区、待检修区；生活区主要依托原黄磷厂办公生活区。</w:t>
            </w:r>
            <w:r>
              <w:rPr>
                <w:rFonts w:ascii="Times New Roman" w:hAnsi="Times New Roman" w:eastAsia="宋体" w:cs="Times New Roman"/>
                <w:sz w:val="24"/>
              </w:rPr>
              <w:t>项目工程平面布置基本合理，做到了统一布置，综合平衡，功能分区明确，工艺流程合理，管线短捷，运输方便，并符合环保、消防及安全要求等。</w:t>
            </w:r>
          </w:p>
          <w:p w14:paraId="2F6AB6A9">
            <w:pPr>
              <w:widowControl/>
              <w:spacing w:line="360" w:lineRule="auto"/>
              <w:ind w:firstLine="480" w:firstLineChars="200"/>
              <w:jc w:val="left"/>
              <w:rPr>
                <w:rFonts w:ascii="Times New Roman" w:hAnsi="Times New Roman" w:eastAsia="宋体" w:cs="Times New Roman"/>
                <w:bCs/>
                <w:sz w:val="24"/>
              </w:rPr>
            </w:pPr>
            <w:r>
              <w:rPr>
                <w:rFonts w:ascii="Times New Roman" w:hAnsi="Times New Roman" w:eastAsia="宋体" w:cs="Times New Roman"/>
                <w:bCs/>
                <w:sz w:val="24"/>
              </w:rPr>
              <w:t>综上所述，</w:t>
            </w:r>
            <w:r>
              <w:rPr>
                <w:rFonts w:ascii="Times New Roman" w:hAnsi="Times New Roman" w:eastAsia="宋体" w:cs="Times New Roman"/>
                <w:sz w:val="24"/>
              </w:rPr>
              <w:t>本项目在总体布局上，遵循“分区合理、工艺流畅、物流短捷；突出环保与安全”的原则，结合场地的用地条件及生产工艺，综合考虑环保、消防、劳动卫生等要求，进行了平面布置统筹安排，总图布置从环保角度合理</w:t>
            </w:r>
            <w:r>
              <w:rPr>
                <w:rFonts w:ascii="Times New Roman" w:hAnsi="Times New Roman" w:eastAsia="宋体" w:cs="Times New Roman"/>
                <w:bCs/>
                <w:sz w:val="24"/>
              </w:rPr>
              <w:t>。</w:t>
            </w:r>
          </w:p>
          <w:p w14:paraId="2BEE3BF3">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综上所述，项目布局紧凑合理，从环保角度来讲是合理的。</w:t>
            </w:r>
          </w:p>
          <w:p w14:paraId="6D7EA8D9">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4、区域环境质量状况结论</w:t>
            </w:r>
          </w:p>
          <w:p w14:paraId="2F20894A">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（1）大气环境质量</w:t>
            </w:r>
          </w:p>
          <w:p w14:paraId="0E3FAA7C">
            <w:pPr>
              <w:adjustRightInd w:val="0"/>
              <w:snapToGrid w:val="0"/>
              <w:spacing w:line="360" w:lineRule="auto"/>
              <w:ind w:right="78" w:rightChars="37"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根据《乐山</w:t>
            </w:r>
            <w:r>
              <w:rPr>
                <w:rFonts w:ascii="Times New Roman" w:hAnsi="Times New Roman" w:eastAsia="宋体" w:cs="Times New Roman"/>
                <w:sz w:val="24"/>
              </w:rPr>
              <w:t>市2019年环境质量公报》全市11个</w:t>
            </w:r>
            <w:r>
              <w:rPr>
                <w:rFonts w:hint="eastAsia" w:ascii="Times New Roman" w:hAnsi="Times New Roman" w:eastAsia="宋体" w:cs="Times New Roman"/>
                <w:sz w:val="24"/>
                <w:lang w:eastAsia="zh-CN"/>
              </w:rPr>
              <w:t>县（市、区）</w:t>
            </w:r>
            <w:r>
              <w:rPr>
                <w:rFonts w:ascii="Times New Roman" w:hAnsi="Times New Roman" w:eastAsia="宋体" w:cs="Times New Roman"/>
                <w:sz w:val="24"/>
              </w:rPr>
              <w:t>环境空气中二氧化硫、二氧化氮、臭氧</w:t>
            </w:r>
            <w:r>
              <w:rPr>
                <w:rFonts w:hint="eastAsia" w:ascii="Times New Roman" w:hAnsi="Times New Roman" w:eastAsia="宋体" w:cs="Times New Roman"/>
                <w:sz w:val="24"/>
              </w:rPr>
              <w:t>、</w:t>
            </w:r>
            <w:r>
              <w:rPr>
                <w:rFonts w:ascii="Times New Roman" w:hAnsi="Times New Roman" w:eastAsia="宋体" w:cs="Times New Roman"/>
                <w:sz w:val="24"/>
              </w:rPr>
              <w:t>一氧化碳和</w:t>
            </w:r>
            <w:r>
              <w:rPr>
                <w:rFonts w:hint="eastAsia" w:ascii="Times New Roman" w:hAnsi="Times New Roman" w:eastAsia="宋体" w:cs="Times New Roman"/>
                <w:sz w:val="24"/>
              </w:rPr>
              <w:t>可吸入颗粒物</w:t>
            </w:r>
            <w:r>
              <w:rPr>
                <w:rFonts w:ascii="Times New Roman" w:hAnsi="Times New Roman" w:eastAsia="宋体" w:cs="Times New Roman"/>
                <w:sz w:val="24"/>
              </w:rPr>
              <w:t>年均浓</w:t>
            </w:r>
            <w:r>
              <w:rPr>
                <w:rFonts w:ascii="Times New Roman" w:hAnsi="Times New Roman" w:eastAsia="宋体" w:cs="Times New Roman"/>
                <w:sz w:val="24"/>
                <w:szCs w:val="24"/>
              </w:rPr>
              <w:t>度分别为12.9μg/m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、24.0μg/m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、121.4μg/m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r>
              <w:rPr>
                <w:rFonts w:ascii="Times New Roman" w:hAnsi="Times New Roman" w:eastAsia="宋体" w:cs="Times New Roman"/>
                <w:sz w:val="24"/>
                <w:szCs w:val="24"/>
              </w:rPr>
              <w:t>1.4μg/m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和61.7mg/m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，均优于国家环境空气二级标准；细颗粒物平均浓度为39.1μg/m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，超过国家环境空气二级标准。</w:t>
            </w:r>
          </w:p>
          <w:p w14:paraId="3B7C1F47">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项目所在区域环境空气质量不达标，属于不达标区。</w:t>
            </w:r>
          </w:p>
          <w:p w14:paraId="59589C47">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《峨边彝族自治县环境空气质量限期达标规划（</w:t>
            </w:r>
            <w:r>
              <w:rPr>
                <w:rFonts w:ascii="Times New Roman" w:hAnsi="Times New Roman" w:eastAsia="宋体" w:cs="Times New Roman"/>
                <w:sz w:val="24"/>
                <w:szCs w:val="24"/>
              </w:rPr>
              <w:t>2018年</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2025年）》</w:t>
            </w:r>
            <w:r>
              <w:rPr>
                <w:rFonts w:hint="eastAsia" w:ascii="Times New Roman" w:hAnsi="Times New Roman" w:eastAsia="宋体" w:cs="Times New Roman"/>
                <w:sz w:val="24"/>
                <w:szCs w:val="24"/>
              </w:rPr>
              <w:t>，采取通过调整能源结构、升级产业结构、优化空间布局、强化污染减排等手段，逐步推进大气污染源头控制；以矿山、建材、铁合金、化工、扬尘、机动车、餐饮、秸秆燃烧为重点污染源，推进多污染源综合控制；针对</w:t>
            </w:r>
            <w:r>
              <w:rPr>
                <w:rFonts w:ascii="Times New Roman" w:hAnsi="Times New Roman" w:eastAsia="宋体" w:cs="Times New Roman"/>
                <w:sz w:val="24"/>
                <w:szCs w:val="24"/>
              </w:rPr>
              <w:t>SO2、NOx、PM、VOCs等大气污染物，推进多污染物协同控制，同时把对NH</w:t>
            </w:r>
            <w:r>
              <w:rPr>
                <w:rFonts w:ascii="Times New Roman" w:hAnsi="Times New Roman" w:eastAsia="宋体" w:cs="Times New Roman"/>
                <w:sz w:val="24"/>
                <w:szCs w:val="24"/>
                <w:vertAlign w:val="subscript"/>
              </w:rPr>
              <w:t>3</w:t>
            </w:r>
            <w:r>
              <w:rPr>
                <w:rFonts w:ascii="Times New Roman" w:hAnsi="Times New Roman" w:eastAsia="宋体" w:cs="Times New Roman"/>
                <w:sz w:val="24"/>
                <w:szCs w:val="24"/>
              </w:rPr>
              <w:t>的排放控制纳入政策视野。在2020年、2022年、2024年对空气质量达标规划实施情况开展跟踪评价，查找不足，有针对性地提出改进措施，</w:t>
            </w:r>
            <w:r>
              <w:rPr>
                <w:rFonts w:hint="eastAsia" w:ascii="Times New Roman" w:hAnsi="Times New Roman" w:eastAsia="宋体" w:cs="Times New Roman"/>
                <w:sz w:val="24"/>
                <w:szCs w:val="24"/>
              </w:rPr>
              <w:t>逐步实现城市空气质量达标。</w:t>
            </w:r>
          </w:p>
          <w:p w14:paraId="682851C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（2）声环境质量</w:t>
            </w:r>
          </w:p>
          <w:p w14:paraId="6DD6E862">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监测结果表明：项目</w:t>
            </w:r>
            <w:r>
              <w:rPr>
                <w:rFonts w:hint="eastAsia" w:ascii="Times New Roman" w:hAnsi="Times New Roman" w:eastAsia="宋体" w:cs="Times New Roman"/>
                <w:sz w:val="24"/>
                <w:szCs w:val="24"/>
              </w:rPr>
              <w:t>四周声环境</w:t>
            </w:r>
            <w:r>
              <w:rPr>
                <w:rFonts w:ascii="Times New Roman" w:hAnsi="Times New Roman" w:eastAsia="宋体" w:cs="Times New Roman"/>
                <w:sz w:val="24"/>
                <w:szCs w:val="24"/>
              </w:rPr>
              <w:t>噪声值仍可满足</w:t>
            </w:r>
            <w:r>
              <w:rPr>
                <w:rFonts w:hint="eastAsia" w:ascii="Times New Roman" w:hAnsi="Times New Roman" w:eastAsia="宋体" w:cs="Times New Roman"/>
                <w:sz w:val="24"/>
                <w:szCs w:val="24"/>
              </w:rPr>
              <w:t>《声环境质量标准》（GB 3096-2008）</w:t>
            </w:r>
            <w:r>
              <w:rPr>
                <w:rFonts w:ascii="Times New Roman" w:hAnsi="Times New Roman" w:eastAsia="宋体" w:cs="Times New Roman"/>
                <w:sz w:val="24"/>
                <w:szCs w:val="24"/>
              </w:rPr>
              <w:t>3类标准值要求，项目区声环境质量良好。</w:t>
            </w:r>
          </w:p>
          <w:p w14:paraId="689DD94E">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（3）地表水环境质量</w:t>
            </w:r>
          </w:p>
          <w:p w14:paraId="0AA68026">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根据《乐山市2019年环境质量公报》数据显示：</w:t>
            </w:r>
            <w:r>
              <w:rPr>
                <w:rFonts w:hint="eastAsia" w:ascii="Times New Roman" w:hAnsi="Times New Roman" w:eastAsia="宋体" w:cs="Times New Roman"/>
                <w:sz w:val="24"/>
                <w:szCs w:val="24"/>
              </w:rPr>
              <w:t>乐山市10个国控、省控地表水断面中，监测断面总体达标率为90%；青衣江、大渡河、马边河、龙溪河水质优，岷江乐山段水质良好，茫溪河水质受到中度污染。</w:t>
            </w:r>
          </w:p>
          <w:p w14:paraId="308EDA1E">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由</w:t>
            </w:r>
            <w:r>
              <w:rPr>
                <w:rFonts w:hint="eastAsia" w:ascii="Times New Roman" w:hAnsi="Times New Roman" w:eastAsia="宋体" w:cs="Times New Roman"/>
                <w:sz w:val="24"/>
                <w:szCs w:val="24"/>
              </w:rPr>
              <w:t>补充检测报告结果可知：</w:t>
            </w:r>
            <w:r>
              <w:rPr>
                <w:rFonts w:ascii="Times New Roman" w:hAnsi="Times New Roman" w:eastAsia="宋体" w:cs="Times New Roman"/>
                <w:sz w:val="24"/>
                <w:szCs w:val="24"/>
              </w:rPr>
              <w:t>项目地表水</w:t>
            </w:r>
            <w:r>
              <w:rPr>
                <w:rFonts w:hint="eastAsia" w:ascii="Times New Roman" w:hAnsi="Times New Roman" w:eastAsia="宋体" w:cs="Times New Roman"/>
                <w:sz w:val="24"/>
                <w:szCs w:val="24"/>
              </w:rPr>
              <w:t>庞沟</w:t>
            </w:r>
            <w:r>
              <w:rPr>
                <w:rFonts w:ascii="Times New Roman" w:hAnsi="Times New Roman" w:eastAsia="宋体" w:cs="Times New Roman"/>
                <w:sz w:val="24"/>
                <w:szCs w:val="24"/>
              </w:rPr>
              <w:t>水质</w:t>
            </w:r>
            <w:bookmarkStart w:id="3" w:name="_GoBack"/>
            <w:r>
              <w:rPr>
                <w:rFonts w:ascii="Times New Roman" w:hAnsi="Times New Roman" w:eastAsia="宋体" w:cs="Times New Roman"/>
                <w:sz w:val="24"/>
                <w:szCs w:val="24"/>
              </w:rPr>
              <w:t>满足为</w:t>
            </w:r>
            <w:bookmarkEnd w:id="3"/>
            <w:r>
              <w:rPr>
                <w:rFonts w:ascii="Times New Roman" w:hAnsi="Times New Roman" w:eastAsia="宋体" w:cs="Times New Roman"/>
                <w:sz w:val="24"/>
                <w:szCs w:val="24"/>
              </w:rPr>
              <w:t>《地表水环境质量标准》（GB3838-2002）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3 \* ROMAN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lang w:eastAsia="zh-CN"/>
              </w:rPr>
              <w:t>Ⅲ</w:t>
            </w:r>
            <w:r>
              <w:rPr>
                <w:rFonts w:ascii="Times New Roman" w:hAnsi="Times New Roman" w:eastAsia="宋体" w:cs="Times New Roman"/>
                <w:szCs w:val="21"/>
              </w:rPr>
              <w:fldChar w:fldCharType="end"/>
            </w:r>
            <w:r>
              <w:rPr>
                <w:rFonts w:ascii="Times New Roman" w:hAnsi="Times New Roman" w:eastAsia="宋体" w:cs="Times New Roman"/>
                <w:sz w:val="24"/>
                <w:szCs w:val="24"/>
              </w:rPr>
              <w:t>类水质要求，水质良好。项目所在区域地表水环境质量较好。</w:t>
            </w:r>
          </w:p>
          <w:p w14:paraId="73528018">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5、环境影响评价结论</w:t>
            </w:r>
            <w:r>
              <w:rPr>
                <w:rFonts w:ascii="Times New Roman" w:hAnsi="Times New Roman" w:eastAsia="宋体" w:cs="Times New Roman"/>
                <w:sz w:val="24"/>
                <w:szCs w:val="24"/>
              </w:rPr>
              <w:tab/>
            </w:r>
          </w:p>
          <w:p w14:paraId="3F0918B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（1）施工期环境影响分析</w:t>
            </w:r>
          </w:p>
          <w:p w14:paraId="5B0547CB">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施工期应加强施工期的环境管理，将施工期对周围大气环境和声环境的影响降至最低。只要施工单位做到文明施工并加强施工人员的环境保护安全意识教育，尽量降低本项目对周围环境影响，施工结束后本项目施工期产生的环境影响将随之消除。</w:t>
            </w:r>
          </w:p>
          <w:p w14:paraId="74A01C7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（2）营运期废气环境影响分析结论</w:t>
            </w:r>
          </w:p>
          <w:p w14:paraId="3D72279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本项目破碎</w:t>
            </w:r>
            <w:r>
              <w:rPr>
                <w:rFonts w:hint="eastAsia" w:ascii="Times New Roman" w:hAnsi="Times New Roman" w:eastAsia="宋体" w:cs="Times New Roman"/>
                <w:sz w:val="24"/>
                <w:szCs w:val="24"/>
              </w:rPr>
              <w:t>、筛分、粉磨、</w:t>
            </w:r>
            <w:r>
              <w:rPr>
                <w:rFonts w:ascii="Times New Roman" w:hAnsi="Times New Roman" w:eastAsia="宋体" w:cs="Times New Roman"/>
                <w:sz w:val="24"/>
                <w:szCs w:val="24"/>
              </w:rPr>
              <w:t>原料装卸、堆放、车辆运输</w:t>
            </w:r>
            <w:r>
              <w:rPr>
                <w:rFonts w:hint="eastAsia" w:ascii="Times New Roman" w:hAnsi="Times New Roman" w:eastAsia="宋体" w:cs="Times New Roman"/>
                <w:sz w:val="24"/>
                <w:szCs w:val="24"/>
              </w:rPr>
              <w:t>等</w:t>
            </w:r>
            <w:r>
              <w:rPr>
                <w:rFonts w:ascii="Times New Roman" w:hAnsi="Times New Roman" w:eastAsia="宋体" w:cs="Times New Roman"/>
                <w:sz w:val="24"/>
                <w:szCs w:val="24"/>
              </w:rPr>
              <w:t>加工过程中易产生少量粉尘逸散。</w:t>
            </w:r>
          </w:p>
          <w:p w14:paraId="5F661556">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szCs w:val="24"/>
              </w:rPr>
              <w:t>根据预测</w:t>
            </w:r>
            <w:r>
              <w:rPr>
                <w:rFonts w:ascii="Times New Roman" w:hAnsi="Times New Roman" w:eastAsia="宋体" w:cs="Times New Roman"/>
                <w:sz w:val="24"/>
              </w:rPr>
              <w:t>，</w:t>
            </w:r>
            <w:r>
              <w:rPr>
                <w:rFonts w:ascii="Times New Roman" w:hAnsi="Times New Roman" w:eastAsia="宋体" w:cs="Times New Roman"/>
                <w:b/>
                <w:sz w:val="24"/>
              </w:rPr>
              <w:t>结果显示</w:t>
            </w:r>
            <w:r>
              <w:rPr>
                <w:rFonts w:ascii="Times New Roman" w:hAnsi="Times New Roman" w:eastAsia="宋体" w:cs="Times New Roman"/>
                <w:sz w:val="24"/>
              </w:rPr>
              <w:t>：</w:t>
            </w:r>
            <w:r>
              <w:rPr>
                <w:rFonts w:hint="eastAsia" w:ascii="Times New Roman" w:hAnsi="Times New Roman" w:eastAsia="宋体" w:cs="Times New Roman"/>
                <w:sz w:val="24"/>
              </w:rPr>
              <w:t>本项目P</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最大值出现为矩形面源无组织的TSPP</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值为9.</w:t>
            </w:r>
            <w:r>
              <w:rPr>
                <w:rFonts w:ascii="Times New Roman" w:hAnsi="Times New Roman" w:eastAsia="宋体" w:cs="Times New Roman"/>
                <w:sz w:val="24"/>
              </w:rPr>
              <w:t>1702</w:t>
            </w:r>
            <w:r>
              <w:rPr>
                <w:rFonts w:hint="eastAsia" w:ascii="Times New Roman" w:hAnsi="Times New Roman" w:eastAsia="宋体" w:cs="Times New Roman"/>
                <w:sz w:val="24"/>
              </w:rPr>
              <w:t>%，C</w:t>
            </w:r>
            <w:r>
              <w:rPr>
                <w:rFonts w:hint="eastAsia" w:ascii="Times New Roman" w:hAnsi="Times New Roman" w:eastAsia="宋体" w:cs="Times New Roman"/>
                <w:sz w:val="24"/>
                <w:vertAlign w:val="subscript"/>
              </w:rPr>
              <w:t>max</w:t>
            </w:r>
            <w:r>
              <w:rPr>
                <w:rFonts w:hint="eastAsia" w:ascii="Times New Roman" w:hAnsi="Times New Roman" w:eastAsia="宋体" w:cs="Times New Roman"/>
                <w:sz w:val="24"/>
              </w:rPr>
              <w:t>为</w:t>
            </w:r>
            <w:r>
              <w:rPr>
                <w:rFonts w:ascii="Times New Roman" w:hAnsi="Times New Roman" w:eastAsia="宋体" w:cs="Times New Roman"/>
                <w:sz w:val="24"/>
              </w:rPr>
              <w:t>82.5320</w:t>
            </w:r>
            <w:r>
              <w:rPr>
                <w:rFonts w:hint="eastAsia" w:ascii="Times New Roman" w:hAnsi="Times New Roman" w:eastAsia="宋体" w:cs="Times New Roman"/>
                <w:sz w:val="24"/>
              </w:rPr>
              <w:t>μg/m³，根据《环境影响评价技术导则 大气环境》（HJ2.2-2018）分级判据，确定本项目大气环境影响评价工作等级为二级。</w:t>
            </w:r>
            <w:r>
              <w:rPr>
                <w:rFonts w:ascii="Times New Roman" w:hAnsi="Times New Roman" w:eastAsia="宋体" w:cs="Times New Roman"/>
                <w:sz w:val="24"/>
              </w:rPr>
              <w:t>不会对区域大气环境造成不良影响。</w:t>
            </w:r>
          </w:p>
          <w:p w14:paraId="6A4D6EA3">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本项目采取治理措施后，大气污染物可实现达标排放，对区域大气环境影响较小。</w:t>
            </w:r>
          </w:p>
          <w:p w14:paraId="379A60B8">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（3）运营期水环境影响分析结论</w:t>
            </w:r>
          </w:p>
          <w:p w14:paraId="387D5633">
            <w:pPr>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地表水环境影响结论</w:t>
            </w:r>
          </w:p>
          <w:p w14:paraId="3B60B6D3">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项目实行“雨污分流”制，项目涉及废水主要为生活污水和生产废水</w:t>
            </w:r>
            <w:r>
              <w:rPr>
                <w:rFonts w:ascii="Times New Roman" w:hAnsi="Times New Roman" w:eastAsia="宋体" w:cs="Times New Roman"/>
                <w:bCs/>
                <w:sz w:val="24"/>
              </w:rPr>
              <w:t>，</w:t>
            </w:r>
            <w:r>
              <w:rPr>
                <w:rFonts w:ascii="Times New Roman" w:hAnsi="Times New Roman" w:eastAsia="宋体" w:cs="Times New Roman"/>
                <w:sz w:val="24"/>
              </w:rPr>
              <w:t>生活废水</w:t>
            </w:r>
            <w:r>
              <w:rPr>
                <w:rFonts w:hint="eastAsia" w:ascii="Times New Roman" w:hAnsi="Times New Roman" w:eastAsia="宋体" w:cs="Times New Roman"/>
                <w:sz w:val="24"/>
              </w:rPr>
              <w:t>二级生化处理设施</w:t>
            </w:r>
            <w:r>
              <w:rPr>
                <w:rFonts w:ascii="Times New Roman" w:hAnsi="Times New Roman" w:eastAsia="宋体" w:cs="Times New Roman"/>
                <w:sz w:val="24"/>
              </w:rPr>
              <w:t>进行收集处理后用于</w:t>
            </w:r>
            <w:r>
              <w:rPr>
                <w:rFonts w:ascii="Times New Roman" w:hAnsi="Times New Roman" w:eastAsia="宋体" w:cs="Times New Roman"/>
                <w:bCs/>
                <w:sz w:val="24"/>
              </w:rPr>
              <w:t>周边农灌，不直接外排，项目周边有大片林地，完全可消纳这部分废水；</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轮胎冲洗水自然蒸发，不外排，</w:t>
            </w:r>
            <w:r>
              <w:rPr>
                <w:rFonts w:ascii="Times New Roman" w:hAnsi="Times New Roman" w:eastAsia="宋体" w:cs="Times New Roman"/>
                <w:sz w:val="24"/>
              </w:rPr>
              <w:t>不会对</w:t>
            </w:r>
            <w:r>
              <w:rPr>
                <w:rFonts w:hint="eastAsia" w:ascii="Times New Roman" w:hAnsi="Times New Roman" w:eastAsia="宋体" w:cs="Times New Roman"/>
                <w:sz w:val="24"/>
              </w:rPr>
              <w:t>庞沟</w:t>
            </w:r>
            <w:r>
              <w:rPr>
                <w:rFonts w:ascii="Times New Roman" w:hAnsi="Times New Roman" w:eastAsia="宋体" w:cs="Times New Roman"/>
                <w:sz w:val="24"/>
              </w:rPr>
              <w:t>的水环境产生影响。</w:t>
            </w:r>
          </w:p>
          <w:p w14:paraId="08527D65">
            <w:pPr>
              <w:spacing w:line="480" w:lineRule="exact"/>
              <w:ind w:firstLine="480" w:firstLineChars="200"/>
              <w:rPr>
                <w:rFonts w:ascii="Times New Roman" w:hAnsi="Times New Roman" w:eastAsia="宋体" w:cs="Times New Roman"/>
                <w:sz w:val="24"/>
                <w:u w:val="single"/>
              </w:rPr>
            </w:pPr>
            <w:r>
              <w:rPr>
                <w:rFonts w:ascii="Times New Roman" w:hAnsi="Times New Roman" w:eastAsia="宋体" w:cs="Times New Roman"/>
                <w:sz w:val="24"/>
                <w:u w:val="single"/>
              </w:rPr>
              <w:t>综上，项目废水能够实现</w:t>
            </w:r>
            <w:r>
              <w:rPr>
                <w:rFonts w:ascii="Times New Roman" w:hAnsi="Times New Roman" w:eastAsia="宋体" w:cs="Times New Roman"/>
                <w:bCs/>
                <w:sz w:val="24"/>
                <w:u w:val="single"/>
              </w:rPr>
              <w:t>不外排</w:t>
            </w:r>
            <w:r>
              <w:rPr>
                <w:rFonts w:ascii="Times New Roman" w:hAnsi="Times New Roman" w:eastAsia="宋体" w:cs="Times New Roman"/>
                <w:sz w:val="24"/>
                <w:u w:val="single"/>
              </w:rPr>
              <w:t>，不会对项目所在区域地表水环境质量造成明显影响。</w:t>
            </w:r>
          </w:p>
          <w:p w14:paraId="5FA13CC5">
            <w:pPr>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②</w:t>
            </w:r>
            <w:r>
              <w:rPr>
                <w:rFonts w:ascii="Times New Roman" w:hAnsi="Times New Roman" w:eastAsia="宋体" w:cs="Times New Roman"/>
                <w:sz w:val="24"/>
              </w:rPr>
              <w:t>地下水环境影响结论</w:t>
            </w:r>
          </w:p>
          <w:p w14:paraId="47A52A6E">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生活污水</w:t>
            </w:r>
            <w:r>
              <w:rPr>
                <w:rFonts w:ascii="Times New Roman" w:hAnsi="Times New Roman" w:eastAsia="宋体" w:cs="Times New Roman"/>
                <w:sz w:val="24"/>
                <w:szCs w:val="24"/>
              </w:rPr>
              <w:t>经收集后处理</w:t>
            </w:r>
            <w:r>
              <w:rPr>
                <w:rFonts w:hint="eastAsia" w:ascii="Times New Roman" w:hAnsi="Times New Roman" w:eastAsia="宋体" w:cs="Times New Roman"/>
                <w:sz w:val="24"/>
                <w:szCs w:val="24"/>
              </w:rPr>
              <w:t>回用周边农肥</w:t>
            </w:r>
            <w:r>
              <w:rPr>
                <w:rFonts w:ascii="Times New Roman" w:hAnsi="Times New Roman" w:eastAsia="宋体" w:cs="Times New Roman"/>
                <w:sz w:val="24"/>
                <w:szCs w:val="24"/>
              </w:rPr>
              <w:t>，但其下渗亦会污染地下水，主要污染因子为</w:t>
            </w:r>
            <w:r>
              <w:rPr>
                <w:rFonts w:hint="eastAsia" w:ascii="Times New Roman" w:hAnsi="Times New Roman" w:eastAsia="宋体" w:cs="Times New Roman"/>
                <w:sz w:val="24"/>
                <w:szCs w:val="24"/>
              </w:rPr>
              <w:t>氨氮、总磷、C</w:t>
            </w:r>
            <w:r>
              <w:rPr>
                <w:rFonts w:ascii="Times New Roman" w:hAnsi="Times New Roman" w:eastAsia="宋体" w:cs="Times New Roman"/>
                <w:sz w:val="24"/>
                <w:szCs w:val="24"/>
              </w:rPr>
              <w:t>OD</w:t>
            </w:r>
            <w:r>
              <w:rPr>
                <w:rFonts w:hint="eastAsia" w:ascii="Times New Roman" w:hAnsi="Times New Roman" w:eastAsia="宋体" w:cs="Times New Roman"/>
                <w:sz w:val="24"/>
                <w:szCs w:val="24"/>
              </w:rPr>
              <w:t>等污染物</w:t>
            </w:r>
            <w:r>
              <w:rPr>
                <w:rFonts w:ascii="Times New Roman" w:hAnsi="Times New Roman" w:eastAsia="宋体" w:cs="Times New Roman"/>
                <w:sz w:val="24"/>
                <w:szCs w:val="24"/>
              </w:rPr>
              <w:t>，因此环评要求：项目水工建筑物必须采取防渗。另外，项目</w:t>
            </w:r>
            <w:r>
              <w:rPr>
                <w:rFonts w:hint="eastAsia" w:ascii="Times New Roman" w:hAnsi="Times New Roman" w:eastAsia="宋体" w:cs="Times New Roman"/>
                <w:sz w:val="24"/>
                <w:szCs w:val="24"/>
              </w:rPr>
              <w:t>机修车间、危废暂存间等</w:t>
            </w:r>
            <w:r>
              <w:rPr>
                <w:rFonts w:ascii="Times New Roman" w:hAnsi="Times New Roman" w:eastAsia="宋体" w:cs="Times New Roman"/>
                <w:sz w:val="24"/>
                <w:szCs w:val="24"/>
              </w:rPr>
              <w:t>，采用重点防渗后，加强管理和巡察，严防</w:t>
            </w:r>
            <w:r>
              <w:rPr>
                <w:rFonts w:hint="eastAsia" w:ascii="Times New Roman" w:hAnsi="Times New Roman" w:eastAsia="宋体" w:cs="Times New Roman"/>
                <w:sz w:val="24"/>
                <w:szCs w:val="24"/>
              </w:rPr>
              <w:t>危险化学品机油等油类物质</w:t>
            </w:r>
            <w:r>
              <w:rPr>
                <w:rFonts w:ascii="Times New Roman" w:hAnsi="Times New Roman" w:eastAsia="宋体" w:cs="Times New Roman"/>
                <w:sz w:val="24"/>
                <w:szCs w:val="24"/>
              </w:rPr>
              <w:t>下渗污染地下水。</w:t>
            </w:r>
          </w:p>
          <w:p w14:paraId="2659A823">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（4）声环境影响分析结论</w:t>
            </w:r>
          </w:p>
          <w:p w14:paraId="589408F3">
            <w:pPr>
              <w:tabs>
                <w:tab w:val="left" w:pos="6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经预测，项目运营期厂界贡献值</w:t>
            </w:r>
            <w:r>
              <w:rPr>
                <w:rFonts w:ascii="Times New Roman" w:hAnsi="Times New Roman" w:eastAsia="宋体" w:cs="Times New Roman"/>
                <w:sz w:val="24"/>
                <w:szCs w:val="24"/>
              </w:rPr>
              <w:t>均达到《工业企业厂界环境噪声排放标准》（GB12348—2008）中3类标准，故项目运行对周围声环境无明显影响，不会发生扰民现象。</w:t>
            </w:r>
          </w:p>
          <w:p w14:paraId="422841FF">
            <w:pPr>
              <w:tabs>
                <w:tab w:val="left" w:pos="6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（4）固废环境影响分析结论</w:t>
            </w:r>
          </w:p>
          <w:p w14:paraId="1D78A6CF">
            <w:pPr>
              <w:pStyle w:val="9"/>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项目运营期产生的污染物为一般固废</w:t>
            </w:r>
            <w:r>
              <w:rPr>
                <w:rFonts w:hint="eastAsia" w:ascii="Times New Roman" w:hAnsi="Times New Roman" w:eastAsia="宋体" w:cs="Times New Roman"/>
                <w:sz w:val="24"/>
                <w:szCs w:val="24"/>
              </w:rPr>
              <w:t>及危险废物</w:t>
            </w:r>
            <w:r>
              <w:rPr>
                <w:rFonts w:ascii="Times New Roman" w:hAnsi="Times New Roman" w:eastAsia="宋体" w:cs="Times New Roman"/>
                <w:sz w:val="24"/>
                <w:szCs w:val="24"/>
              </w:rPr>
              <w:t>，主要为生活垃圾、</w:t>
            </w:r>
            <w:r>
              <w:rPr>
                <w:rFonts w:hint="eastAsia" w:ascii="Times New Roman" w:hAnsi="Times New Roman" w:eastAsia="宋体" w:cs="Times New Roman"/>
                <w:sz w:val="24"/>
                <w:szCs w:val="24"/>
              </w:rPr>
              <w:t>磁选废铁渣、除尘粉尘、二级生化处理设施污泥、轮胎冲洗池淤泥、废机油。磁选废铁渣暂存于废料堆场，由废品回收公司回收处理；除尘粉尘经收集后作为产品外售；二级生化处理设施污泥定期委托清掏处理；轮胎冲洗池淤泥，</w:t>
            </w:r>
            <w:r>
              <w:rPr>
                <w:rFonts w:ascii="Times New Roman" w:hAnsi="Times New Roman" w:eastAsia="宋体" w:cs="Times New Roman"/>
                <w:sz w:val="24"/>
                <w:szCs w:val="24"/>
              </w:rPr>
              <w:t>清掏后</w:t>
            </w:r>
            <w:r>
              <w:rPr>
                <w:rFonts w:hint="eastAsia" w:ascii="Times New Roman" w:hAnsi="Times New Roman" w:eastAsia="宋体" w:cs="Times New Roman"/>
                <w:sz w:val="24"/>
                <w:szCs w:val="24"/>
              </w:rPr>
              <w:t>外运建筑垃圾填埋场填埋处理；</w:t>
            </w:r>
            <w:r>
              <w:rPr>
                <w:rFonts w:ascii="Times New Roman" w:hAnsi="Times New Roman" w:eastAsia="宋体" w:cs="Times New Roman"/>
                <w:sz w:val="24"/>
                <w:szCs w:val="24"/>
              </w:rPr>
              <w:t>生活垃圾采用垃圾桶收集后，定期由环卫部门统一清运处理</w:t>
            </w:r>
            <w:r>
              <w:rPr>
                <w:rFonts w:hint="eastAsia" w:ascii="Times New Roman" w:hAnsi="Times New Roman" w:eastAsia="宋体" w:cs="Times New Roman"/>
                <w:sz w:val="24"/>
                <w:szCs w:val="24"/>
              </w:rPr>
              <w:t>；废机油暂存于危废暂存间，定期交由有资质的单位处理</w:t>
            </w:r>
            <w:r>
              <w:rPr>
                <w:rFonts w:ascii="Times New Roman" w:hAnsi="Times New Roman" w:eastAsia="宋体" w:cs="Times New Roman"/>
                <w:sz w:val="24"/>
                <w:szCs w:val="24"/>
              </w:rPr>
              <w:t>。</w:t>
            </w:r>
          </w:p>
          <w:p w14:paraId="38A41E81">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综上，项目固废去向明确，处置措施可行，不会产生二次污染。</w:t>
            </w:r>
          </w:p>
          <w:p w14:paraId="0B330366">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（5）土壤环境环境影响分析结论</w:t>
            </w:r>
          </w:p>
          <w:p w14:paraId="3F160CF0">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根据《环境影响评价技术导则土壤环境（试行）》（HJ964-2018）附录 A，项目属于</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ROMAN </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类建设项目，占地规模小型，土地性质为</w:t>
            </w:r>
            <w:r>
              <w:rPr>
                <w:rFonts w:hint="eastAsia" w:ascii="Times New Roman" w:hAnsi="Times New Roman" w:eastAsia="宋体" w:cs="Times New Roman"/>
                <w:sz w:val="24"/>
              </w:rPr>
              <w:t>不</w:t>
            </w:r>
            <w:r>
              <w:rPr>
                <w:rFonts w:ascii="Times New Roman" w:hAnsi="Times New Roman" w:eastAsia="宋体" w:cs="Times New Roman"/>
                <w:sz w:val="24"/>
              </w:rPr>
              <w:t>敏感，经分析本项目不需要开展土壤环境影响评价。</w:t>
            </w:r>
          </w:p>
          <w:p w14:paraId="4BFB2575">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6、风险影响分析结论</w:t>
            </w:r>
          </w:p>
          <w:p w14:paraId="7CD8E446">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根据《建设项目环境风险评价技术导则》（HJ169-2018）附录C，该项目Q&lt;1，环境风险潜势为Ⅰ，经简单分析：项目主要风险为火灾</w:t>
            </w:r>
            <w:r>
              <w:rPr>
                <w:rFonts w:hint="eastAsia" w:ascii="Times New Roman" w:hAnsi="Times New Roman" w:eastAsia="宋体" w:cs="Times New Roman"/>
                <w:kern w:val="0"/>
                <w:sz w:val="24"/>
                <w:szCs w:val="24"/>
              </w:rPr>
              <w:t>、危险化学品</w:t>
            </w:r>
            <w:r>
              <w:rPr>
                <w:rFonts w:ascii="Times New Roman" w:hAnsi="Times New Roman" w:eastAsia="宋体" w:cs="Times New Roman"/>
                <w:kern w:val="0"/>
                <w:sz w:val="24"/>
                <w:szCs w:val="24"/>
              </w:rPr>
              <w:t>及事故废水泄漏，采取以下措施防护：</w:t>
            </w:r>
          </w:p>
          <w:p w14:paraId="27BA4B6A">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划定禁火区，在明显地点设有警示标志，输配电线、灯具、火灾事故照明和疏散指示标志均应符合安全要求；严禁未安装灭火星装置的车辆出入生产区。</w:t>
            </w:r>
          </w:p>
          <w:p w14:paraId="30EBF042">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定期对</w:t>
            </w:r>
            <w:r>
              <w:rPr>
                <w:rFonts w:hint="eastAsia" w:ascii="Times New Roman" w:hAnsi="Times New Roman" w:eastAsia="宋体" w:cs="Times New Roman"/>
                <w:kern w:val="0"/>
                <w:sz w:val="24"/>
                <w:szCs w:val="24"/>
              </w:rPr>
              <w:t>环保</w:t>
            </w:r>
            <w:r>
              <w:rPr>
                <w:rFonts w:ascii="Times New Roman" w:hAnsi="Times New Roman" w:eastAsia="宋体" w:cs="Times New Roman"/>
                <w:kern w:val="0"/>
                <w:sz w:val="24"/>
                <w:szCs w:val="24"/>
              </w:rPr>
              <w:t>设施进行检查，定期对</w:t>
            </w:r>
            <w:r>
              <w:rPr>
                <w:rFonts w:hint="eastAsia" w:ascii="Times New Roman" w:hAnsi="Times New Roman" w:eastAsia="宋体" w:cs="Times New Roman"/>
                <w:kern w:val="0"/>
                <w:sz w:val="24"/>
                <w:szCs w:val="24"/>
              </w:rPr>
              <w:t>布袋</w:t>
            </w:r>
            <w:r>
              <w:rPr>
                <w:rFonts w:ascii="Times New Roman" w:hAnsi="Times New Roman" w:eastAsia="宋体" w:cs="Times New Roman"/>
                <w:kern w:val="0"/>
                <w:sz w:val="24"/>
                <w:szCs w:val="24"/>
              </w:rPr>
              <w:t>进行清理，保证</w:t>
            </w:r>
            <w:r>
              <w:rPr>
                <w:rFonts w:hint="eastAsia" w:ascii="Times New Roman" w:hAnsi="Times New Roman" w:eastAsia="宋体" w:cs="Times New Roman"/>
                <w:sz w:val="24"/>
                <w:szCs w:val="24"/>
              </w:rPr>
              <w:t>二级生化处理设施</w:t>
            </w:r>
            <w:r>
              <w:rPr>
                <w:rFonts w:ascii="Times New Roman" w:hAnsi="Times New Roman" w:eastAsia="宋体" w:cs="Times New Roman"/>
                <w:kern w:val="0"/>
                <w:sz w:val="24"/>
                <w:szCs w:val="24"/>
              </w:rPr>
              <w:t>的有效容积，防治溢流对地表水造成影响。加强管理，及时清理维护保证有效容积等。</w:t>
            </w:r>
          </w:p>
          <w:p w14:paraId="666CEA24">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③机修车间、危废暂存间等采取重点防渗措施，防治危险化学品泄露后对地下水造成污染。</w:t>
            </w:r>
          </w:p>
          <w:p w14:paraId="7B5F62EE">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建设单位严格实施本报告中各项防范措施和应急措施，防范风险事故发生，风险水平属于可以接受的范畴。</w:t>
            </w:r>
          </w:p>
          <w:p w14:paraId="15634E55">
            <w:pPr>
              <w:pStyle w:val="61"/>
              <w:ind w:firstLine="480"/>
              <w:rPr>
                <w:rFonts w:ascii="Times New Roman" w:hAnsi="Times New Roman" w:eastAsia="宋体" w:cs="Times New Roman"/>
                <w:szCs w:val="24"/>
              </w:rPr>
            </w:pPr>
            <w:r>
              <w:rPr>
                <w:rFonts w:ascii="Times New Roman" w:hAnsi="Times New Roman" w:eastAsia="宋体" w:cs="Times New Roman"/>
              </w:rPr>
              <w:t>7、污染治理措施的有效性</w:t>
            </w:r>
          </w:p>
          <w:p w14:paraId="1DC0CEC0">
            <w:pPr>
              <w:pStyle w:val="61"/>
              <w:ind w:firstLine="480"/>
              <w:rPr>
                <w:rFonts w:ascii="Times New Roman" w:hAnsi="Times New Roman" w:eastAsia="宋体" w:cs="Times New Roman"/>
                <w:szCs w:val="24"/>
              </w:rPr>
            </w:pPr>
            <w:r>
              <w:rPr>
                <w:rFonts w:ascii="Times New Roman" w:hAnsi="Times New Roman" w:eastAsia="宋体" w:cs="Times New Roman"/>
              </w:rPr>
              <w:t>评价认为，本项目采取的废水、废气、固废和噪声治理方法均技术、经济可行，措施有效。</w:t>
            </w:r>
          </w:p>
          <w:p w14:paraId="08C85440">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8、可行性结论</w:t>
            </w:r>
          </w:p>
          <w:p w14:paraId="0854CD15">
            <w:pPr>
              <w:pStyle w:val="61"/>
              <w:ind w:firstLine="480"/>
              <w:rPr>
                <w:rFonts w:ascii="Times New Roman" w:hAnsi="Times New Roman" w:eastAsia="宋体" w:cs="Times New Roman"/>
              </w:rPr>
            </w:pPr>
            <w:r>
              <w:rPr>
                <w:rFonts w:ascii="Times New Roman" w:hAnsi="Times New Roman" w:eastAsia="宋体" w:cs="Times New Roman"/>
              </w:rPr>
              <w:t>本项目建设符合“三线一单”规划要求，符合国家产业政策，项目污染物能够达标排放，区域环境质量能维持现状，只要厂方重视环保工作，认真落实评价提出的各项污染防治对策，加强对污染物的治理工作，做到环保工作专人分管，责任到人，加强对各类污染源的管理，落实环保治理所需要的资金，则该项目的实施，可以做到在较高的生产效益的同时，又能达到环境保护的目标。</w:t>
            </w:r>
            <w:r>
              <w:rPr>
                <w:rFonts w:ascii="Times New Roman" w:hAnsi="Times New Roman" w:eastAsia="宋体" w:cs="Times New Roman"/>
                <w:b/>
              </w:rPr>
              <w:t>项目建设从环境保护方面看是可行的</w:t>
            </w:r>
            <w:r>
              <w:rPr>
                <w:rFonts w:ascii="Times New Roman" w:hAnsi="Times New Roman" w:eastAsia="宋体" w:cs="Times New Roman"/>
              </w:rPr>
              <w:t>。</w:t>
            </w:r>
          </w:p>
          <w:p w14:paraId="384C4A17">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二、建议</w:t>
            </w:r>
          </w:p>
          <w:p w14:paraId="61C31551">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1、严格按“三同时”的要求建设项目，切实做到污染物治理工程与主体工程同时设计、同时施工、同时运行，并保证环保设施的完好率和运转率，工程竣工后，必须向环境保护主管部门申请竣工验收，经验收合格后，由环境保护主管部门批准同意，方可正式投产运行。</w:t>
            </w:r>
          </w:p>
          <w:p w14:paraId="1415B0C6">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2、制定并完善项目营运期的应急预案及应急系统组织。</w:t>
            </w:r>
          </w:p>
          <w:p w14:paraId="1F2B686F">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3、加强全厂通</w:t>
            </w:r>
            <w:r>
              <w:rPr>
                <w:rFonts w:hint="eastAsia" w:ascii="Times New Roman" w:hAnsi="Times New Roman" w:eastAsia="宋体" w:cs="Times New Roman"/>
                <w:sz w:val="24"/>
              </w:rPr>
              <w:t>风、除</w:t>
            </w:r>
            <w:r>
              <w:rPr>
                <w:rFonts w:ascii="Times New Roman" w:hAnsi="Times New Roman" w:eastAsia="宋体" w:cs="Times New Roman"/>
                <w:sz w:val="24"/>
              </w:rPr>
              <w:t>尘、排风设施，以营造良好的工作环境，切实做好职工卫生防护，保护作业工人的身体健康。</w:t>
            </w:r>
          </w:p>
          <w:p w14:paraId="5F522F42">
            <w:pPr>
              <w:spacing w:line="480" w:lineRule="exact"/>
              <w:ind w:firstLine="482"/>
              <w:rPr>
                <w:rFonts w:ascii="Times New Roman" w:hAnsi="Times New Roman" w:eastAsia="宋体" w:cs="Times New Roman"/>
                <w:sz w:val="24"/>
              </w:rPr>
            </w:pPr>
          </w:p>
          <w:p w14:paraId="6EEBD502">
            <w:pPr>
              <w:spacing w:line="480" w:lineRule="exact"/>
              <w:ind w:firstLine="482"/>
              <w:rPr>
                <w:rFonts w:ascii="Times New Roman" w:hAnsi="Times New Roman" w:eastAsia="宋体" w:cs="Times New Roman"/>
                <w:sz w:val="24"/>
              </w:rPr>
            </w:pPr>
          </w:p>
          <w:p w14:paraId="6857AC5A">
            <w:pPr>
              <w:spacing w:line="480" w:lineRule="exact"/>
              <w:ind w:firstLine="482"/>
              <w:rPr>
                <w:rFonts w:ascii="Times New Roman" w:hAnsi="Times New Roman" w:eastAsia="宋体" w:cs="Times New Roman"/>
                <w:sz w:val="24"/>
              </w:rPr>
            </w:pPr>
          </w:p>
          <w:p w14:paraId="067BF801">
            <w:pPr>
              <w:spacing w:line="480" w:lineRule="exact"/>
              <w:ind w:firstLine="482"/>
              <w:rPr>
                <w:rFonts w:ascii="Times New Roman" w:hAnsi="Times New Roman" w:eastAsia="宋体" w:cs="Times New Roman"/>
                <w:sz w:val="24"/>
              </w:rPr>
            </w:pPr>
          </w:p>
          <w:p w14:paraId="5CE5E2C7">
            <w:pPr>
              <w:spacing w:line="480" w:lineRule="exact"/>
              <w:ind w:firstLine="482"/>
              <w:rPr>
                <w:rFonts w:ascii="Times New Roman" w:hAnsi="Times New Roman" w:eastAsia="宋体" w:cs="Times New Roman"/>
                <w:sz w:val="24"/>
              </w:rPr>
            </w:pPr>
          </w:p>
          <w:p w14:paraId="7A39D0C5">
            <w:pPr>
              <w:spacing w:line="480" w:lineRule="exact"/>
              <w:ind w:firstLine="482"/>
              <w:rPr>
                <w:rFonts w:ascii="Times New Roman" w:hAnsi="Times New Roman" w:eastAsia="宋体" w:cs="Times New Roman"/>
                <w:sz w:val="24"/>
              </w:rPr>
            </w:pPr>
          </w:p>
          <w:p w14:paraId="170B05A9">
            <w:pPr>
              <w:spacing w:line="480" w:lineRule="exact"/>
              <w:ind w:firstLine="482"/>
              <w:rPr>
                <w:rFonts w:ascii="Times New Roman" w:hAnsi="Times New Roman" w:eastAsia="宋体" w:cs="Times New Roman"/>
                <w:sz w:val="24"/>
              </w:rPr>
            </w:pPr>
          </w:p>
          <w:p w14:paraId="1CE4F40C">
            <w:pPr>
              <w:spacing w:line="480" w:lineRule="exact"/>
              <w:ind w:firstLine="482"/>
              <w:rPr>
                <w:rFonts w:ascii="Times New Roman" w:hAnsi="Times New Roman" w:eastAsia="宋体" w:cs="Times New Roman"/>
                <w:sz w:val="24"/>
              </w:rPr>
            </w:pPr>
          </w:p>
          <w:p w14:paraId="1673270F">
            <w:pPr>
              <w:spacing w:line="480" w:lineRule="exact"/>
              <w:ind w:firstLine="482"/>
              <w:rPr>
                <w:rFonts w:ascii="Times New Roman" w:hAnsi="Times New Roman" w:eastAsia="宋体" w:cs="Times New Roman"/>
                <w:sz w:val="24"/>
              </w:rPr>
            </w:pPr>
          </w:p>
          <w:p w14:paraId="5A83D746">
            <w:pPr>
              <w:spacing w:line="480" w:lineRule="exact"/>
              <w:ind w:firstLine="482"/>
              <w:rPr>
                <w:rFonts w:ascii="Times New Roman" w:hAnsi="Times New Roman" w:eastAsia="宋体" w:cs="Times New Roman"/>
                <w:sz w:val="24"/>
              </w:rPr>
            </w:pPr>
          </w:p>
          <w:p w14:paraId="0EE6871A">
            <w:pPr>
              <w:spacing w:line="480" w:lineRule="exact"/>
              <w:ind w:firstLine="482"/>
              <w:rPr>
                <w:rFonts w:ascii="Times New Roman" w:hAnsi="Times New Roman" w:eastAsia="宋体" w:cs="Times New Roman"/>
                <w:sz w:val="24"/>
              </w:rPr>
            </w:pPr>
          </w:p>
          <w:p w14:paraId="3CD9AEC9">
            <w:pPr>
              <w:spacing w:line="480" w:lineRule="exact"/>
              <w:ind w:firstLine="482"/>
              <w:rPr>
                <w:rFonts w:ascii="Times New Roman" w:hAnsi="Times New Roman" w:eastAsia="宋体" w:cs="Times New Roman"/>
                <w:sz w:val="24"/>
              </w:rPr>
            </w:pPr>
          </w:p>
          <w:p w14:paraId="061333A8">
            <w:pPr>
              <w:spacing w:line="480" w:lineRule="exact"/>
              <w:ind w:firstLine="482"/>
              <w:rPr>
                <w:rFonts w:ascii="Times New Roman" w:hAnsi="Times New Roman" w:eastAsia="宋体" w:cs="Times New Roman"/>
                <w:sz w:val="24"/>
              </w:rPr>
            </w:pPr>
          </w:p>
          <w:p w14:paraId="29B17752">
            <w:pPr>
              <w:spacing w:line="480" w:lineRule="exact"/>
              <w:ind w:firstLine="482"/>
              <w:rPr>
                <w:rFonts w:ascii="Times New Roman" w:hAnsi="Times New Roman" w:eastAsia="宋体" w:cs="Times New Roman"/>
                <w:sz w:val="24"/>
              </w:rPr>
            </w:pPr>
          </w:p>
          <w:p w14:paraId="183B3C9D">
            <w:pPr>
              <w:spacing w:line="480" w:lineRule="exact"/>
              <w:ind w:firstLine="482"/>
              <w:rPr>
                <w:rFonts w:ascii="Times New Roman" w:hAnsi="Times New Roman" w:eastAsia="宋体" w:cs="Times New Roman"/>
                <w:sz w:val="24"/>
              </w:rPr>
            </w:pPr>
          </w:p>
          <w:p w14:paraId="339112E0">
            <w:pPr>
              <w:spacing w:line="480" w:lineRule="exact"/>
              <w:ind w:firstLine="482"/>
              <w:rPr>
                <w:rFonts w:ascii="Times New Roman" w:hAnsi="Times New Roman" w:eastAsia="宋体" w:cs="Times New Roman"/>
                <w:sz w:val="24"/>
              </w:rPr>
            </w:pPr>
          </w:p>
          <w:p w14:paraId="5F8DEBEC">
            <w:pPr>
              <w:spacing w:line="480" w:lineRule="exact"/>
              <w:ind w:firstLine="482"/>
              <w:rPr>
                <w:rFonts w:ascii="Times New Roman" w:hAnsi="Times New Roman" w:eastAsia="宋体" w:cs="Times New Roman"/>
                <w:sz w:val="24"/>
              </w:rPr>
            </w:pPr>
          </w:p>
          <w:p w14:paraId="62A0A0B0">
            <w:pPr>
              <w:spacing w:line="480" w:lineRule="exact"/>
              <w:ind w:firstLine="482"/>
              <w:rPr>
                <w:rFonts w:ascii="Times New Roman" w:hAnsi="Times New Roman" w:eastAsia="宋体" w:cs="Times New Roman"/>
                <w:sz w:val="24"/>
              </w:rPr>
            </w:pPr>
          </w:p>
          <w:p w14:paraId="4741659D">
            <w:pPr>
              <w:spacing w:line="480" w:lineRule="exact"/>
              <w:ind w:firstLine="482"/>
              <w:rPr>
                <w:rFonts w:ascii="Times New Roman" w:hAnsi="Times New Roman" w:eastAsia="宋体" w:cs="Times New Roman"/>
                <w:sz w:val="24"/>
              </w:rPr>
            </w:pPr>
          </w:p>
        </w:tc>
      </w:tr>
      <w:tr w14:paraId="276A9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457" w:hRule="atLeast"/>
          <w:jc w:val="center"/>
        </w:trPr>
        <w:tc>
          <w:tcPr>
            <w:tcW w:w="8528" w:type="dxa"/>
            <w:gridSpan w:val="2"/>
            <w:vAlign w:val="center"/>
          </w:tcPr>
          <w:p w14:paraId="755A4FD7">
            <w:pPr>
              <w:spacing w:line="360" w:lineRule="auto"/>
              <w:jc w:val="center"/>
              <w:rPr>
                <w:rFonts w:ascii="Times New Roman" w:hAnsi="Times New Roman" w:eastAsia="宋体" w:cs="Times New Roman"/>
                <w:b/>
                <w:sz w:val="30"/>
              </w:rPr>
            </w:pPr>
            <w:r>
              <w:rPr>
                <w:rFonts w:ascii="Times New Roman" w:hAnsi="Times New Roman" w:eastAsia="宋体" w:cs="Times New Roman"/>
                <w:b/>
                <w:sz w:val="30"/>
                <w:szCs w:val="30"/>
              </w:rPr>
              <w:t>注释</w:t>
            </w:r>
          </w:p>
          <w:p w14:paraId="24B5F487">
            <w:pPr>
              <w:spacing w:line="360" w:lineRule="auto"/>
              <w:ind w:right="212" w:rightChars="101" w:firstLine="241" w:firstLineChars="100"/>
              <w:jc w:val="left"/>
              <w:rPr>
                <w:rFonts w:ascii="Times New Roman" w:hAnsi="Times New Roman" w:eastAsia="宋体" w:cs="Times New Roman"/>
                <w:b/>
                <w:sz w:val="24"/>
              </w:rPr>
            </w:pPr>
            <w:r>
              <w:rPr>
                <w:rFonts w:ascii="Times New Roman" w:hAnsi="Times New Roman" w:eastAsia="宋体" w:cs="Times New Roman"/>
                <w:b/>
                <w:sz w:val="24"/>
              </w:rPr>
              <w:t>一、本报告表应附以下附件、附图：</w:t>
            </w:r>
          </w:p>
          <w:p w14:paraId="7372979C">
            <w:pPr>
              <w:spacing w:line="360" w:lineRule="auto"/>
              <w:ind w:firstLine="211" w:firstLineChars="100"/>
              <w:rPr>
                <w:rFonts w:ascii="Times New Roman" w:hAnsi="Times New Roman" w:eastAsia="宋体" w:cs="Times New Roman"/>
                <w:b/>
                <w:szCs w:val="21"/>
              </w:rPr>
            </w:pPr>
            <w:r>
              <w:rPr>
                <w:rFonts w:ascii="Times New Roman" w:hAnsi="Times New Roman" w:eastAsia="宋体" w:cs="Times New Roman"/>
                <w:b/>
                <w:szCs w:val="21"/>
              </w:rPr>
              <w:t>附件：</w:t>
            </w:r>
          </w:p>
          <w:p w14:paraId="0E2F4133">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附件1：委托书</w:t>
            </w:r>
          </w:p>
          <w:p w14:paraId="45E4E904">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附件2：备案通知书</w:t>
            </w:r>
          </w:p>
          <w:p w14:paraId="79CC0DB9">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附件3：</w:t>
            </w:r>
            <w:r>
              <w:rPr>
                <w:rFonts w:hint="eastAsia" w:ascii="Times New Roman" w:hAnsi="Times New Roman" w:eastAsia="宋体" w:cs="Times New Roman"/>
                <w:szCs w:val="21"/>
              </w:rPr>
              <w:t>规划证明</w:t>
            </w:r>
          </w:p>
          <w:p w14:paraId="24377928">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附件4：土地</w:t>
            </w:r>
            <w:r>
              <w:rPr>
                <w:rFonts w:hint="eastAsia" w:ascii="Times New Roman" w:hAnsi="Times New Roman" w:eastAsia="宋体" w:cs="Times New Roman"/>
                <w:szCs w:val="21"/>
              </w:rPr>
              <w:t>使用证</w:t>
            </w:r>
          </w:p>
          <w:p w14:paraId="7F2FAC40">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附件5：</w:t>
            </w:r>
            <w:r>
              <w:rPr>
                <w:rFonts w:hint="eastAsia" w:ascii="Times New Roman" w:hAnsi="Times New Roman" w:eastAsia="宋体" w:cs="Times New Roman"/>
                <w:szCs w:val="21"/>
              </w:rPr>
              <w:t>规划环评批复</w:t>
            </w:r>
          </w:p>
          <w:p w14:paraId="62F00058">
            <w:pPr>
              <w:spacing w:line="360" w:lineRule="auto"/>
              <w:ind w:left="1260" w:leftChars="200" w:hanging="840" w:hangingChars="400"/>
              <w:rPr>
                <w:rFonts w:ascii="Times New Roman" w:hAnsi="Times New Roman" w:eastAsia="宋体" w:cs="Times New Roman"/>
                <w:szCs w:val="21"/>
              </w:rPr>
            </w:pPr>
            <w:r>
              <w:rPr>
                <w:rFonts w:hint="eastAsia" w:ascii="Times New Roman" w:hAnsi="Times New Roman" w:eastAsia="宋体" w:cs="Times New Roman"/>
                <w:szCs w:val="21"/>
              </w:rPr>
              <w:t>附件6：</w:t>
            </w:r>
            <w:r>
              <w:rPr>
                <w:rFonts w:ascii="Times New Roman" w:hAnsi="Times New Roman" w:eastAsia="宋体" w:cs="Times New Roman"/>
                <w:szCs w:val="21"/>
              </w:rPr>
              <w:t>监测报告</w:t>
            </w:r>
          </w:p>
          <w:p w14:paraId="2C4A1BCB">
            <w:pPr>
              <w:spacing w:line="360" w:lineRule="auto"/>
              <w:ind w:left="1260" w:leftChars="200" w:hanging="840" w:hangingChars="400"/>
              <w:rPr>
                <w:rFonts w:ascii="Times New Roman" w:hAnsi="Times New Roman" w:eastAsia="宋体" w:cs="Times New Roman"/>
                <w:szCs w:val="21"/>
              </w:rPr>
            </w:pPr>
          </w:p>
          <w:p w14:paraId="3218FCD6">
            <w:pPr>
              <w:spacing w:line="360" w:lineRule="auto"/>
              <w:ind w:firstLine="211" w:firstLineChars="100"/>
              <w:rPr>
                <w:rFonts w:ascii="Times New Roman" w:hAnsi="Times New Roman" w:eastAsia="宋体" w:cs="Times New Roman"/>
                <w:b/>
                <w:szCs w:val="21"/>
              </w:rPr>
            </w:pPr>
            <w:r>
              <w:rPr>
                <w:rFonts w:ascii="Times New Roman" w:hAnsi="Times New Roman" w:eastAsia="宋体" w:cs="Times New Roman"/>
                <w:b/>
                <w:szCs w:val="21"/>
              </w:rPr>
              <w:t>附图：</w:t>
            </w:r>
          </w:p>
          <w:p w14:paraId="03A8592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附图1：项目地理位置图</w:t>
            </w:r>
          </w:p>
          <w:p w14:paraId="6C71554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附图2：项目平面布置示意图</w:t>
            </w:r>
          </w:p>
          <w:p w14:paraId="52E2824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附图3：项目外环境关系及检测布点图</w:t>
            </w:r>
          </w:p>
          <w:p w14:paraId="56ABC743">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附图4：项目现场勘查图</w:t>
            </w:r>
          </w:p>
          <w:p w14:paraId="17083267">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附图5：大气评价范围及环境敏感目标位置图</w:t>
            </w:r>
          </w:p>
          <w:p w14:paraId="308263D3">
            <w:pPr>
              <w:spacing w:line="360"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附图6：工业用地规划图</w:t>
            </w:r>
          </w:p>
          <w:p w14:paraId="153C574B">
            <w:pPr>
              <w:spacing w:line="360" w:lineRule="auto"/>
              <w:ind w:firstLine="420" w:firstLineChars="200"/>
              <w:rPr>
                <w:rFonts w:ascii="Times New Roman" w:hAnsi="Times New Roman" w:eastAsia="宋体" w:cs="Times New Roman"/>
                <w:szCs w:val="21"/>
                <w:highlight w:val="yellow"/>
              </w:rPr>
            </w:pPr>
          </w:p>
          <w:p w14:paraId="46ED9038">
            <w:pPr>
              <w:spacing w:line="360" w:lineRule="auto"/>
              <w:ind w:firstLine="480" w:firstLineChars="200"/>
              <w:rPr>
                <w:rFonts w:ascii="Times New Roman" w:hAnsi="Times New Roman" w:eastAsia="宋体" w:cs="Times New Roman"/>
                <w:szCs w:val="21"/>
              </w:rPr>
            </w:pPr>
            <w:r>
              <w:rPr>
                <w:rFonts w:ascii="Times New Roman" w:hAnsi="Times New Roman" w:eastAsia="宋体" w:cs="Times New Roman"/>
                <w:sz w:val="24"/>
              </w:rPr>
              <w:t>二、如果本报告表不能说明项目产生的污染对环境造成的影响，应进行专项评价。根据建设项目的特点和当地环境特征，应选下列1-2项进行专项评价。</w:t>
            </w:r>
          </w:p>
          <w:p w14:paraId="22C2821F">
            <w:pPr>
              <w:spacing w:line="360" w:lineRule="auto"/>
              <w:ind w:firstLine="840" w:firstLineChars="400"/>
              <w:rPr>
                <w:rFonts w:ascii="Times New Roman" w:hAnsi="Times New Roman" w:eastAsia="宋体" w:cs="Times New Roman"/>
                <w:szCs w:val="21"/>
              </w:rPr>
            </w:pPr>
            <w:r>
              <w:rPr>
                <w:rFonts w:ascii="Times New Roman" w:hAnsi="Times New Roman" w:eastAsia="宋体" w:cs="Times New Roman"/>
                <w:szCs w:val="21"/>
              </w:rPr>
              <w:t>1、大气环境影响专项评价</w:t>
            </w:r>
          </w:p>
          <w:p w14:paraId="1B06A792">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2、水环境影响专项评价（包括地表水和地下水）</w:t>
            </w:r>
          </w:p>
          <w:p w14:paraId="69574A6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3、生态环境影响专项评价</w:t>
            </w:r>
          </w:p>
          <w:p w14:paraId="54CD49DF">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4、声环境影响专项评价</w:t>
            </w:r>
          </w:p>
          <w:p w14:paraId="6297D9A9">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5、土壤环境影响专项评价</w:t>
            </w:r>
          </w:p>
          <w:p w14:paraId="76860694">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6、固体废弃物影响专项评价</w:t>
            </w:r>
          </w:p>
          <w:p w14:paraId="0EB741F9">
            <w:pPr>
              <w:spacing w:line="360" w:lineRule="auto"/>
              <w:ind w:right="212" w:rightChars="101" w:firstLine="480" w:firstLineChars="200"/>
              <w:jc w:val="left"/>
              <w:rPr>
                <w:rFonts w:ascii="Times New Roman" w:hAnsi="Times New Roman" w:eastAsia="宋体" w:cs="Times New Roman"/>
                <w:sz w:val="24"/>
              </w:rPr>
            </w:pPr>
            <w:r>
              <w:rPr>
                <w:rFonts w:ascii="Times New Roman" w:hAnsi="Times New Roman" w:eastAsia="宋体" w:cs="Times New Roman"/>
                <w:sz w:val="24"/>
              </w:rPr>
              <w:t>以上专项评价未包括的可另列专项，专项评价按照《环境影响评价技术导则》中的要求进行。</w:t>
            </w:r>
          </w:p>
        </w:tc>
      </w:tr>
    </w:tbl>
    <w:p w14:paraId="3F485288">
      <w:pPr>
        <w:spacing w:line="360" w:lineRule="auto"/>
        <w:rPr>
          <w:rFonts w:ascii="Times New Roman" w:hAnsi="Times New Roman" w:eastAsia="宋体" w:cs="Times New Roman"/>
          <w:sz w:val="18"/>
          <w:szCs w:val="18"/>
        </w:rPr>
      </w:pPr>
    </w:p>
    <w:sectPr>
      <w:pgSz w:w="11906" w:h="16838"/>
      <w:pgMar w:top="1440" w:right="1797" w:bottom="1440" w:left="1797" w:header="851" w:footer="958"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Arial Unicode MS">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default"/>
    <w:sig w:usb0="E0002AFF" w:usb1="C0007843" w:usb2="00000009" w:usb3="00000000" w:csb0="400001FF" w:csb1="FFFF0000"/>
  </w:font>
  <w:font w:name="等线">
    <w:altName w:val="微软雅黑"/>
    <w:panose1 w:val="02010600030101010101"/>
    <w:charset w:val="86"/>
    <w:family w:val="auto"/>
    <w:pitch w:val="default"/>
    <w:sig w:usb0="00000000" w:usb1="00000000" w:usb2="00000016" w:usb3="00000000" w:csb0="0004000F" w:csb1="00000000"/>
  </w:font>
  <w:font w:name="DengXian">
    <w:altName w:val="Segoe Print"/>
    <w:panose1 w:val="00000000000000000000"/>
    <w:charset w:val="00"/>
    <w:family w:val="auto"/>
    <w:pitch w:val="default"/>
    <w:sig w:usb0="00000000" w:usb1="00000000" w:usb2="00000000" w:usb3="00000000" w:csb0="00000000" w:csb1="00000000"/>
  </w:font>
  <w:font w:name="Yu Mincho Light">
    <w:altName w:val="MS Mincho"/>
    <w:panose1 w:val="00000000000000000000"/>
    <w:charset w:val="80"/>
    <w:family w:val="roman"/>
    <w:pitch w:val="default"/>
    <w:sig w:usb0="00000000" w:usb1="00000000" w:usb2="00000012" w:usb3="00000000" w:csb0="0002009F" w:csb1="00000000"/>
  </w:font>
  <w:font w:name="永中宋体">
    <w:altName w:val="宋体"/>
    <w:panose1 w:val="00000000000000000000"/>
    <w:charset w:val="86"/>
    <w:family w:val="auto"/>
    <w:pitch w:val="default"/>
    <w:sig w:usb0="00000000" w:usb1="00000000" w:usb2="00000010"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10006FF" w:usb1="4000205B" w:usb2="00000010" w:usb3="00000000" w:csb0="2000019F" w:csb1="00000000"/>
  </w:font>
  <w:font w:name="Courier New">
    <w:panose1 w:val="02070309020205020404"/>
    <w:charset w:val="00"/>
    <w:family w:val="modern"/>
    <w:pitch w:val="default"/>
    <w:sig w:usb0="E0002AFF" w:usb1="C0007843" w:usb2="00000009" w:usb3="00000000" w:csb0="400001FF" w:csb1="FFFF0000"/>
  </w:font>
  <w:font w:name="Cambria Math">
    <w:panose1 w:val="02040503050406030204"/>
    <w:charset w:val="00"/>
    <w:family w:val="roman"/>
    <w:pitch w:val="default"/>
    <w:sig w:usb0="E00002FF" w:usb1="420024FF" w:usb2="00000000" w:usb3="00000000" w:csb0="2000019F" w:csb1="00000000"/>
  </w:font>
  <w:font w:name="Segoe UI Emoji">
    <w:altName w:val="Segoe UI"/>
    <w:panose1 w:val="020B0502040204020203"/>
    <w:charset w:val="00"/>
    <w:family w:val="swiss"/>
    <w:pitch w:val="default"/>
    <w:sig w:usb0="00000000" w:usb1="00000000" w:usb2="00000000" w:usb3="00000000" w:csb0="00000001" w:csb1="00000000"/>
  </w:font>
  <w:font w:name="微软雅黑">
    <w:panose1 w:val="020B0503020204020204"/>
    <w:charset w:val="86"/>
    <w:family w:val="auto"/>
    <w:pitch w:val="default"/>
    <w:sig w:usb0="80000287" w:usb1="280F3C52" w:usb2="00000016" w:usb3="00000000" w:csb0="0004001F" w:csb1="00000000"/>
  </w:font>
  <w:font w:name="Segoe UI">
    <w:panose1 w:val="020B0502040204020203"/>
    <w:charset w:val="00"/>
    <w:family w:val="auto"/>
    <w:pitch w:val="default"/>
    <w:sig w:usb0="E10022FF" w:usb1="C000E47F" w:usb2="00000029" w:usb3="00000000" w:csb0="200001DF" w:csb1="20000000"/>
  </w:font>
  <w:font w:name="MS Mincho">
    <w:panose1 w:val="02020609040205080304"/>
    <w:charset w:val="80"/>
    <w:family w:val="auto"/>
    <w:pitch w:val="default"/>
    <w:sig w:usb0="E00002FF" w:usb1="6AC7FDFB" w:usb2="00000012" w:usb3="00000000" w:csb0="4002009F" w:csb1="DFD7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DA6E83">
    <w:pPr>
      <w:pStyle w:val="18"/>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B19A2">
    <w:pPr>
      <w:pStyle w:val="18"/>
      <w:framePr w:wrap="around" w:vAnchor="text" w:hAnchor="margin" w:xAlign="center" w:y="1"/>
      <w:rPr>
        <w:rStyle w:val="32"/>
      </w:rPr>
    </w:pPr>
    <w:r>
      <w:fldChar w:fldCharType="begin"/>
    </w:r>
    <w:r>
      <w:rPr>
        <w:rStyle w:val="32"/>
      </w:rPr>
      <w:instrText xml:space="preserve">PAGE  </w:instrText>
    </w:r>
    <w:r>
      <w:fldChar w:fldCharType="end"/>
    </w:r>
  </w:p>
  <w:p w14:paraId="28835FBA">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55136">
    <w:pPr>
      <w:pStyle w:val="18"/>
      <w:jc w:val="center"/>
    </w:pPr>
    <w:r>
      <w:fldChar w:fldCharType="begin"/>
    </w:r>
    <w:r>
      <w:instrText xml:space="preserve"> PAGE   \* MERGEFORMAT </w:instrText>
    </w:r>
    <w:r>
      <w:fldChar w:fldCharType="separate"/>
    </w:r>
    <w:r>
      <w:t>66</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F0663">
    <w:pPr>
      <w:pStyle w:val="19"/>
      <w:pBdr>
        <w:bottom w:val="none" w:color="auto" w:sz="0" w:space="0"/>
      </w:pBdr>
      <w:spacing w:line="10" w:lineRule="atLeast"/>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chineseCountingThousand"/>
      <w:pStyle w:val="109"/>
      <w:suff w:val="nothing"/>
      <w:lvlText w:val="第%1章"/>
      <w:lvlJc w:val="left"/>
      <w:rPr>
        <w:rFonts w:hint="eastAsia" w:cs="Arial Unicode MS"/>
      </w:rPr>
    </w:lvl>
    <w:lvl w:ilvl="1" w:tentative="0">
      <w:start w:val="1"/>
      <w:numFmt w:val="none"/>
      <w:suff w:val="nothing"/>
      <w:lvlText w:val=""/>
      <w:lvlJc w:val="left"/>
      <w:rPr>
        <w:rFonts w:hint="eastAsia" w:cs="Arial Unicode MS"/>
      </w:rPr>
    </w:lvl>
    <w:lvl w:ilvl="2" w:tentative="0">
      <w:start w:val="1"/>
      <w:numFmt w:val="none"/>
      <w:suff w:val="nothing"/>
      <w:lvlText w:val=""/>
      <w:lvlJc w:val="left"/>
      <w:rPr>
        <w:rFonts w:hint="eastAsia" w:cs="Arial Unicode MS"/>
      </w:rPr>
    </w:lvl>
    <w:lvl w:ilvl="3" w:tentative="0">
      <w:start w:val="1"/>
      <w:numFmt w:val="none"/>
      <w:suff w:val="nothing"/>
      <w:lvlText w:val=""/>
      <w:lvlJc w:val="left"/>
      <w:rPr>
        <w:rFonts w:hint="eastAsia" w:cs="Arial Unicode MS"/>
      </w:rPr>
    </w:lvl>
    <w:lvl w:ilvl="4" w:tentative="0">
      <w:start w:val="1"/>
      <w:numFmt w:val="none"/>
      <w:suff w:val="nothing"/>
      <w:lvlText w:val=""/>
      <w:lvlJc w:val="left"/>
      <w:rPr>
        <w:rFonts w:hint="eastAsia" w:cs="Arial Unicode MS"/>
      </w:rPr>
    </w:lvl>
    <w:lvl w:ilvl="5" w:tentative="0">
      <w:start w:val="1"/>
      <w:numFmt w:val="none"/>
      <w:suff w:val="nothing"/>
      <w:lvlText w:val=""/>
      <w:lvlJc w:val="left"/>
      <w:rPr>
        <w:rFonts w:hint="eastAsia" w:cs="Arial Unicode MS"/>
      </w:rPr>
    </w:lvl>
    <w:lvl w:ilvl="6" w:tentative="0">
      <w:start w:val="1"/>
      <w:numFmt w:val="none"/>
      <w:suff w:val="nothing"/>
      <w:lvlText w:val=""/>
      <w:lvlJc w:val="left"/>
      <w:rPr>
        <w:rFonts w:hint="eastAsia" w:cs="Arial Unicode MS"/>
      </w:rPr>
    </w:lvl>
    <w:lvl w:ilvl="7" w:tentative="0">
      <w:start w:val="1"/>
      <w:numFmt w:val="none"/>
      <w:suff w:val="nothing"/>
      <w:lvlText w:val=""/>
      <w:lvlJc w:val="left"/>
      <w:rPr>
        <w:rFonts w:hint="eastAsia" w:cs="Arial Unicode MS"/>
      </w:rPr>
    </w:lvl>
    <w:lvl w:ilvl="8" w:tentative="0">
      <w:start w:val="1"/>
      <w:numFmt w:val="none"/>
      <w:suff w:val="nothing"/>
      <w:lvlText w:val=""/>
      <w:lvlJc w:val="left"/>
      <w:rPr>
        <w:rFonts w:hint="eastAsia" w:cs="Arial Unicode M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attachedTemplate r:id="rId1"/>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F39"/>
    <w:rsid w:val="00000456"/>
    <w:rsid w:val="00000D40"/>
    <w:rsid w:val="000010A8"/>
    <w:rsid w:val="00001193"/>
    <w:rsid w:val="000012FD"/>
    <w:rsid w:val="0000189A"/>
    <w:rsid w:val="00001E9D"/>
    <w:rsid w:val="000022EF"/>
    <w:rsid w:val="000025BD"/>
    <w:rsid w:val="0000296D"/>
    <w:rsid w:val="000029A8"/>
    <w:rsid w:val="00003436"/>
    <w:rsid w:val="00003A3C"/>
    <w:rsid w:val="00003FEF"/>
    <w:rsid w:val="000054F4"/>
    <w:rsid w:val="0000551C"/>
    <w:rsid w:val="000057EA"/>
    <w:rsid w:val="00005934"/>
    <w:rsid w:val="00006269"/>
    <w:rsid w:val="000063E0"/>
    <w:rsid w:val="000065A1"/>
    <w:rsid w:val="00006E9C"/>
    <w:rsid w:val="00007032"/>
    <w:rsid w:val="000070F9"/>
    <w:rsid w:val="00007190"/>
    <w:rsid w:val="000073D1"/>
    <w:rsid w:val="000073FA"/>
    <w:rsid w:val="00007494"/>
    <w:rsid w:val="000079B0"/>
    <w:rsid w:val="00007CDA"/>
    <w:rsid w:val="00007F0C"/>
    <w:rsid w:val="00010585"/>
    <w:rsid w:val="00010C66"/>
    <w:rsid w:val="00010FC8"/>
    <w:rsid w:val="00011901"/>
    <w:rsid w:val="00011B36"/>
    <w:rsid w:val="0001204D"/>
    <w:rsid w:val="000120C1"/>
    <w:rsid w:val="00012138"/>
    <w:rsid w:val="00012178"/>
    <w:rsid w:val="000125B0"/>
    <w:rsid w:val="000125ED"/>
    <w:rsid w:val="000126EC"/>
    <w:rsid w:val="0001335D"/>
    <w:rsid w:val="0001336C"/>
    <w:rsid w:val="000138C3"/>
    <w:rsid w:val="00013927"/>
    <w:rsid w:val="00013A7B"/>
    <w:rsid w:val="00014321"/>
    <w:rsid w:val="00014A56"/>
    <w:rsid w:val="00014A9B"/>
    <w:rsid w:val="00014BFC"/>
    <w:rsid w:val="00014FC2"/>
    <w:rsid w:val="00015225"/>
    <w:rsid w:val="00016586"/>
    <w:rsid w:val="00016D12"/>
    <w:rsid w:val="00016DF0"/>
    <w:rsid w:val="00016EB1"/>
    <w:rsid w:val="00017EE2"/>
    <w:rsid w:val="00020D17"/>
    <w:rsid w:val="000215AF"/>
    <w:rsid w:val="00021703"/>
    <w:rsid w:val="00021E28"/>
    <w:rsid w:val="00021F9C"/>
    <w:rsid w:val="00021FE5"/>
    <w:rsid w:val="0002275F"/>
    <w:rsid w:val="000227C3"/>
    <w:rsid w:val="0002292E"/>
    <w:rsid w:val="00023921"/>
    <w:rsid w:val="0002397E"/>
    <w:rsid w:val="000239E2"/>
    <w:rsid w:val="00023BAA"/>
    <w:rsid w:val="00023CF3"/>
    <w:rsid w:val="000240D2"/>
    <w:rsid w:val="000245DF"/>
    <w:rsid w:val="00024C1E"/>
    <w:rsid w:val="00025464"/>
    <w:rsid w:val="000258BF"/>
    <w:rsid w:val="00025D22"/>
    <w:rsid w:val="000260DA"/>
    <w:rsid w:val="000262FE"/>
    <w:rsid w:val="00026BEE"/>
    <w:rsid w:val="00026E15"/>
    <w:rsid w:val="00026E59"/>
    <w:rsid w:val="00027DCF"/>
    <w:rsid w:val="00030169"/>
    <w:rsid w:val="000306C9"/>
    <w:rsid w:val="00030A9E"/>
    <w:rsid w:val="00030B2B"/>
    <w:rsid w:val="00030F12"/>
    <w:rsid w:val="000310B7"/>
    <w:rsid w:val="000313D4"/>
    <w:rsid w:val="00031B76"/>
    <w:rsid w:val="00031DBA"/>
    <w:rsid w:val="000320CC"/>
    <w:rsid w:val="000323D6"/>
    <w:rsid w:val="00032860"/>
    <w:rsid w:val="000333A9"/>
    <w:rsid w:val="00033626"/>
    <w:rsid w:val="000336D0"/>
    <w:rsid w:val="00033B67"/>
    <w:rsid w:val="00033BCA"/>
    <w:rsid w:val="00033E0D"/>
    <w:rsid w:val="00033F58"/>
    <w:rsid w:val="00034AA5"/>
    <w:rsid w:val="00035670"/>
    <w:rsid w:val="00036504"/>
    <w:rsid w:val="00036BCE"/>
    <w:rsid w:val="00036E89"/>
    <w:rsid w:val="00036FB2"/>
    <w:rsid w:val="0003718B"/>
    <w:rsid w:val="00037291"/>
    <w:rsid w:val="00040AE1"/>
    <w:rsid w:val="000412E7"/>
    <w:rsid w:val="00041336"/>
    <w:rsid w:val="00041827"/>
    <w:rsid w:val="000418B1"/>
    <w:rsid w:val="00041CA5"/>
    <w:rsid w:val="000420AF"/>
    <w:rsid w:val="000422E7"/>
    <w:rsid w:val="00042390"/>
    <w:rsid w:val="00042AF8"/>
    <w:rsid w:val="0004375E"/>
    <w:rsid w:val="000438AF"/>
    <w:rsid w:val="00043E3D"/>
    <w:rsid w:val="0004410B"/>
    <w:rsid w:val="00044DB1"/>
    <w:rsid w:val="00044EEA"/>
    <w:rsid w:val="00045292"/>
    <w:rsid w:val="00045817"/>
    <w:rsid w:val="000459B9"/>
    <w:rsid w:val="000460D1"/>
    <w:rsid w:val="000474C0"/>
    <w:rsid w:val="0004750B"/>
    <w:rsid w:val="00047AA6"/>
    <w:rsid w:val="000501DB"/>
    <w:rsid w:val="00050297"/>
    <w:rsid w:val="00050870"/>
    <w:rsid w:val="000508BE"/>
    <w:rsid w:val="000509A4"/>
    <w:rsid w:val="00051537"/>
    <w:rsid w:val="00051FC8"/>
    <w:rsid w:val="000522B4"/>
    <w:rsid w:val="00052B9B"/>
    <w:rsid w:val="00052F67"/>
    <w:rsid w:val="00054309"/>
    <w:rsid w:val="00054473"/>
    <w:rsid w:val="00054C3F"/>
    <w:rsid w:val="00055298"/>
    <w:rsid w:val="0005534F"/>
    <w:rsid w:val="00055858"/>
    <w:rsid w:val="000559DD"/>
    <w:rsid w:val="00055C1B"/>
    <w:rsid w:val="00055E59"/>
    <w:rsid w:val="00056314"/>
    <w:rsid w:val="00056B48"/>
    <w:rsid w:val="00060041"/>
    <w:rsid w:val="00060430"/>
    <w:rsid w:val="000606AE"/>
    <w:rsid w:val="00060E8A"/>
    <w:rsid w:val="00060F6A"/>
    <w:rsid w:val="00061013"/>
    <w:rsid w:val="0006110E"/>
    <w:rsid w:val="00061151"/>
    <w:rsid w:val="0006234F"/>
    <w:rsid w:val="0006266E"/>
    <w:rsid w:val="000635DD"/>
    <w:rsid w:val="00063740"/>
    <w:rsid w:val="000637F0"/>
    <w:rsid w:val="00063A07"/>
    <w:rsid w:val="00064151"/>
    <w:rsid w:val="000649D1"/>
    <w:rsid w:val="00064C51"/>
    <w:rsid w:val="00064F2D"/>
    <w:rsid w:val="00065790"/>
    <w:rsid w:val="00065799"/>
    <w:rsid w:val="00065855"/>
    <w:rsid w:val="0006587F"/>
    <w:rsid w:val="00065B3F"/>
    <w:rsid w:val="00065BC8"/>
    <w:rsid w:val="000661AD"/>
    <w:rsid w:val="000663B5"/>
    <w:rsid w:val="000664EE"/>
    <w:rsid w:val="000666C1"/>
    <w:rsid w:val="00066B8B"/>
    <w:rsid w:val="00066DE6"/>
    <w:rsid w:val="00067299"/>
    <w:rsid w:val="00067AA0"/>
    <w:rsid w:val="0007013D"/>
    <w:rsid w:val="000701A3"/>
    <w:rsid w:val="000705BF"/>
    <w:rsid w:val="0007071C"/>
    <w:rsid w:val="000707FC"/>
    <w:rsid w:val="000708AB"/>
    <w:rsid w:val="0007097E"/>
    <w:rsid w:val="0007177C"/>
    <w:rsid w:val="00071B04"/>
    <w:rsid w:val="00071DE0"/>
    <w:rsid w:val="00071E6A"/>
    <w:rsid w:val="000720A9"/>
    <w:rsid w:val="000725C5"/>
    <w:rsid w:val="00072D53"/>
    <w:rsid w:val="00073276"/>
    <w:rsid w:val="00073EF6"/>
    <w:rsid w:val="0007465A"/>
    <w:rsid w:val="00075117"/>
    <w:rsid w:val="00075227"/>
    <w:rsid w:val="000758FD"/>
    <w:rsid w:val="000764C1"/>
    <w:rsid w:val="000764E5"/>
    <w:rsid w:val="00076647"/>
    <w:rsid w:val="000770A3"/>
    <w:rsid w:val="0007722C"/>
    <w:rsid w:val="00077E30"/>
    <w:rsid w:val="0008176D"/>
    <w:rsid w:val="000819EE"/>
    <w:rsid w:val="00081D15"/>
    <w:rsid w:val="000824C9"/>
    <w:rsid w:val="00082532"/>
    <w:rsid w:val="0008278E"/>
    <w:rsid w:val="00082CB1"/>
    <w:rsid w:val="000837FD"/>
    <w:rsid w:val="0008385F"/>
    <w:rsid w:val="00083C27"/>
    <w:rsid w:val="00083E71"/>
    <w:rsid w:val="000843C5"/>
    <w:rsid w:val="00084712"/>
    <w:rsid w:val="0008476A"/>
    <w:rsid w:val="0008496E"/>
    <w:rsid w:val="00084B1E"/>
    <w:rsid w:val="00084E7A"/>
    <w:rsid w:val="00084EAF"/>
    <w:rsid w:val="00086620"/>
    <w:rsid w:val="0008670A"/>
    <w:rsid w:val="0008687D"/>
    <w:rsid w:val="000868EB"/>
    <w:rsid w:val="0008691A"/>
    <w:rsid w:val="00087299"/>
    <w:rsid w:val="000875F4"/>
    <w:rsid w:val="0008789E"/>
    <w:rsid w:val="00087C70"/>
    <w:rsid w:val="00087D8B"/>
    <w:rsid w:val="0009037D"/>
    <w:rsid w:val="00090806"/>
    <w:rsid w:val="00090AB6"/>
    <w:rsid w:val="00090AC0"/>
    <w:rsid w:val="00090E84"/>
    <w:rsid w:val="00091138"/>
    <w:rsid w:val="00091B13"/>
    <w:rsid w:val="00091D1A"/>
    <w:rsid w:val="000920D4"/>
    <w:rsid w:val="0009223D"/>
    <w:rsid w:val="0009243D"/>
    <w:rsid w:val="00092A63"/>
    <w:rsid w:val="00092E55"/>
    <w:rsid w:val="00093474"/>
    <w:rsid w:val="00095282"/>
    <w:rsid w:val="00095D76"/>
    <w:rsid w:val="00096381"/>
    <w:rsid w:val="0009647D"/>
    <w:rsid w:val="0009718D"/>
    <w:rsid w:val="000971D5"/>
    <w:rsid w:val="00097CD2"/>
    <w:rsid w:val="00097DE9"/>
    <w:rsid w:val="00097E13"/>
    <w:rsid w:val="00097F25"/>
    <w:rsid w:val="000A0426"/>
    <w:rsid w:val="000A0759"/>
    <w:rsid w:val="000A0C25"/>
    <w:rsid w:val="000A0E49"/>
    <w:rsid w:val="000A0F99"/>
    <w:rsid w:val="000A1493"/>
    <w:rsid w:val="000A17F1"/>
    <w:rsid w:val="000A1ECB"/>
    <w:rsid w:val="000A22E7"/>
    <w:rsid w:val="000A2307"/>
    <w:rsid w:val="000A24A9"/>
    <w:rsid w:val="000A25D3"/>
    <w:rsid w:val="000A2A44"/>
    <w:rsid w:val="000A2A59"/>
    <w:rsid w:val="000A2B13"/>
    <w:rsid w:val="000A3CC6"/>
    <w:rsid w:val="000A3E25"/>
    <w:rsid w:val="000A3EA6"/>
    <w:rsid w:val="000A418C"/>
    <w:rsid w:val="000A4214"/>
    <w:rsid w:val="000A4A63"/>
    <w:rsid w:val="000A4AEA"/>
    <w:rsid w:val="000A5036"/>
    <w:rsid w:val="000A513D"/>
    <w:rsid w:val="000A5B41"/>
    <w:rsid w:val="000A61F6"/>
    <w:rsid w:val="000A6414"/>
    <w:rsid w:val="000A697E"/>
    <w:rsid w:val="000A6BC5"/>
    <w:rsid w:val="000A6F4B"/>
    <w:rsid w:val="000A71D5"/>
    <w:rsid w:val="000A7779"/>
    <w:rsid w:val="000A7977"/>
    <w:rsid w:val="000B044E"/>
    <w:rsid w:val="000B0E67"/>
    <w:rsid w:val="000B1E1B"/>
    <w:rsid w:val="000B22CE"/>
    <w:rsid w:val="000B2639"/>
    <w:rsid w:val="000B291E"/>
    <w:rsid w:val="000B2C00"/>
    <w:rsid w:val="000B2D06"/>
    <w:rsid w:val="000B36E6"/>
    <w:rsid w:val="000B3D32"/>
    <w:rsid w:val="000B42E3"/>
    <w:rsid w:val="000B43D0"/>
    <w:rsid w:val="000B4C8D"/>
    <w:rsid w:val="000B53DF"/>
    <w:rsid w:val="000B54FD"/>
    <w:rsid w:val="000B57D3"/>
    <w:rsid w:val="000B5A2F"/>
    <w:rsid w:val="000B60FF"/>
    <w:rsid w:val="000B6691"/>
    <w:rsid w:val="000B6816"/>
    <w:rsid w:val="000B68DF"/>
    <w:rsid w:val="000B6DB8"/>
    <w:rsid w:val="000B6FE9"/>
    <w:rsid w:val="000B780A"/>
    <w:rsid w:val="000B7B6D"/>
    <w:rsid w:val="000B7BAD"/>
    <w:rsid w:val="000B7ED9"/>
    <w:rsid w:val="000C01F8"/>
    <w:rsid w:val="000C034E"/>
    <w:rsid w:val="000C0D64"/>
    <w:rsid w:val="000C12D8"/>
    <w:rsid w:val="000C1776"/>
    <w:rsid w:val="000C22A6"/>
    <w:rsid w:val="000C25C2"/>
    <w:rsid w:val="000C2858"/>
    <w:rsid w:val="000C2CCC"/>
    <w:rsid w:val="000C2D86"/>
    <w:rsid w:val="000C35BA"/>
    <w:rsid w:val="000C3621"/>
    <w:rsid w:val="000C3B69"/>
    <w:rsid w:val="000C3C2A"/>
    <w:rsid w:val="000C3CC8"/>
    <w:rsid w:val="000C3E14"/>
    <w:rsid w:val="000C4EBF"/>
    <w:rsid w:val="000C5692"/>
    <w:rsid w:val="000C63E7"/>
    <w:rsid w:val="000C67D1"/>
    <w:rsid w:val="000C6A99"/>
    <w:rsid w:val="000C7A8F"/>
    <w:rsid w:val="000C7CD4"/>
    <w:rsid w:val="000D0228"/>
    <w:rsid w:val="000D065C"/>
    <w:rsid w:val="000D1677"/>
    <w:rsid w:val="000D173E"/>
    <w:rsid w:val="000D2033"/>
    <w:rsid w:val="000D2036"/>
    <w:rsid w:val="000D2287"/>
    <w:rsid w:val="000D2993"/>
    <w:rsid w:val="000D2A5C"/>
    <w:rsid w:val="000D2B51"/>
    <w:rsid w:val="000D36A8"/>
    <w:rsid w:val="000D3898"/>
    <w:rsid w:val="000D3B49"/>
    <w:rsid w:val="000D40A6"/>
    <w:rsid w:val="000D52E5"/>
    <w:rsid w:val="000D56DA"/>
    <w:rsid w:val="000D5BFA"/>
    <w:rsid w:val="000D6262"/>
    <w:rsid w:val="000D6425"/>
    <w:rsid w:val="000D64A0"/>
    <w:rsid w:val="000D66A0"/>
    <w:rsid w:val="000D68E3"/>
    <w:rsid w:val="000D6B0B"/>
    <w:rsid w:val="000D7150"/>
    <w:rsid w:val="000D7539"/>
    <w:rsid w:val="000D79FF"/>
    <w:rsid w:val="000E0114"/>
    <w:rsid w:val="000E04A0"/>
    <w:rsid w:val="000E0502"/>
    <w:rsid w:val="000E062B"/>
    <w:rsid w:val="000E0AED"/>
    <w:rsid w:val="000E0CB7"/>
    <w:rsid w:val="000E0DC9"/>
    <w:rsid w:val="000E1195"/>
    <w:rsid w:val="000E13FF"/>
    <w:rsid w:val="000E19A7"/>
    <w:rsid w:val="000E19FB"/>
    <w:rsid w:val="000E292B"/>
    <w:rsid w:val="000E2A6B"/>
    <w:rsid w:val="000E3846"/>
    <w:rsid w:val="000E3DB0"/>
    <w:rsid w:val="000E3FA9"/>
    <w:rsid w:val="000E4231"/>
    <w:rsid w:val="000E4254"/>
    <w:rsid w:val="000E501F"/>
    <w:rsid w:val="000E52D0"/>
    <w:rsid w:val="000E5404"/>
    <w:rsid w:val="000E5722"/>
    <w:rsid w:val="000E612B"/>
    <w:rsid w:val="000E69DC"/>
    <w:rsid w:val="000E6C50"/>
    <w:rsid w:val="000E728D"/>
    <w:rsid w:val="000E75A6"/>
    <w:rsid w:val="000E7713"/>
    <w:rsid w:val="000E77AF"/>
    <w:rsid w:val="000E7C4E"/>
    <w:rsid w:val="000F08C1"/>
    <w:rsid w:val="000F0DDC"/>
    <w:rsid w:val="000F1340"/>
    <w:rsid w:val="000F196F"/>
    <w:rsid w:val="000F1AC7"/>
    <w:rsid w:val="000F2340"/>
    <w:rsid w:val="000F2AD1"/>
    <w:rsid w:val="000F2C94"/>
    <w:rsid w:val="000F2E98"/>
    <w:rsid w:val="000F37E5"/>
    <w:rsid w:val="000F4182"/>
    <w:rsid w:val="000F4BE6"/>
    <w:rsid w:val="000F4E36"/>
    <w:rsid w:val="000F50A2"/>
    <w:rsid w:val="000F5514"/>
    <w:rsid w:val="000F5A69"/>
    <w:rsid w:val="000F5F31"/>
    <w:rsid w:val="000F6C01"/>
    <w:rsid w:val="000F6EC7"/>
    <w:rsid w:val="000F7E07"/>
    <w:rsid w:val="00100561"/>
    <w:rsid w:val="00100577"/>
    <w:rsid w:val="0010094B"/>
    <w:rsid w:val="00100994"/>
    <w:rsid w:val="00101243"/>
    <w:rsid w:val="001014DF"/>
    <w:rsid w:val="00101773"/>
    <w:rsid w:val="00101875"/>
    <w:rsid w:val="00101A31"/>
    <w:rsid w:val="00101F76"/>
    <w:rsid w:val="00102149"/>
    <w:rsid w:val="00103620"/>
    <w:rsid w:val="001036AB"/>
    <w:rsid w:val="001038F9"/>
    <w:rsid w:val="00103FB7"/>
    <w:rsid w:val="001043AF"/>
    <w:rsid w:val="001043D6"/>
    <w:rsid w:val="001051A9"/>
    <w:rsid w:val="00105328"/>
    <w:rsid w:val="00105530"/>
    <w:rsid w:val="0010560D"/>
    <w:rsid w:val="001059D8"/>
    <w:rsid w:val="00105AA9"/>
    <w:rsid w:val="001060DB"/>
    <w:rsid w:val="0010620B"/>
    <w:rsid w:val="001067AF"/>
    <w:rsid w:val="00106BCB"/>
    <w:rsid w:val="00106FA2"/>
    <w:rsid w:val="00107193"/>
    <w:rsid w:val="00107276"/>
    <w:rsid w:val="00107F71"/>
    <w:rsid w:val="00107FD3"/>
    <w:rsid w:val="00110271"/>
    <w:rsid w:val="00110804"/>
    <w:rsid w:val="0011083C"/>
    <w:rsid w:val="00110B61"/>
    <w:rsid w:val="00110CD8"/>
    <w:rsid w:val="00110D4A"/>
    <w:rsid w:val="00110D81"/>
    <w:rsid w:val="00111CBC"/>
    <w:rsid w:val="00111F3B"/>
    <w:rsid w:val="00112857"/>
    <w:rsid w:val="001128A6"/>
    <w:rsid w:val="0011303E"/>
    <w:rsid w:val="001139A6"/>
    <w:rsid w:val="00113CB1"/>
    <w:rsid w:val="00113EA9"/>
    <w:rsid w:val="0011463F"/>
    <w:rsid w:val="001146D5"/>
    <w:rsid w:val="00114B25"/>
    <w:rsid w:val="00115DBC"/>
    <w:rsid w:val="00117B5F"/>
    <w:rsid w:val="0012017F"/>
    <w:rsid w:val="0012095F"/>
    <w:rsid w:val="00120FC0"/>
    <w:rsid w:val="00121025"/>
    <w:rsid w:val="0012177A"/>
    <w:rsid w:val="001217FC"/>
    <w:rsid w:val="00121A0E"/>
    <w:rsid w:val="00121C8A"/>
    <w:rsid w:val="001225CE"/>
    <w:rsid w:val="001227C1"/>
    <w:rsid w:val="00122FD1"/>
    <w:rsid w:val="001246A0"/>
    <w:rsid w:val="001252E2"/>
    <w:rsid w:val="001253BA"/>
    <w:rsid w:val="00125781"/>
    <w:rsid w:val="00125E7B"/>
    <w:rsid w:val="001266C6"/>
    <w:rsid w:val="00127629"/>
    <w:rsid w:val="0013000F"/>
    <w:rsid w:val="0013052B"/>
    <w:rsid w:val="001307C9"/>
    <w:rsid w:val="00130B1A"/>
    <w:rsid w:val="00130D2D"/>
    <w:rsid w:val="001311D3"/>
    <w:rsid w:val="001319B6"/>
    <w:rsid w:val="001321BE"/>
    <w:rsid w:val="001321CE"/>
    <w:rsid w:val="0013222C"/>
    <w:rsid w:val="00132679"/>
    <w:rsid w:val="0013331E"/>
    <w:rsid w:val="0013334C"/>
    <w:rsid w:val="00133433"/>
    <w:rsid w:val="00134EF4"/>
    <w:rsid w:val="00134F81"/>
    <w:rsid w:val="001351F8"/>
    <w:rsid w:val="001358F1"/>
    <w:rsid w:val="00136062"/>
    <w:rsid w:val="00136568"/>
    <w:rsid w:val="00137E05"/>
    <w:rsid w:val="00137E88"/>
    <w:rsid w:val="00137EF8"/>
    <w:rsid w:val="00140815"/>
    <w:rsid w:val="00140B2A"/>
    <w:rsid w:val="00141D36"/>
    <w:rsid w:val="00141D90"/>
    <w:rsid w:val="00142046"/>
    <w:rsid w:val="001426A2"/>
    <w:rsid w:val="00142CD9"/>
    <w:rsid w:val="00142EFF"/>
    <w:rsid w:val="001431EF"/>
    <w:rsid w:val="001431F5"/>
    <w:rsid w:val="00143279"/>
    <w:rsid w:val="00143A4F"/>
    <w:rsid w:val="001440CE"/>
    <w:rsid w:val="00144ADA"/>
    <w:rsid w:val="00144F91"/>
    <w:rsid w:val="0014590E"/>
    <w:rsid w:val="00145F94"/>
    <w:rsid w:val="00146020"/>
    <w:rsid w:val="0014683B"/>
    <w:rsid w:val="00146AE9"/>
    <w:rsid w:val="0014710A"/>
    <w:rsid w:val="001471D9"/>
    <w:rsid w:val="001475F9"/>
    <w:rsid w:val="0014771C"/>
    <w:rsid w:val="00147F4C"/>
    <w:rsid w:val="00150069"/>
    <w:rsid w:val="00150246"/>
    <w:rsid w:val="0015054D"/>
    <w:rsid w:val="00150838"/>
    <w:rsid w:val="001510A4"/>
    <w:rsid w:val="00151211"/>
    <w:rsid w:val="001514D4"/>
    <w:rsid w:val="00151517"/>
    <w:rsid w:val="00151EF8"/>
    <w:rsid w:val="00152829"/>
    <w:rsid w:val="00152B61"/>
    <w:rsid w:val="00152E60"/>
    <w:rsid w:val="00153423"/>
    <w:rsid w:val="001539E8"/>
    <w:rsid w:val="00153B3E"/>
    <w:rsid w:val="00153C9E"/>
    <w:rsid w:val="00154262"/>
    <w:rsid w:val="00154544"/>
    <w:rsid w:val="00154BFB"/>
    <w:rsid w:val="001551AB"/>
    <w:rsid w:val="00155214"/>
    <w:rsid w:val="00155A3B"/>
    <w:rsid w:val="001560DF"/>
    <w:rsid w:val="00156454"/>
    <w:rsid w:val="00156C48"/>
    <w:rsid w:val="00156C8C"/>
    <w:rsid w:val="001570F6"/>
    <w:rsid w:val="00157339"/>
    <w:rsid w:val="0015746A"/>
    <w:rsid w:val="0015779A"/>
    <w:rsid w:val="00160000"/>
    <w:rsid w:val="00160723"/>
    <w:rsid w:val="0016080B"/>
    <w:rsid w:val="00160A62"/>
    <w:rsid w:val="00160B42"/>
    <w:rsid w:val="00160C19"/>
    <w:rsid w:val="0016176A"/>
    <w:rsid w:val="001619A0"/>
    <w:rsid w:val="001619EA"/>
    <w:rsid w:val="00161CBD"/>
    <w:rsid w:val="001628C3"/>
    <w:rsid w:val="00162A6C"/>
    <w:rsid w:val="00163050"/>
    <w:rsid w:val="00163251"/>
    <w:rsid w:val="00163684"/>
    <w:rsid w:val="0016404C"/>
    <w:rsid w:val="001643F1"/>
    <w:rsid w:val="00164C02"/>
    <w:rsid w:val="00164F2F"/>
    <w:rsid w:val="00165182"/>
    <w:rsid w:val="001653AD"/>
    <w:rsid w:val="00165D55"/>
    <w:rsid w:val="001662A0"/>
    <w:rsid w:val="001666E1"/>
    <w:rsid w:val="00166D97"/>
    <w:rsid w:val="00167514"/>
    <w:rsid w:val="00167EF5"/>
    <w:rsid w:val="001700A2"/>
    <w:rsid w:val="001700CC"/>
    <w:rsid w:val="001700DF"/>
    <w:rsid w:val="0017062F"/>
    <w:rsid w:val="0017066F"/>
    <w:rsid w:val="00170AE9"/>
    <w:rsid w:val="0017116B"/>
    <w:rsid w:val="00171805"/>
    <w:rsid w:val="00171B7F"/>
    <w:rsid w:val="00172126"/>
    <w:rsid w:val="001725E0"/>
    <w:rsid w:val="001726D2"/>
    <w:rsid w:val="00172A27"/>
    <w:rsid w:val="00172B3A"/>
    <w:rsid w:val="00173607"/>
    <w:rsid w:val="00173C22"/>
    <w:rsid w:val="001744B5"/>
    <w:rsid w:val="00174816"/>
    <w:rsid w:val="0017559F"/>
    <w:rsid w:val="00175611"/>
    <w:rsid w:val="0017643F"/>
    <w:rsid w:val="001765B9"/>
    <w:rsid w:val="00176642"/>
    <w:rsid w:val="001768E3"/>
    <w:rsid w:val="00176B70"/>
    <w:rsid w:val="00176EB4"/>
    <w:rsid w:val="00176FA0"/>
    <w:rsid w:val="0017712F"/>
    <w:rsid w:val="001772DF"/>
    <w:rsid w:val="0017735D"/>
    <w:rsid w:val="001774BF"/>
    <w:rsid w:val="00177B0A"/>
    <w:rsid w:val="00177BCF"/>
    <w:rsid w:val="00177D37"/>
    <w:rsid w:val="001806B0"/>
    <w:rsid w:val="00180EBD"/>
    <w:rsid w:val="0018198E"/>
    <w:rsid w:val="00181BD4"/>
    <w:rsid w:val="001826E4"/>
    <w:rsid w:val="00182EA1"/>
    <w:rsid w:val="00183056"/>
    <w:rsid w:val="0018306D"/>
    <w:rsid w:val="00183332"/>
    <w:rsid w:val="00184434"/>
    <w:rsid w:val="001849E9"/>
    <w:rsid w:val="00185792"/>
    <w:rsid w:val="00185FDA"/>
    <w:rsid w:val="00186471"/>
    <w:rsid w:val="00186636"/>
    <w:rsid w:val="001867FC"/>
    <w:rsid w:val="001868C3"/>
    <w:rsid w:val="00186939"/>
    <w:rsid w:val="001876A8"/>
    <w:rsid w:val="00190936"/>
    <w:rsid w:val="00190E17"/>
    <w:rsid w:val="001914B2"/>
    <w:rsid w:val="00192411"/>
    <w:rsid w:val="001926DD"/>
    <w:rsid w:val="00192DD6"/>
    <w:rsid w:val="001930E5"/>
    <w:rsid w:val="00193499"/>
    <w:rsid w:val="001936DF"/>
    <w:rsid w:val="001941E3"/>
    <w:rsid w:val="0019432F"/>
    <w:rsid w:val="001949DD"/>
    <w:rsid w:val="00194D7A"/>
    <w:rsid w:val="0019577A"/>
    <w:rsid w:val="001958A5"/>
    <w:rsid w:val="00195DCE"/>
    <w:rsid w:val="00196406"/>
    <w:rsid w:val="00196934"/>
    <w:rsid w:val="001969AC"/>
    <w:rsid w:val="00197044"/>
    <w:rsid w:val="00197444"/>
    <w:rsid w:val="001978D8"/>
    <w:rsid w:val="00197DB0"/>
    <w:rsid w:val="00197ED5"/>
    <w:rsid w:val="001A029F"/>
    <w:rsid w:val="001A281E"/>
    <w:rsid w:val="001A2C52"/>
    <w:rsid w:val="001A3586"/>
    <w:rsid w:val="001A37F7"/>
    <w:rsid w:val="001A3996"/>
    <w:rsid w:val="001A3D63"/>
    <w:rsid w:val="001A3FA1"/>
    <w:rsid w:val="001A401D"/>
    <w:rsid w:val="001A465E"/>
    <w:rsid w:val="001A4E6C"/>
    <w:rsid w:val="001A54BC"/>
    <w:rsid w:val="001A5507"/>
    <w:rsid w:val="001A5A3E"/>
    <w:rsid w:val="001A5CE1"/>
    <w:rsid w:val="001A5F36"/>
    <w:rsid w:val="001A5F65"/>
    <w:rsid w:val="001A5FC9"/>
    <w:rsid w:val="001A6570"/>
    <w:rsid w:val="001A6A07"/>
    <w:rsid w:val="001A6FB5"/>
    <w:rsid w:val="001B0053"/>
    <w:rsid w:val="001B057E"/>
    <w:rsid w:val="001B062C"/>
    <w:rsid w:val="001B091B"/>
    <w:rsid w:val="001B1464"/>
    <w:rsid w:val="001B210F"/>
    <w:rsid w:val="001B26AE"/>
    <w:rsid w:val="001B3516"/>
    <w:rsid w:val="001B3584"/>
    <w:rsid w:val="001B3A27"/>
    <w:rsid w:val="001B3B45"/>
    <w:rsid w:val="001B3DFA"/>
    <w:rsid w:val="001B4213"/>
    <w:rsid w:val="001B46B7"/>
    <w:rsid w:val="001B48F2"/>
    <w:rsid w:val="001B4942"/>
    <w:rsid w:val="001B4AED"/>
    <w:rsid w:val="001B5316"/>
    <w:rsid w:val="001B5516"/>
    <w:rsid w:val="001B5A8E"/>
    <w:rsid w:val="001B5FE7"/>
    <w:rsid w:val="001B6829"/>
    <w:rsid w:val="001B7368"/>
    <w:rsid w:val="001C00F8"/>
    <w:rsid w:val="001C058B"/>
    <w:rsid w:val="001C074D"/>
    <w:rsid w:val="001C0785"/>
    <w:rsid w:val="001C07E0"/>
    <w:rsid w:val="001C0F45"/>
    <w:rsid w:val="001C13A9"/>
    <w:rsid w:val="001C1D86"/>
    <w:rsid w:val="001C264F"/>
    <w:rsid w:val="001C2F27"/>
    <w:rsid w:val="001C3676"/>
    <w:rsid w:val="001C36CA"/>
    <w:rsid w:val="001C3746"/>
    <w:rsid w:val="001C3F12"/>
    <w:rsid w:val="001C4695"/>
    <w:rsid w:val="001C476F"/>
    <w:rsid w:val="001C4B7C"/>
    <w:rsid w:val="001C4FD6"/>
    <w:rsid w:val="001C51EB"/>
    <w:rsid w:val="001C541F"/>
    <w:rsid w:val="001C571C"/>
    <w:rsid w:val="001C5BBA"/>
    <w:rsid w:val="001C60D2"/>
    <w:rsid w:val="001C6618"/>
    <w:rsid w:val="001C6723"/>
    <w:rsid w:val="001C74FA"/>
    <w:rsid w:val="001D091B"/>
    <w:rsid w:val="001D0AF1"/>
    <w:rsid w:val="001D0AF4"/>
    <w:rsid w:val="001D0BC8"/>
    <w:rsid w:val="001D118C"/>
    <w:rsid w:val="001D11BB"/>
    <w:rsid w:val="001D1210"/>
    <w:rsid w:val="001D16AF"/>
    <w:rsid w:val="001D1957"/>
    <w:rsid w:val="001D2688"/>
    <w:rsid w:val="001D2C1A"/>
    <w:rsid w:val="001D34A6"/>
    <w:rsid w:val="001D35AC"/>
    <w:rsid w:val="001D3C40"/>
    <w:rsid w:val="001D491F"/>
    <w:rsid w:val="001D5261"/>
    <w:rsid w:val="001D526C"/>
    <w:rsid w:val="001D5527"/>
    <w:rsid w:val="001D585E"/>
    <w:rsid w:val="001D59FA"/>
    <w:rsid w:val="001D5E09"/>
    <w:rsid w:val="001D6E00"/>
    <w:rsid w:val="001D72E8"/>
    <w:rsid w:val="001D7421"/>
    <w:rsid w:val="001D777E"/>
    <w:rsid w:val="001E076F"/>
    <w:rsid w:val="001E1120"/>
    <w:rsid w:val="001E1DF3"/>
    <w:rsid w:val="001E27B9"/>
    <w:rsid w:val="001E2D3B"/>
    <w:rsid w:val="001E2FB3"/>
    <w:rsid w:val="001E38F1"/>
    <w:rsid w:val="001E3DC0"/>
    <w:rsid w:val="001E4E51"/>
    <w:rsid w:val="001E4E61"/>
    <w:rsid w:val="001E5037"/>
    <w:rsid w:val="001E5246"/>
    <w:rsid w:val="001E53EC"/>
    <w:rsid w:val="001E562F"/>
    <w:rsid w:val="001E57DD"/>
    <w:rsid w:val="001E5D61"/>
    <w:rsid w:val="001E5E35"/>
    <w:rsid w:val="001E610D"/>
    <w:rsid w:val="001E6437"/>
    <w:rsid w:val="001E651E"/>
    <w:rsid w:val="001E682D"/>
    <w:rsid w:val="001E6834"/>
    <w:rsid w:val="001E6918"/>
    <w:rsid w:val="001E7362"/>
    <w:rsid w:val="001E7861"/>
    <w:rsid w:val="001E7863"/>
    <w:rsid w:val="001E7AD2"/>
    <w:rsid w:val="001E7DD1"/>
    <w:rsid w:val="001F1476"/>
    <w:rsid w:val="001F1648"/>
    <w:rsid w:val="001F165D"/>
    <w:rsid w:val="001F1759"/>
    <w:rsid w:val="001F177F"/>
    <w:rsid w:val="001F1B0D"/>
    <w:rsid w:val="001F1C50"/>
    <w:rsid w:val="001F1D49"/>
    <w:rsid w:val="001F21E9"/>
    <w:rsid w:val="001F242E"/>
    <w:rsid w:val="001F2780"/>
    <w:rsid w:val="001F34AA"/>
    <w:rsid w:val="001F373C"/>
    <w:rsid w:val="001F3E56"/>
    <w:rsid w:val="001F3F2A"/>
    <w:rsid w:val="001F42EA"/>
    <w:rsid w:val="001F5079"/>
    <w:rsid w:val="001F574F"/>
    <w:rsid w:val="001F5868"/>
    <w:rsid w:val="001F6921"/>
    <w:rsid w:val="001F6D2C"/>
    <w:rsid w:val="001F7126"/>
    <w:rsid w:val="001F75F3"/>
    <w:rsid w:val="001F761D"/>
    <w:rsid w:val="002004A1"/>
    <w:rsid w:val="00200528"/>
    <w:rsid w:val="00200C3A"/>
    <w:rsid w:val="0020148B"/>
    <w:rsid w:val="00202973"/>
    <w:rsid w:val="00202F3B"/>
    <w:rsid w:val="00203302"/>
    <w:rsid w:val="0020361F"/>
    <w:rsid w:val="00203763"/>
    <w:rsid w:val="00203F29"/>
    <w:rsid w:val="002041E4"/>
    <w:rsid w:val="00204843"/>
    <w:rsid w:val="00204AEF"/>
    <w:rsid w:val="0020537B"/>
    <w:rsid w:val="0020538D"/>
    <w:rsid w:val="00205A41"/>
    <w:rsid w:val="00205F4F"/>
    <w:rsid w:val="00206185"/>
    <w:rsid w:val="0020627B"/>
    <w:rsid w:val="00206FE7"/>
    <w:rsid w:val="00207026"/>
    <w:rsid w:val="00207653"/>
    <w:rsid w:val="00207BB0"/>
    <w:rsid w:val="00207C33"/>
    <w:rsid w:val="00210226"/>
    <w:rsid w:val="0021068C"/>
    <w:rsid w:val="00211399"/>
    <w:rsid w:val="00211577"/>
    <w:rsid w:val="00211D46"/>
    <w:rsid w:val="00211FAA"/>
    <w:rsid w:val="00212776"/>
    <w:rsid w:val="00212C43"/>
    <w:rsid w:val="00212C69"/>
    <w:rsid w:val="00213430"/>
    <w:rsid w:val="0021358B"/>
    <w:rsid w:val="00213591"/>
    <w:rsid w:val="00213ADE"/>
    <w:rsid w:val="00213DF6"/>
    <w:rsid w:val="00214574"/>
    <w:rsid w:val="002147ED"/>
    <w:rsid w:val="00214AD3"/>
    <w:rsid w:val="00214E5F"/>
    <w:rsid w:val="00215034"/>
    <w:rsid w:val="00215AA5"/>
    <w:rsid w:val="00215CE9"/>
    <w:rsid w:val="002160D2"/>
    <w:rsid w:val="0021685F"/>
    <w:rsid w:val="00216BA9"/>
    <w:rsid w:val="00216BD4"/>
    <w:rsid w:val="002170D1"/>
    <w:rsid w:val="00217147"/>
    <w:rsid w:val="0021756E"/>
    <w:rsid w:val="00217F19"/>
    <w:rsid w:val="002200F6"/>
    <w:rsid w:val="00220185"/>
    <w:rsid w:val="00220701"/>
    <w:rsid w:val="002212D2"/>
    <w:rsid w:val="00221D75"/>
    <w:rsid w:val="00223D63"/>
    <w:rsid w:val="00224544"/>
    <w:rsid w:val="002247BC"/>
    <w:rsid w:val="002250B3"/>
    <w:rsid w:val="002256C6"/>
    <w:rsid w:val="002258C1"/>
    <w:rsid w:val="00225A30"/>
    <w:rsid w:val="00225AD2"/>
    <w:rsid w:val="00227217"/>
    <w:rsid w:val="002278CA"/>
    <w:rsid w:val="00227B4F"/>
    <w:rsid w:val="00227DC5"/>
    <w:rsid w:val="00227EED"/>
    <w:rsid w:val="00230C8D"/>
    <w:rsid w:val="00230D2F"/>
    <w:rsid w:val="00230FA5"/>
    <w:rsid w:val="00231529"/>
    <w:rsid w:val="00231CF1"/>
    <w:rsid w:val="00231ED1"/>
    <w:rsid w:val="00232575"/>
    <w:rsid w:val="00232825"/>
    <w:rsid w:val="00233DA4"/>
    <w:rsid w:val="00233DDD"/>
    <w:rsid w:val="00234296"/>
    <w:rsid w:val="00234AF4"/>
    <w:rsid w:val="00234C1E"/>
    <w:rsid w:val="00234DCE"/>
    <w:rsid w:val="0023602D"/>
    <w:rsid w:val="00236073"/>
    <w:rsid w:val="0023699C"/>
    <w:rsid w:val="00236E27"/>
    <w:rsid w:val="0023740F"/>
    <w:rsid w:val="0023776F"/>
    <w:rsid w:val="00237885"/>
    <w:rsid w:val="002379DF"/>
    <w:rsid w:val="00237B1A"/>
    <w:rsid w:val="00237FE4"/>
    <w:rsid w:val="002403A1"/>
    <w:rsid w:val="0024057A"/>
    <w:rsid w:val="00240702"/>
    <w:rsid w:val="0024084E"/>
    <w:rsid w:val="002410A2"/>
    <w:rsid w:val="002411EB"/>
    <w:rsid w:val="002416AE"/>
    <w:rsid w:val="002419BE"/>
    <w:rsid w:val="00241DB7"/>
    <w:rsid w:val="0024368B"/>
    <w:rsid w:val="00243DFC"/>
    <w:rsid w:val="00243E04"/>
    <w:rsid w:val="002440D6"/>
    <w:rsid w:val="00244208"/>
    <w:rsid w:val="00244F6C"/>
    <w:rsid w:val="00245368"/>
    <w:rsid w:val="0024555A"/>
    <w:rsid w:val="00245993"/>
    <w:rsid w:val="00245F26"/>
    <w:rsid w:val="00245F98"/>
    <w:rsid w:val="00246639"/>
    <w:rsid w:val="002473BD"/>
    <w:rsid w:val="00247416"/>
    <w:rsid w:val="00247809"/>
    <w:rsid w:val="0024793C"/>
    <w:rsid w:val="00247B33"/>
    <w:rsid w:val="00247F18"/>
    <w:rsid w:val="0025057A"/>
    <w:rsid w:val="002509A1"/>
    <w:rsid w:val="00251546"/>
    <w:rsid w:val="002519CF"/>
    <w:rsid w:val="00251E33"/>
    <w:rsid w:val="00251E92"/>
    <w:rsid w:val="00252428"/>
    <w:rsid w:val="00252917"/>
    <w:rsid w:val="00253364"/>
    <w:rsid w:val="002535FE"/>
    <w:rsid w:val="00253726"/>
    <w:rsid w:val="002540A7"/>
    <w:rsid w:val="00254ECE"/>
    <w:rsid w:val="00254F1E"/>
    <w:rsid w:val="00254F20"/>
    <w:rsid w:val="00255114"/>
    <w:rsid w:val="00255A3C"/>
    <w:rsid w:val="00256499"/>
    <w:rsid w:val="002568AE"/>
    <w:rsid w:val="00256907"/>
    <w:rsid w:val="00256F7C"/>
    <w:rsid w:val="00257192"/>
    <w:rsid w:val="0025759B"/>
    <w:rsid w:val="002575C3"/>
    <w:rsid w:val="0026030D"/>
    <w:rsid w:val="002603D8"/>
    <w:rsid w:val="00260417"/>
    <w:rsid w:val="002604FC"/>
    <w:rsid w:val="00260552"/>
    <w:rsid w:val="00261175"/>
    <w:rsid w:val="00261869"/>
    <w:rsid w:val="00261A33"/>
    <w:rsid w:val="00261BD4"/>
    <w:rsid w:val="0026231A"/>
    <w:rsid w:val="0026238E"/>
    <w:rsid w:val="00262396"/>
    <w:rsid w:val="002623A1"/>
    <w:rsid w:val="0026257C"/>
    <w:rsid w:val="002625A9"/>
    <w:rsid w:val="0026261D"/>
    <w:rsid w:val="00262740"/>
    <w:rsid w:val="00262DE3"/>
    <w:rsid w:val="00262FD8"/>
    <w:rsid w:val="00263111"/>
    <w:rsid w:val="002632DC"/>
    <w:rsid w:val="0026359D"/>
    <w:rsid w:val="00263F0F"/>
    <w:rsid w:val="002643CA"/>
    <w:rsid w:val="00264A1D"/>
    <w:rsid w:val="00264AE8"/>
    <w:rsid w:val="0026555E"/>
    <w:rsid w:val="00265BC8"/>
    <w:rsid w:val="00265E1E"/>
    <w:rsid w:val="0026637F"/>
    <w:rsid w:val="0026651C"/>
    <w:rsid w:val="002679D4"/>
    <w:rsid w:val="00267BEB"/>
    <w:rsid w:val="00267ED6"/>
    <w:rsid w:val="002700C1"/>
    <w:rsid w:val="00270196"/>
    <w:rsid w:val="002704E1"/>
    <w:rsid w:val="00270F58"/>
    <w:rsid w:val="00271D41"/>
    <w:rsid w:val="00271DBD"/>
    <w:rsid w:val="00271E50"/>
    <w:rsid w:val="00272073"/>
    <w:rsid w:val="00272287"/>
    <w:rsid w:val="00272FA5"/>
    <w:rsid w:val="002734B0"/>
    <w:rsid w:val="0027393F"/>
    <w:rsid w:val="002739A8"/>
    <w:rsid w:val="002740E8"/>
    <w:rsid w:val="00274155"/>
    <w:rsid w:val="002745AC"/>
    <w:rsid w:val="00274A56"/>
    <w:rsid w:val="002750E8"/>
    <w:rsid w:val="002756ED"/>
    <w:rsid w:val="002764AD"/>
    <w:rsid w:val="00276B0E"/>
    <w:rsid w:val="00276B26"/>
    <w:rsid w:val="00276DA5"/>
    <w:rsid w:val="00276F26"/>
    <w:rsid w:val="002776EA"/>
    <w:rsid w:val="002777F9"/>
    <w:rsid w:val="002779B3"/>
    <w:rsid w:val="00277AB2"/>
    <w:rsid w:val="00277D51"/>
    <w:rsid w:val="002807FD"/>
    <w:rsid w:val="00280853"/>
    <w:rsid w:val="00280A79"/>
    <w:rsid w:val="00280ED3"/>
    <w:rsid w:val="00280EEF"/>
    <w:rsid w:val="002811E9"/>
    <w:rsid w:val="0028162B"/>
    <w:rsid w:val="00281947"/>
    <w:rsid w:val="002820AA"/>
    <w:rsid w:val="00282ABE"/>
    <w:rsid w:val="00282B79"/>
    <w:rsid w:val="00282C23"/>
    <w:rsid w:val="00284AA9"/>
    <w:rsid w:val="00284E37"/>
    <w:rsid w:val="00284FC0"/>
    <w:rsid w:val="002855A4"/>
    <w:rsid w:val="00285CAE"/>
    <w:rsid w:val="00286116"/>
    <w:rsid w:val="00286E59"/>
    <w:rsid w:val="002872FD"/>
    <w:rsid w:val="00287861"/>
    <w:rsid w:val="002879D3"/>
    <w:rsid w:val="00287C81"/>
    <w:rsid w:val="00290D2A"/>
    <w:rsid w:val="00291117"/>
    <w:rsid w:val="002911FC"/>
    <w:rsid w:val="002917E8"/>
    <w:rsid w:val="00291A2D"/>
    <w:rsid w:val="00291AC4"/>
    <w:rsid w:val="00291B47"/>
    <w:rsid w:val="00291E70"/>
    <w:rsid w:val="0029254C"/>
    <w:rsid w:val="002927AC"/>
    <w:rsid w:val="00292B24"/>
    <w:rsid w:val="00293147"/>
    <w:rsid w:val="002933BF"/>
    <w:rsid w:val="0029351F"/>
    <w:rsid w:val="002937C0"/>
    <w:rsid w:val="00293880"/>
    <w:rsid w:val="00293F16"/>
    <w:rsid w:val="002943EB"/>
    <w:rsid w:val="00294CEF"/>
    <w:rsid w:val="00295251"/>
    <w:rsid w:val="00295B57"/>
    <w:rsid w:val="00295C16"/>
    <w:rsid w:val="00295EDC"/>
    <w:rsid w:val="0029608F"/>
    <w:rsid w:val="00296166"/>
    <w:rsid w:val="00296697"/>
    <w:rsid w:val="00296907"/>
    <w:rsid w:val="002979AD"/>
    <w:rsid w:val="002979B6"/>
    <w:rsid w:val="00297ABA"/>
    <w:rsid w:val="002A0397"/>
    <w:rsid w:val="002A1058"/>
    <w:rsid w:val="002A1C31"/>
    <w:rsid w:val="002A1CD0"/>
    <w:rsid w:val="002A1EF3"/>
    <w:rsid w:val="002A1F76"/>
    <w:rsid w:val="002A221A"/>
    <w:rsid w:val="002A2352"/>
    <w:rsid w:val="002A24CD"/>
    <w:rsid w:val="002A2620"/>
    <w:rsid w:val="002A2880"/>
    <w:rsid w:val="002A2883"/>
    <w:rsid w:val="002A2B03"/>
    <w:rsid w:val="002A2D79"/>
    <w:rsid w:val="002A32A7"/>
    <w:rsid w:val="002A374D"/>
    <w:rsid w:val="002A4C88"/>
    <w:rsid w:val="002A5173"/>
    <w:rsid w:val="002A51AD"/>
    <w:rsid w:val="002A5307"/>
    <w:rsid w:val="002A5679"/>
    <w:rsid w:val="002A56E1"/>
    <w:rsid w:val="002A5BD8"/>
    <w:rsid w:val="002A5E58"/>
    <w:rsid w:val="002A64E9"/>
    <w:rsid w:val="002A725D"/>
    <w:rsid w:val="002A72E5"/>
    <w:rsid w:val="002A75CE"/>
    <w:rsid w:val="002A77B1"/>
    <w:rsid w:val="002B0A17"/>
    <w:rsid w:val="002B0C23"/>
    <w:rsid w:val="002B0F8D"/>
    <w:rsid w:val="002B1359"/>
    <w:rsid w:val="002B17EF"/>
    <w:rsid w:val="002B1E20"/>
    <w:rsid w:val="002B2491"/>
    <w:rsid w:val="002B279B"/>
    <w:rsid w:val="002B2C1F"/>
    <w:rsid w:val="002B2FD3"/>
    <w:rsid w:val="002B3026"/>
    <w:rsid w:val="002B31D1"/>
    <w:rsid w:val="002B3605"/>
    <w:rsid w:val="002B3777"/>
    <w:rsid w:val="002B386B"/>
    <w:rsid w:val="002B4EFC"/>
    <w:rsid w:val="002B51EB"/>
    <w:rsid w:val="002B5272"/>
    <w:rsid w:val="002B5BA8"/>
    <w:rsid w:val="002B62A0"/>
    <w:rsid w:val="002B73C8"/>
    <w:rsid w:val="002B7FAA"/>
    <w:rsid w:val="002C0382"/>
    <w:rsid w:val="002C04C7"/>
    <w:rsid w:val="002C0578"/>
    <w:rsid w:val="002C06B3"/>
    <w:rsid w:val="002C1592"/>
    <w:rsid w:val="002C1780"/>
    <w:rsid w:val="002C1961"/>
    <w:rsid w:val="002C209A"/>
    <w:rsid w:val="002C223D"/>
    <w:rsid w:val="002C2431"/>
    <w:rsid w:val="002C24AA"/>
    <w:rsid w:val="002C28E7"/>
    <w:rsid w:val="002C2E09"/>
    <w:rsid w:val="002C2FAA"/>
    <w:rsid w:val="002C3268"/>
    <w:rsid w:val="002C3317"/>
    <w:rsid w:val="002C3568"/>
    <w:rsid w:val="002C39BF"/>
    <w:rsid w:val="002C45AF"/>
    <w:rsid w:val="002C4B71"/>
    <w:rsid w:val="002C4C6B"/>
    <w:rsid w:val="002C4D82"/>
    <w:rsid w:val="002C4DC8"/>
    <w:rsid w:val="002C4F18"/>
    <w:rsid w:val="002C4F1F"/>
    <w:rsid w:val="002C5141"/>
    <w:rsid w:val="002C562C"/>
    <w:rsid w:val="002C605B"/>
    <w:rsid w:val="002C6460"/>
    <w:rsid w:val="002C77E2"/>
    <w:rsid w:val="002C7A30"/>
    <w:rsid w:val="002C7A95"/>
    <w:rsid w:val="002D01A8"/>
    <w:rsid w:val="002D01A9"/>
    <w:rsid w:val="002D0400"/>
    <w:rsid w:val="002D06AF"/>
    <w:rsid w:val="002D0BF4"/>
    <w:rsid w:val="002D0D7C"/>
    <w:rsid w:val="002D0DB6"/>
    <w:rsid w:val="002D0E18"/>
    <w:rsid w:val="002D0FF7"/>
    <w:rsid w:val="002D1C37"/>
    <w:rsid w:val="002D20DD"/>
    <w:rsid w:val="002D23C0"/>
    <w:rsid w:val="002D2992"/>
    <w:rsid w:val="002D2D7C"/>
    <w:rsid w:val="002D3AB3"/>
    <w:rsid w:val="002D3FE0"/>
    <w:rsid w:val="002D4210"/>
    <w:rsid w:val="002D44A6"/>
    <w:rsid w:val="002D5818"/>
    <w:rsid w:val="002D5A4B"/>
    <w:rsid w:val="002D66A3"/>
    <w:rsid w:val="002D71AF"/>
    <w:rsid w:val="002D722F"/>
    <w:rsid w:val="002D7A1B"/>
    <w:rsid w:val="002D7C6C"/>
    <w:rsid w:val="002E0088"/>
    <w:rsid w:val="002E034A"/>
    <w:rsid w:val="002E0B38"/>
    <w:rsid w:val="002E143B"/>
    <w:rsid w:val="002E1557"/>
    <w:rsid w:val="002E1D79"/>
    <w:rsid w:val="002E1FB0"/>
    <w:rsid w:val="002E1FFA"/>
    <w:rsid w:val="002E2463"/>
    <w:rsid w:val="002E283B"/>
    <w:rsid w:val="002E2BC2"/>
    <w:rsid w:val="002E2EF6"/>
    <w:rsid w:val="002E3030"/>
    <w:rsid w:val="002E353D"/>
    <w:rsid w:val="002E3B51"/>
    <w:rsid w:val="002E47E0"/>
    <w:rsid w:val="002E4B41"/>
    <w:rsid w:val="002E50DB"/>
    <w:rsid w:val="002E5D80"/>
    <w:rsid w:val="002E5D87"/>
    <w:rsid w:val="002E6223"/>
    <w:rsid w:val="002E6441"/>
    <w:rsid w:val="002E64E4"/>
    <w:rsid w:val="002E720C"/>
    <w:rsid w:val="002E732A"/>
    <w:rsid w:val="002E76A1"/>
    <w:rsid w:val="002E7A53"/>
    <w:rsid w:val="002E7D61"/>
    <w:rsid w:val="002E7DEF"/>
    <w:rsid w:val="002F02A6"/>
    <w:rsid w:val="002F032A"/>
    <w:rsid w:val="002F0629"/>
    <w:rsid w:val="002F06D3"/>
    <w:rsid w:val="002F0D3B"/>
    <w:rsid w:val="002F12BF"/>
    <w:rsid w:val="002F163F"/>
    <w:rsid w:val="002F1FBC"/>
    <w:rsid w:val="002F2211"/>
    <w:rsid w:val="002F26B9"/>
    <w:rsid w:val="002F2C2E"/>
    <w:rsid w:val="002F2EA8"/>
    <w:rsid w:val="002F34DE"/>
    <w:rsid w:val="002F378C"/>
    <w:rsid w:val="002F3EAA"/>
    <w:rsid w:val="002F3ED9"/>
    <w:rsid w:val="002F4D59"/>
    <w:rsid w:val="002F5277"/>
    <w:rsid w:val="002F5D31"/>
    <w:rsid w:val="002F5E51"/>
    <w:rsid w:val="002F5F2F"/>
    <w:rsid w:val="002F6085"/>
    <w:rsid w:val="002F60F6"/>
    <w:rsid w:val="002F705A"/>
    <w:rsid w:val="002F79BA"/>
    <w:rsid w:val="002F7ACC"/>
    <w:rsid w:val="002F7DBE"/>
    <w:rsid w:val="003006E6"/>
    <w:rsid w:val="0030077E"/>
    <w:rsid w:val="00300896"/>
    <w:rsid w:val="00300DD8"/>
    <w:rsid w:val="0030108F"/>
    <w:rsid w:val="0030155A"/>
    <w:rsid w:val="00301D1A"/>
    <w:rsid w:val="003020C8"/>
    <w:rsid w:val="003021E9"/>
    <w:rsid w:val="003022F8"/>
    <w:rsid w:val="003023D9"/>
    <w:rsid w:val="00302647"/>
    <w:rsid w:val="0030264C"/>
    <w:rsid w:val="003035C1"/>
    <w:rsid w:val="00303689"/>
    <w:rsid w:val="0030382D"/>
    <w:rsid w:val="00303C88"/>
    <w:rsid w:val="0030476B"/>
    <w:rsid w:val="00304ED8"/>
    <w:rsid w:val="00304F74"/>
    <w:rsid w:val="0030524D"/>
    <w:rsid w:val="003054AB"/>
    <w:rsid w:val="003058FD"/>
    <w:rsid w:val="00305A5A"/>
    <w:rsid w:val="00305CF1"/>
    <w:rsid w:val="00306145"/>
    <w:rsid w:val="00306733"/>
    <w:rsid w:val="003068A7"/>
    <w:rsid w:val="00307227"/>
    <w:rsid w:val="00307B8B"/>
    <w:rsid w:val="00307BD9"/>
    <w:rsid w:val="00307D71"/>
    <w:rsid w:val="003100C3"/>
    <w:rsid w:val="003106D5"/>
    <w:rsid w:val="0031070A"/>
    <w:rsid w:val="00310BDF"/>
    <w:rsid w:val="00310FF0"/>
    <w:rsid w:val="00311BC5"/>
    <w:rsid w:val="00312952"/>
    <w:rsid w:val="00312E17"/>
    <w:rsid w:val="00312EFA"/>
    <w:rsid w:val="0031305F"/>
    <w:rsid w:val="003132E7"/>
    <w:rsid w:val="00314394"/>
    <w:rsid w:val="003146AB"/>
    <w:rsid w:val="003148A3"/>
    <w:rsid w:val="00316092"/>
    <w:rsid w:val="00316D6E"/>
    <w:rsid w:val="00316D9A"/>
    <w:rsid w:val="00316F1D"/>
    <w:rsid w:val="00316F5C"/>
    <w:rsid w:val="00316F88"/>
    <w:rsid w:val="00317847"/>
    <w:rsid w:val="00317CB4"/>
    <w:rsid w:val="00321FC8"/>
    <w:rsid w:val="003228E1"/>
    <w:rsid w:val="003229B5"/>
    <w:rsid w:val="00322F6C"/>
    <w:rsid w:val="003234A2"/>
    <w:rsid w:val="0032369C"/>
    <w:rsid w:val="00324D83"/>
    <w:rsid w:val="00325A72"/>
    <w:rsid w:val="00325FDC"/>
    <w:rsid w:val="003266EB"/>
    <w:rsid w:val="00326F9E"/>
    <w:rsid w:val="00327257"/>
    <w:rsid w:val="003275F6"/>
    <w:rsid w:val="00327CFC"/>
    <w:rsid w:val="0033079D"/>
    <w:rsid w:val="00330CBD"/>
    <w:rsid w:val="00330CC1"/>
    <w:rsid w:val="00330DE1"/>
    <w:rsid w:val="00330F72"/>
    <w:rsid w:val="003317F6"/>
    <w:rsid w:val="0033183C"/>
    <w:rsid w:val="00331D14"/>
    <w:rsid w:val="00331EAB"/>
    <w:rsid w:val="0033298B"/>
    <w:rsid w:val="00332A75"/>
    <w:rsid w:val="00332B03"/>
    <w:rsid w:val="00333030"/>
    <w:rsid w:val="003337CB"/>
    <w:rsid w:val="003338E4"/>
    <w:rsid w:val="00333A00"/>
    <w:rsid w:val="00333E70"/>
    <w:rsid w:val="00334D0B"/>
    <w:rsid w:val="00334D60"/>
    <w:rsid w:val="0033504B"/>
    <w:rsid w:val="00335068"/>
    <w:rsid w:val="003350FE"/>
    <w:rsid w:val="00335585"/>
    <w:rsid w:val="00335FA8"/>
    <w:rsid w:val="00335FE0"/>
    <w:rsid w:val="003366A2"/>
    <w:rsid w:val="00336BEA"/>
    <w:rsid w:val="00336F39"/>
    <w:rsid w:val="003370B3"/>
    <w:rsid w:val="003371A7"/>
    <w:rsid w:val="003373B0"/>
    <w:rsid w:val="0033749B"/>
    <w:rsid w:val="00337B34"/>
    <w:rsid w:val="00337DED"/>
    <w:rsid w:val="00337F48"/>
    <w:rsid w:val="00340704"/>
    <w:rsid w:val="003407AA"/>
    <w:rsid w:val="003408D3"/>
    <w:rsid w:val="00340F86"/>
    <w:rsid w:val="00341A17"/>
    <w:rsid w:val="00341C80"/>
    <w:rsid w:val="00341DE8"/>
    <w:rsid w:val="00342145"/>
    <w:rsid w:val="0034254A"/>
    <w:rsid w:val="003431C1"/>
    <w:rsid w:val="00343ADC"/>
    <w:rsid w:val="0034401A"/>
    <w:rsid w:val="00344C32"/>
    <w:rsid w:val="00344C69"/>
    <w:rsid w:val="00345AAA"/>
    <w:rsid w:val="0034682C"/>
    <w:rsid w:val="00347642"/>
    <w:rsid w:val="00347C7E"/>
    <w:rsid w:val="00347C97"/>
    <w:rsid w:val="0035013C"/>
    <w:rsid w:val="003509E1"/>
    <w:rsid w:val="003515C6"/>
    <w:rsid w:val="0035173D"/>
    <w:rsid w:val="003518BA"/>
    <w:rsid w:val="00351B20"/>
    <w:rsid w:val="00351E1C"/>
    <w:rsid w:val="003528D9"/>
    <w:rsid w:val="00352B47"/>
    <w:rsid w:val="00352D8F"/>
    <w:rsid w:val="00352FB0"/>
    <w:rsid w:val="0035332D"/>
    <w:rsid w:val="00353393"/>
    <w:rsid w:val="00353B1A"/>
    <w:rsid w:val="00354093"/>
    <w:rsid w:val="00354103"/>
    <w:rsid w:val="00354A60"/>
    <w:rsid w:val="00354EBA"/>
    <w:rsid w:val="00355247"/>
    <w:rsid w:val="003556A7"/>
    <w:rsid w:val="00356764"/>
    <w:rsid w:val="0035685F"/>
    <w:rsid w:val="00357414"/>
    <w:rsid w:val="00357A76"/>
    <w:rsid w:val="00360447"/>
    <w:rsid w:val="00360B3F"/>
    <w:rsid w:val="00360CCE"/>
    <w:rsid w:val="00360DAF"/>
    <w:rsid w:val="00361115"/>
    <w:rsid w:val="00361640"/>
    <w:rsid w:val="00362194"/>
    <w:rsid w:val="0036233E"/>
    <w:rsid w:val="0036266A"/>
    <w:rsid w:val="00362775"/>
    <w:rsid w:val="00362C6C"/>
    <w:rsid w:val="00362FCA"/>
    <w:rsid w:val="003635D5"/>
    <w:rsid w:val="00363F8F"/>
    <w:rsid w:val="0036462C"/>
    <w:rsid w:val="00364764"/>
    <w:rsid w:val="00365120"/>
    <w:rsid w:val="00365232"/>
    <w:rsid w:val="00365676"/>
    <w:rsid w:val="00365857"/>
    <w:rsid w:val="00365D3B"/>
    <w:rsid w:val="00366D0B"/>
    <w:rsid w:val="00367190"/>
    <w:rsid w:val="003703A5"/>
    <w:rsid w:val="003707CF"/>
    <w:rsid w:val="003709C3"/>
    <w:rsid w:val="00370B70"/>
    <w:rsid w:val="00370DB5"/>
    <w:rsid w:val="0037163F"/>
    <w:rsid w:val="00371649"/>
    <w:rsid w:val="003726C3"/>
    <w:rsid w:val="00372782"/>
    <w:rsid w:val="00372B9B"/>
    <w:rsid w:val="00373A97"/>
    <w:rsid w:val="00373C64"/>
    <w:rsid w:val="00373EFD"/>
    <w:rsid w:val="00373F4A"/>
    <w:rsid w:val="0037425E"/>
    <w:rsid w:val="00374689"/>
    <w:rsid w:val="00374A27"/>
    <w:rsid w:val="0037522F"/>
    <w:rsid w:val="00375D9C"/>
    <w:rsid w:val="003760E4"/>
    <w:rsid w:val="00376308"/>
    <w:rsid w:val="0037666D"/>
    <w:rsid w:val="00377220"/>
    <w:rsid w:val="003772D0"/>
    <w:rsid w:val="00377532"/>
    <w:rsid w:val="00377548"/>
    <w:rsid w:val="00377F6A"/>
    <w:rsid w:val="003803E5"/>
    <w:rsid w:val="003807C2"/>
    <w:rsid w:val="0038083D"/>
    <w:rsid w:val="00380982"/>
    <w:rsid w:val="00380ADD"/>
    <w:rsid w:val="003816C7"/>
    <w:rsid w:val="00381D7E"/>
    <w:rsid w:val="0038268F"/>
    <w:rsid w:val="00382AB6"/>
    <w:rsid w:val="00382BAE"/>
    <w:rsid w:val="00383396"/>
    <w:rsid w:val="003833F1"/>
    <w:rsid w:val="00383411"/>
    <w:rsid w:val="00383657"/>
    <w:rsid w:val="00383804"/>
    <w:rsid w:val="00383927"/>
    <w:rsid w:val="00383F80"/>
    <w:rsid w:val="003845D1"/>
    <w:rsid w:val="00384C54"/>
    <w:rsid w:val="00384C7E"/>
    <w:rsid w:val="00384D1F"/>
    <w:rsid w:val="00385016"/>
    <w:rsid w:val="003851F4"/>
    <w:rsid w:val="00385461"/>
    <w:rsid w:val="00385641"/>
    <w:rsid w:val="003864B3"/>
    <w:rsid w:val="0038679A"/>
    <w:rsid w:val="00386A54"/>
    <w:rsid w:val="00386C4F"/>
    <w:rsid w:val="00386E48"/>
    <w:rsid w:val="00387262"/>
    <w:rsid w:val="003879B3"/>
    <w:rsid w:val="00390495"/>
    <w:rsid w:val="00390B55"/>
    <w:rsid w:val="00390D1D"/>
    <w:rsid w:val="003912E9"/>
    <w:rsid w:val="0039137C"/>
    <w:rsid w:val="003923A4"/>
    <w:rsid w:val="003925B3"/>
    <w:rsid w:val="003928EF"/>
    <w:rsid w:val="00392DA0"/>
    <w:rsid w:val="00392DE7"/>
    <w:rsid w:val="00392FA5"/>
    <w:rsid w:val="003935D2"/>
    <w:rsid w:val="003937FB"/>
    <w:rsid w:val="00393AB9"/>
    <w:rsid w:val="00393B26"/>
    <w:rsid w:val="00394288"/>
    <w:rsid w:val="003948CA"/>
    <w:rsid w:val="00394A5F"/>
    <w:rsid w:val="00394E66"/>
    <w:rsid w:val="00395056"/>
    <w:rsid w:val="003953CD"/>
    <w:rsid w:val="003953D5"/>
    <w:rsid w:val="003955F0"/>
    <w:rsid w:val="003956D6"/>
    <w:rsid w:val="00395BDE"/>
    <w:rsid w:val="00396222"/>
    <w:rsid w:val="00396AC0"/>
    <w:rsid w:val="00396BAC"/>
    <w:rsid w:val="003976FD"/>
    <w:rsid w:val="003A058D"/>
    <w:rsid w:val="003A0893"/>
    <w:rsid w:val="003A091D"/>
    <w:rsid w:val="003A1156"/>
    <w:rsid w:val="003A144C"/>
    <w:rsid w:val="003A14A6"/>
    <w:rsid w:val="003A21A2"/>
    <w:rsid w:val="003A2334"/>
    <w:rsid w:val="003A2396"/>
    <w:rsid w:val="003A3403"/>
    <w:rsid w:val="003A3D02"/>
    <w:rsid w:val="003A4205"/>
    <w:rsid w:val="003A5311"/>
    <w:rsid w:val="003A60B9"/>
    <w:rsid w:val="003A648C"/>
    <w:rsid w:val="003A7290"/>
    <w:rsid w:val="003A78BF"/>
    <w:rsid w:val="003A7ACF"/>
    <w:rsid w:val="003A7F2C"/>
    <w:rsid w:val="003B011D"/>
    <w:rsid w:val="003B0C6C"/>
    <w:rsid w:val="003B0E44"/>
    <w:rsid w:val="003B0E50"/>
    <w:rsid w:val="003B1018"/>
    <w:rsid w:val="003B1600"/>
    <w:rsid w:val="003B2168"/>
    <w:rsid w:val="003B2821"/>
    <w:rsid w:val="003B3EB5"/>
    <w:rsid w:val="003B4068"/>
    <w:rsid w:val="003B4780"/>
    <w:rsid w:val="003B493A"/>
    <w:rsid w:val="003B4FA8"/>
    <w:rsid w:val="003B50F1"/>
    <w:rsid w:val="003B5C87"/>
    <w:rsid w:val="003B5CB9"/>
    <w:rsid w:val="003B65AF"/>
    <w:rsid w:val="003B6909"/>
    <w:rsid w:val="003B6B9D"/>
    <w:rsid w:val="003B6C5E"/>
    <w:rsid w:val="003B6F32"/>
    <w:rsid w:val="003B73AB"/>
    <w:rsid w:val="003B74C0"/>
    <w:rsid w:val="003B794D"/>
    <w:rsid w:val="003B7CCA"/>
    <w:rsid w:val="003B7D8F"/>
    <w:rsid w:val="003C00B9"/>
    <w:rsid w:val="003C0232"/>
    <w:rsid w:val="003C07ED"/>
    <w:rsid w:val="003C0A9D"/>
    <w:rsid w:val="003C122E"/>
    <w:rsid w:val="003C137D"/>
    <w:rsid w:val="003C1854"/>
    <w:rsid w:val="003C1A12"/>
    <w:rsid w:val="003C210F"/>
    <w:rsid w:val="003C222E"/>
    <w:rsid w:val="003C26FE"/>
    <w:rsid w:val="003C278F"/>
    <w:rsid w:val="003C29E2"/>
    <w:rsid w:val="003C2B01"/>
    <w:rsid w:val="003C2E80"/>
    <w:rsid w:val="003C4996"/>
    <w:rsid w:val="003C5721"/>
    <w:rsid w:val="003C5D71"/>
    <w:rsid w:val="003C6107"/>
    <w:rsid w:val="003C72AB"/>
    <w:rsid w:val="003C75CE"/>
    <w:rsid w:val="003C781F"/>
    <w:rsid w:val="003C7922"/>
    <w:rsid w:val="003C7C4F"/>
    <w:rsid w:val="003D0310"/>
    <w:rsid w:val="003D08BA"/>
    <w:rsid w:val="003D1160"/>
    <w:rsid w:val="003D2336"/>
    <w:rsid w:val="003D2763"/>
    <w:rsid w:val="003D290D"/>
    <w:rsid w:val="003D2BF3"/>
    <w:rsid w:val="003D3804"/>
    <w:rsid w:val="003D3A67"/>
    <w:rsid w:val="003D3DAB"/>
    <w:rsid w:val="003D4180"/>
    <w:rsid w:val="003D4565"/>
    <w:rsid w:val="003D46C0"/>
    <w:rsid w:val="003D4776"/>
    <w:rsid w:val="003D47C5"/>
    <w:rsid w:val="003D4A48"/>
    <w:rsid w:val="003D4E09"/>
    <w:rsid w:val="003D51D8"/>
    <w:rsid w:val="003D52CF"/>
    <w:rsid w:val="003D647A"/>
    <w:rsid w:val="003D685E"/>
    <w:rsid w:val="003D6BE9"/>
    <w:rsid w:val="003D7847"/>
    <w:rsid w:val="003E043D"/>
    <w:rsid w:val="003E045A"/>
    <w:rsid w:val="003E0A8F"/>
    <w:rsid w:val="003E0B40"/>
    <w:rsid w:val="003E0BE0"/>
    <w:rsid w:val="003E0C8A"/>
    <w:rsid w:val="003E0F2C"/>
    <w:rsid w:val="003E1592"/>
    <w:rsid w:val="003E2267"/>
    <w:rsid w:val="003E2AA6"/>
    <w:rsid w:val="003E2E42"/>
    <w:rsid w:val="003E38E5"/>
    <w:rsid w:val="003E3BB6"/>
    <w:rsid w:val="003E3BFE"/>
    <w:rsid w:val="003E3E68"/>
    <w:rsid w:val="003E40FD"/>
    <w:rsid w:val="003E47DA"/>
    <w:rsid w:val="003E4AD0"/>
    <w:rsid w:val="003E54E0"/>
    <w:rsid w:val="003E5874"/>
    <w:rsid w:val="003E5D39"/>
    <w:rsid w:val="003E67D5"/>
    <w:rsid w:val="003E6D4C"/>
    <w:rsid w:val="003E6F5C"/>
    <w:rsid w:val="003F0256"/>
    <w:rsid w:val="003F0C63"/>
    <w:rsid w:val="003F0C77"/>
    <w:rsid w:val="003F142D"/>
    <w:rsid w:val="003F1E13"/>
    <w:rsid w:val="003F263B"/>
    <w:rsid w:val="003F357A"/>
    <w:rsid w:val="003F3D0B"/>
    <w:rsid w:val="003F3DDB"/>
    <w:rsid w:val="003F40A7"/>
    <w:rsid w:val="003F477C"/>
    <w:rsid w:val="003F47E8"/>
    <w:rsid w:val="003F5060"/>
    <w:rsid w:val="003F573C"/>
    <w:rsid w:val="003F63F8"/>
    <w:rsid w:val="003F661D"/>
    <w:rsid w:val="003F6C75"/>
    <w:rsid w:val="003F6C86"/>
    <w:rsid w:val="003F7E98"/>
    <w:rsid w:val="0040046C"/>
    <w:rsid w:val="0040059E"/>
    <w:rsid w:val="004007DE"/>
    <w:rsid w:val="0040096F"/>
    <w:rsid w:val="00401186"/>
    <w:rsid w:val="004015AC"/>
    <w:rsid w:val="00401D39"/>
    <w:rsid w:val="004020A7"/>
    <w:rsid w:val="004029B1"/>
    <w:rsid w:val="00403032"/>
    <w:rsid w:val="004030FA"/>
    <w:rsid w:val="0040359E"/>
    <w:rsid w:val="00403C60"/>
    <w:rsid w:val="00404277"/>
    <w:rsid w:val="00404405"/>
    <w:rsid w:val="004048D7"/>
    <w:rsid w:val="00404A8A"/>
    <w:rsid w:val="00404EB5"/>
    <w:rsid w:val="00405A02"/>
    <w:rsid w:val="00405A63"/>
    <w:rsid w:val="00405F24"/>
    <w:rsid w:val="004063B3"/>
    <w:rsid w:val="00406617"/>
    <w:rsid w:val="00406686"/>
    <w:rsid w:val="00406E6B"/>
    <w:rsid w:val="00407349"/>
    <w:rsid w:val="004079D8"/>
    <w:rsid w:val="00410085"/>
    <w:rsid w:val="004104CD"/>
    <w:rsid w:val="004108BB"/>
    <w:rsid w:val="00410C89"/>
    <w:rsid w:val="00410D0B"/>
    <w:rsid w:val="00410E1B"/>
    <w:rsid w:val="004114E8"/>
    <w:rsid w:val="00411558"/>
    <w:rsid w:val="00411A97"/>
    <w:rsid w:val="00411CBD"/>
    <w:rsid w:val="00411E72"/>
    <w:rsid w:val="00411FFE"/>
    <w:rsid w:val="00412085"/>
    <w:rsid w:val="004127A6"/>
    <w:rsid w:val="004130E6"/>
    <w:rsid w:val="00413460"/>
    <w:rsid w:val="00413730"/>
    <w:rsid w:val="004138E2"/>
    <w:rsid w:val="00413D27"/>
    <w:rsid w:val="004148DA"/>
    <w:rsid w:val="00414A23"/>
    <w:rsid w:val="00414ABC"/>
    <w:rsid w:val="00414C45"/>
    <w:rsid w:val="00414D89"/>
    <w:rsid w:val="004154E6"/>
    <w:rsid w:val="00415879"/>
    <w:rsid w:val="004164E4"/>
    <w:rsid w:val="00416CDB"/>
    <w:rsid w:val="00416DF2"/>
    <w:rsid w:val="00417674"/>
    <w:rsid w:val="00417B19"/>
    <w:rsid w:val="00420013"/>
    <w:rsid w:val="0042037F"/>
    <w:rsid w:val="00420DFF"/>
    <w:rsid w:val="004210E8"/>
    <w:rsid w:val="004220E5"/>
    <w:rsid w:val="004227FA"/>
    <w:rsid w:val="0042297C"/>
    <w:rsid w:val="00422DD4"/>
    <w:rsid w:val="00422F6E"/>
    <w:rsid w:val="0042342D"/>
    <w:rsid w:val="004234E1"/>
    <w:rsid w:val="004236AC"/>
    <w:rsid w:val="00423726"/>
    <w:rsid w:val="00423B46"/>
    <w:rsid w:val="00423EF9"/>
    <w:rsid w:val="00423F1B"/>
    <w:rsid w:val="00424306"/>
    <w:rsid w:val="004243B4"/>
    <w:rsid w:val="00424654"/>
    <w:rsid w:val="00424832"/>
    <w:rsid w:val="00424833"/>
    <w:rsid w:val="00424DD0"/>
    <w:rsid w:val="004250DD"/>
    <w:rsid w:val="0042523C"/>
    <w:rsid w:val="00425838"/>
    <w:rsid w:val="004258D6"/>
    <w:rsid w:val="004259DA"/>
    <w:rsid w:val="00425FBE"/>
    <w:rsid w:val="004261B1"/>
    <w:rsid w:val="00426272"/>
    <w:rsid w:val="00426819"/>
    <w:rsid w:val="00426D0B"/>
    <w:rsid w:val="004271AF"/>
    <w:rsid w:val="00427AC1"/>
    <w:rsid w:val="00427C08"/>
    <w:rsid w:val="00427F02"/>
    <w:rsid w:val="00430819"/>
    <w:rsid w:val="00431723"/>
    <w:rsid w:val="00431C43"/>
    <w:rsid w:val="00431C4A"/>
    <w:rsid w:val="00431E17"/>
    <w:rsid w:val="00432807"/>
    <w:rsid w:val="0043295E"/>
    <w:rsid w:val="00432C05"/>
    <w:rsid w:val="00432EEE"/>
    <w:rsid w:val="004331BF"/>
    <w:rsid w:val="00433209"/>
    <w:rsid w:val="00433541"/>
    <w:rsid w:val="00433637"/>
    <w:rsid w:val="0043394F"/>
    <w:rsid w:val="00433D0A"/>
    <w:rsid w:val="00433D3F"/>
    <w:rsid w:val="00433EB1"/>
    <w:rsid w:val="00433F27"/>
    <w:rsid w:val="00434062"/>
    <w:rsid w:val="00434531"/>
    <w:rsid w:val="00434762"/>
    <w:rsid w:val="004359AA"/>
    <w:rsid w:val="00436486"/>
    <w:rsid w:val="00436533"/>
    <w:rsid w:val="00436721"/>
    <w:rsid w:val="00436727"/>
    <w:rsid w:val="00436A0C"/>
    <w:rsid w:val="00436B41"/>
    <w:rsid w:val="00436B6A"/>
    <w:rsid w:val="00436E6E"/>
    <w:rsid w:val="004378F9"/>
    <w:rsid w:val="00437C1A"/>
    <w:rsid w:val="00437CF6"/>
    <w:rsid w:val="00437D20"/>
    <w:rsid w:val="004407EF"/>
    <w:rsid w:val="00440938"/>
    <w:rsid w:val="00440F7D"/>
    <w:rsid w:val="00441BA1"/>
    <w:rsid w:val="00441E2E"/>
    <w:rsid w:val="004423CF"/>
    <w:rsid w:val="004423FC"/>
    <w:rsid w:val="00442B1E"/>
    <w:rsid w:val="00442D61"/>
    <w:rsid w:val="00442DD3"/>
    <w:rsid w:val="00443148"/>
    <w:rsid w:val="004431DA"/>
    <w:rsid w:val="00443DD6"/>
    <w:rsid w:val="00443E3B"/>
    <w:rsid w:val="004440FB"/>
    <w:rsid w:val="0044425F"/>
    <w:rsid w:val="0044464B"/>
    <w:rsid w:val="004446BB"/>
    <w:rsid w:val="00445409"/>
    <w:rsid w:val="00445D0D"/>
    <w:rsid w:val="00446AD5"/>
    <w:rsid w:val="00446AE7"/>
    <w:rsid w:val="00447A17"/>
    <w:rsid w:val="00450C73"/>
    <w:rsid w:val="00450CEE"/>
    <w:rsid w:val="00450E0A"/>
    <w:rsid w:val="00450FC4"/>
    <w:rsid w:val="00451B03"/>
    <w:rsid w:val="00452867"/>
    <w:rsid w:val="00453202"/>
    <w:rsid w:val="00453A6B"/>
    <w:rsid w:val="00454105"/>
    <w:rsid w:val="004545E7"/>
    <w:rsid w:val="004548F9"/>
    <w:rsid w:val="00454C98"/>
    <w:rsid w:val="00454CFC"/>
    <w:rsid w:val="00454D27"/>
    <w:rsid w:val="00454DD6"/>
    <w:rsid w:val="00455608"/>
    <w:rsid w:val="00456478"/>
    <w:rsid w:val="004564D9"/>
    <w:rsid w:val="0045657C"/>
    <w:rsid w:val="00457701"/>
    <w:rsid w:val="0045773F"/>
    <w:rsid w:val="00457E4D"/>
    <w:rsid w:val="004605B4"/>
    <w:rsid w:val="0046115D"/>
    <w:rsid w:val="00461366"/>
    <w:rsid w:val="0046174A"/>
    <w:rsid w:val="00461841"/>
    <w:rsid w:val="0046193F"/>
    <w:rsid w:val="00461E82"/>
    <w:rsid w:val="00461FA7"/>
    <w:rsid w:val="004621B5"/>
    <w:rsid w:val="0046284C"/>
    <w:rsid w:val="00462BCF"/>
    <w:rsid w:val="00462C79"/>
    <w:rsid w:val="00462E45"/>
    <w:rsid w:val="00462EC8"/>
    <w:rsid w:val="00463185"/>
    <w:rsid w:val="004632D0"/>
    <w:rsid w:val="00463341"/>
    <w:rsid w:val="00463777"/>
    <w:rsid w:val="00463AE7"/>
    <w:rsid w:val="00464BDF"/>
    <w:rsid w:val="00464FD5"/>
    <w:rsid w:val="00465008"/>
    <w:rsid w:val="0046500D"/>
    <w:rsid w:val="00465A8B"/>
    <w:rsid w:val="00465D5A"/>
    <w:rsid w:val="004663A0"/>
    <w:rsid w:val="00466845"/>
    <w:rsid w:val="004668CD"/>
    <w:rsid w:val="00466974"/>
    <w:rsid w:val="00466B72"/>
    <w:rsid w:val="004672E8"/>
    <w:rsid w:val="004675AE"/>
    <w:rsid w:val="00467912"/>
    <w:rsid w:val="00467A81"/>
    <w:rsid w:val="004702DA"/>
    <w:rsid w:val="00470507"/>
    <w:rsid w:val="004705F9"/>
    <w:rsid w:val="00470868"/>
    <w:rsid w:val="00470BD0"/>
    <w:rsid w:val="00470C39"/>
    <w:rsid w:val="00470FB2"/>
    <w:rsid w:val="00470FCA"/>
    <w:rsid w:val="0047199A"/>
    <w:rsid w:val="004726EE"/>
    <w:rsid w:val="004726FB"/>
    <w:rsid w:val="004727F6"/>
    <w:rsid w:val="00472F2D"/>
    <w:rsid w:val="004731CA"/>
    <w:rsid w:val="004737A7"/>
    <w:rsid w:val="00474048"/>
    <w:rsid w:val="00474273"/>
    <w:rsid w:val="00474497"/>
    <w:rsid w:val="004744CB"/>
    <w:rsid w:val="00474BD1"/>
    <w:rsid w:val="00475043"/>
    <w:rsid w:val="00475060"/>
    <w:rsid w:val="00475295"/>
    <w:rsid w:val="00475E36"/>
    <w:rsid w:val="00476DB4"/>
    <w:rsid w:val="00477103"/>
    <w:rsid w:val="004777F6"/>
    <w:rsid w:val="00477A93"/>
    <w:rsid w:val="00477FA0"/>
    <w:rsid w:val="00480270"/>
    <w:rsid w:val="00480A63"/>
    <w:rsid w:val="00480B89"/>
    <w:rsid w:val="00481107"/>
    <w:rsid w:val="00481468"/>
    <w:rsid w:val="004817A8"/>
    <w:rsid w:val="00481926"/>
    <w:rsid w:val="00481B96"/>
    <w:rsid w:val="00482026"/>
    <w:rsid w:val="0048204B"/>
    <w:rsid w:val="00482519"/>
    <w:rsid w:val="004827D3"/>
    <w:rsid w:val="0048367F"/>
    <w:rsid w:val="004837D5"/>
    <w:rsid w:val="00483D24"/>
    <w:rsid w:val="00483D43"/>
    <w:rsid w:val="00484FEC"/>
    <w:rsid w:val="0048592A"/>
    <w:rsid w:val="00485C2D"/>
    <w:rsid w:val="00485E9E"/>
    <w:rsid w:val="00485FFC"/>
    <w:rsid w:val="00486476"/>
    <w:rsid w:val="00486DFB"/>
    <w:rsid w:val="00487A2B"/>
    <w:rsid w:val="00487AD4"/>
    <w:rsid w:val="004901EE"/>
    <w:rsid w:val="00490307"/>
    <w:rsid w:val="00490A38"/>
    <w:rsid w:val="004913C3"/>
    <w:rsid w:val="00492022"/>
    <w:rsid w:val="004925DC"/>
    <w:rsid w:val="00492B1E"/>
    <w:rsid w:val="00493174"/>
    <w:rsid w:val="00493CFD"/>
    <w:rsid w:val="00493F53"/>
    <w:rsid w:val="004941ED"/>
    <w:rsid w:val="004941F3"/>
    <w:rsid w:val="00494280"/>
    <w:rsid w:val="00494540"/>
    <w:rsid w:val="0049525F"/>
    <w:rsid w:val="0049596C"/>
    <w:rsid w:val="00495EB1"/>
    <w:rsid w:val="00496457"/>
    <w:rsid w:val="004964F4"/>
    <w:rsid w:val="0049668A"/>
    <w:rsid w:val="00496775"/>
    <w:rsid w:val="004967CB"/>
    <w:rsid w:val="004A02DD"/>
    <w:rsid w:val="004A07FC"/>
    <w:rsid w:val="004A09CD"/>
    <w:rsid w:val="004A0CA7"/>
    <w:rsid w:val="004A0EF3"/>
    <w:rsid w:val="004A125E"/>
    <w:rsid w:val="004A13B1"/>
    <w:rsid w:val="004A1BA9"/>
    <w:rsid w:val="004A1E13"/>
    <w:rsid w:val="004A1E67"/>
    <w:rsid w:val="004A212C"/>
    <w:rsid w:val="004A2235"/>
    <w:rsid w:val="004A2A56"/>
    <w:rsid w:val="004A2B4F"/>
    <w:rsid w:val="004A308C"/>
    <w:rsid w:val="004A3636"/>
    <w:rsid w:val="004A369D"/>
    <w:rsid w:val="004A4D4D"/>
    <w:rsid w:val="004A6111"/>
    <w:rsid w:val="004A6119"/>
    <w:rsid w:val="004A6E42"/>
    <w:rsid w:val="004A7070"/>
    <w:rsid w:val="004A7BAB"/>
    <w:rsid w:val="004B0258"/>
    <w:rsid w:val="004B1D01"/>
    <w:rsid w:val="004B1E04"/>
    <w:rsid w:val="004B2305"/>
    <w:rsid w:val="004B3725"/>
    <w:rsid w:val="004B3DB4"/>
    <w:rsid w:val="004B4526"/>
    <w:rsid w:val="004B53B9"/>
    <w:rsid w:val="004B548D"/>
    <w:rsid w:val="004B54E9"/>
    <w:rsid w:val="004B5676"/>
    <w:rsid w:val="004B5C18"/>
    <w:rsid w:val="004B6121"/>
    <w:rsid w:val="004B6AFE"/>
    <w:rsid w:val="004B7C64"/>
    <w:rsid w:val="004C025E"/>
    <w:rsid w:val="004C02A1"/>
    <w:rsid w:val="004C04E7"/>
    <w:rsid w:val="004C0973"/>
    <w:rsid w:val="004C1334"/>
    <w:rsid w:val="004C15A7"/>
    <w:rsid w:val="004C2B5B"/>
    <w:rsid w:val="004C31D6"/>
    <w:rsid w:val="004C3832"/>
    <w:rsid w:val="004C3A72"/>
    <w:rsid w:val="004C497F"/>
    <w:rsid w:val="004C4A36"/>
    <w:rsid w:val="004C582D"/>
    <w:rsid w:val="004C597B"/>
    <w:rsid w:val="004C5A39"/>
    <w:rsid w:val="004C5EA2"/>
    <w:rsid w:val="004C653A"/>
    <w:rsid w:val="004C73FD"/>
    <w:rsid w:val="004C7630"/>
    <w:rsid w:val="004C775B"/>
    <w:rsid w:val="004D02F5"/>
    <w:rsid w:val="004D035B"/>
    <w:rsid w:val="004D0362"/>
    <w:rsid w:val="004D07B0"/>
    <w:rsid w:val="004D0B57"/>
    <w:rsid w:val="004D0D7B"/>
    <w:rsid w:val="004D0E18"/>
    <w:rsid w:val="004D136F"/>
    <w:rsid w:val="004D1814"/>
    <w:rsid w:val="004D195D"/>
    <w:rsid w:val="004D1AB9"/>
    <w:rsid w:val="004D1CC5"/>
    <w:rsid w:val="004D1CDB"/>
    <w:rsid w:val="004D1EDC"/>
    <w:rsid w:val="004D2247"/>
    <w:rsid w:val="004D273F"/>
    <w:rsid w:val="004D2DF1"/>
    <w:rsid w:val="004D3425"/>
    <w:rsid w:val="004D366B"/>
    <w:rsid w:val="004D39B2"/>
    <w:rsid w:val="004D41BB"/>
    <w:rsid w:val="004D4598"/>
    <w:rsid w:val="004D4F9C"/>
    <w:rsid w:val="004D5304"/>
    <w:rsid w:val="004D5426"/>
    <w:rsid w:val="004D579C"/>
    <w:rsid w:val="004D6B5D"/>
    <w:rsid w:val="004D7051"/>
    <w:rsid w:val="004D75D3"/>
    <w:rsid w:val="004D768B"/>
    <w:rsid w:val="004D7F45"/>
    <w:rsid w:val="004E017E"/>
    <w:rsid w:val="004E117E"/>
    <w:rsid w:val="004E1471"/>
    <w:rsid w:val="004E157C"/>
    <w:rsid w:val="004E1605"/>
    <w:rsid w:val="004E16B6"/>
    <w:rsid w:val="004E185A"/>
    <w:rsid w:val="004E1C8E"/>
    <w:rsid w:val="004E256C"/>
    <w:rsid w:val="004E33A2"/>
    <w:rsid w:val="004E393A"/>
    <w:rsid w:val="004E4460"/>
    <w:rsid w:val="004E5437"/>
    <w:rsid w:val="004E58DA"/>
    <w:rsid w:val="004E64DC"/>
    <w:rsid w:val="004E65E8"/>
    <w:rsid w:val="004E6999"/>
    <w:rsid w:val="004E793A"/>
    <w:rsid w:val="004E7969"/>
    <w:rsid w:val="004E7D5A"/>
    <w:rsid w:val="004E7D8A"/>
    <w:rsid w:val="004F0644"/>
    <w:rsid w:val="004F0AC2"/>
    <w:rsid w:val="004F0E2F"/>
    <w:rsid w:val="004F0FFB"/>
    <w:rsid w:val="004F13D6"/>
    <w:rsid w:val="004F1944"/>
    <w:rsid w:val="004F21CB"/>
    <w:rsid w:val="004F3015"/>
    <w:rsid w:val="004F30BB"/>
    <w:rsid w:val="004F35B3"/>
    <w:rsid w:val="004F3E10"/>
    <w:rsid w:val="004F4127"/>
    <w:rsid w:val="004F4191"/>
    <w:rsid w:val="004F4B88"/>
    <w:rsid w:val="004F4DA9"/>
    <w:rsid w:val="004F55AE"/>
    <w:rsid w:val="004F5AB4"/>
    <w:rsid w:val="004F64E2"/>
    <w:rsid w:val="004F6F30"/>
    <w:rsid w:val="004F7D8A"/>
    <w:rsid w:val="004F7EA0"/>
    <w:rsid w:val="004F7F08"/>
    <w:rsid w:val="005004B6"/>
    <w:rsid w:val="00500917"/>
    <w:rsid w:val="0050117E"/>
    <w:rsid w:val="00501599"/>
    <w:rsid w:val="00501CCF"/>
    <w:rsid w:val="005024A1"/>
    <w:rsid w:val="00503825"/>
    <w:rsid w:val="00504205"/>
    <w:rsid w:val="00504DBB"/>
    <w:rsid w:val="00504EA2"/>
    <w:rsid w:val="00504FD3"/>
    <w:rsid w:val="005054E0"/>
    <w:rsid w:val="005066D6"/>
    <w:rsid w:val="00506773"/>
    <w:rsid w:val="00506835"/>
    <w:rsid w:val="00506BA6"/>
    <w:rsid w:val="00506BE7"/>
    <w:rsid w:val="00506C54"/>
    <w:rsid w:val="00506D99"/>
    <w:rsid w:val="0050728B"/>
    <w:rsid w:val="00507391"/>
    <w:rsid w:val="005074EA"/>
    <w:rsid w:val="0050765B"/>
    <w:rsid w:val="005077C5"/>
    <w:rsid w:val="005079CE"/>
    <w:rsid w:val="00507AD3"/>
    <w:rsid w:val="00510430"/>
    <w:rsid w:val="00510606"/>
    <w:rsid w:val="00510B2D"/>
    <w:rsid w:val="005111C0"/>
    <w:rsid w:val="0051191E"/>
    <w:rsid w:val="0051313B"/>
    <w:rsid w:val="00513201"/>
    <w:rsid w:val="0051323D"/>
    <w:rsid w:val="005139C3"/>
    <w:rsid w:val="00513F9F"/>
    <w:rsid w:val="005140EB"/>
    <w:rsid w:val="005143E6"/>
    <w:rsid w:val="00514A89"/>
    <w:rsid w:val="00514C0C"/>
    <w:rsid w:val="00514C7C"/>
    <w:rsid w:val="00515137"/>
    <w:rsid w:val="005158C4"/>
    <w:rsid w:val="00515D1F"/>
    <w:rsid w:val="0051603B"/>
    <w:rsid w:val="005162A1"/>
    <w:rsid w:val="005167DF"/>
    <w:rsid w:val="00516900"/>
    <w:rsid w:val="005177B2"/>
    <w:rsid w:val="005202A2"/>
    <w:rsid w:val="0052054E"/>
    <w:rsid w:val="0052056F"/>
    <w:rsid w:val="0052084A"/>
    <w:rsid w:val="00520AD9"/>
    <w:rsid w:val="00520B30"/>
    <w:rsid w:val="00520FAF"/>
    <w:rsid w:val="00521168"/>
    <w:rsid w:val="005216D9"/>
    <w:rsid w:val="005217EA"/>
    <w:rsid w:val="00522A01"/>
    <w:rsid w:val="005230E6"/>
    <w:rsid w:val="00523208"/>
    <w:rsid w:val="005237C2"/>
    <w:rsid w:val="00523920"/>
    <w:rsid w:val="00523CE6"/>
    <w:rsid w:val="00524460"/>
    <w:rsid w:val="0052462B"/>
    <w:rsid w:val="00524A35"/>
    <w:rsid w:val="00524C29"/>
    <w:rsid w:val="0052544C"/>
    <w:rsid w:val="00525731"/>
    <w:rsid w:val="005266A2"/>
    <w:rsid w:val="00526ECB"/>
    <w:rsid w:val="005278AA"/>
    <w:rsid w:val="00527C06"/>
    <w:rsid w:val="005303B0"/>
    <w:rsid w:val="0053074F"/>
    <w:rsid w:val="005308EC"/>
    <w:rsid w:val="00530AD9"/>
    <w:rsid w:val="00530E28"/>
    <w:rsid w:val="0053321B"/>
    <w:rsid w:val="005334CA"/>
    <w:rsid w:val="00533F21"/>
    <w:rsid w:val="00534461"/>
    <w:rsid w:val="0053472B"/>
    <w:rsid w:val="005351ED"/>
    <w:rsid w:val="00535C85"/>
    <w:rsid w:val="00536F00"/>
    <w:rsid w:val="0053736A"/>
    <w:rsid w:val="005379FE"/>
    <w:rsid w:val="00537B64"/>
    <w:rsid w:val="00537D6D"/>
    <w:rsid w:val="00537FFB"/>
    <w:rsid w:val="005400BD"/>
    <w:rsid w:val="00541425"/>
    <w:rsid w:val="00541671"/>
    <w:rsid w:val="00541777"/>
    <w:rsid w:val="00541A38"/>
    <w:rsid w:val="00541EC1"/>
    <w:rsid w:val="00542241"/>
    <w:rsid w:val="005427CF"/>
    <w:rsid w:val="00542869"/>
    <w:rsid w:val="00542D66"/>
    <w:rsid w:val="00542E78"/>
    <w:rsid w:val="0054319A"/>
    <w:rsid w:val="005431E5"/>
    <w:rsid w:val="005436DD"/>
    <w:rsid w:val="00543787"/>
    <w:rsid w:val="00543799"/>
    <w:rsid w:val="00543934"/>
    <w:rsid w:val="00543A77"/>
    <w:rsid w:val="00543E52"/>
    <w:rsid w:val="00543E67"/>
    <w:rsid w:val="00543F8E"/>
    <w:rsid w:val="00544B64"/>
    <w:rsid w:val="00544F21"/>
    <w:rsid w:val="00545805"/>
    <w:rsid w:val="005459A2"/>
    <w:rsid w:val="00546895"/>
    <w:rsid w:val="005469EB"/>
    <w:rsid w:val="005469F9"/>
    <w:rsid w:val="00546A6B"/>
    <w:rsid w:val="00546CF0"/>
    <w:rsid w:val="005473DD"/>
    <w:rsid w:val="0054798B"/>
    <w:rsid w:val="005502B0"/>
    <w:rsid w:val="005502BB"/>
    <w:rsid w:val="0055070D"/>
    <w:rsid w:val="00550C7A"/>
    <w:rsid w:val="00550E70"/>
    <w:rsid w:val="00551202"/>
    <w:rsid w:val="005517B7"/>
    <w:rsid w:val="00551DC6"/>
    <w:rsid w:val="005523A1"/>
    <w:rsid w:val="00552451"/>
    <w:rsid w:val="00552A75"/>
    <w:rsid w:val="005530A1"/>
    <w:rsid w:val="005531DA"/>
    <w:rsid w:val="00553572"/>
    <w:rsid w:val="005535CD"/>
    <w:rsid w:val="0055372B"/>
    <w:rsid w:val="00553782"/>
    <w:rsid w:val="00553B9E"/>
    <w:rsid w:val="00553F8A"/>
    <w:rsid w:val="00555E0E"/>
    <w:rsid w:val="0055625B"/>
    <w:rsid w:val="00556308"/>
    <w:rsid w:val="00556E20"/>
    <w:rsid w:val="00557199"/>
    <w:rsid w:val="00557A8E"/>
    <w:rsid w:val="00560655"/>
    <w:rsid w:val="0056140A"/>
    <w:rsid w:val="0056164E"/>
    <w:rsid w:val="00561702"/>
    <w:rsid w:val="00562514"/>
    <w:rsid w:val="00562F55"/>
    <w:rsid w:val="00563228"/>
    <w:rsid w:val="0056481E"/>
    <w:rsid w:val="00564B28"/>
    <w:rsid w:val="00564BD3"/>
    <w:rsid w:val="0056507E"/>
    <w:rsid w:val="0056563B"/>
    <w:rsid w:val="00565680"/>
    <w:rsid w:val="00565903"/>
    <w:rsid w:val="005659D0"/>
    <w:rsid w:val="00565C5D"/>
    <w:rsid w:val="00565C7B"/>
    <w:rsid w:val="00565E2A"/>
    <w:rsid w:val="005663FD"/>
    <w:rsid w:val="005670E3"/>
    <w:rsid w:val="0056742A"/>
    <w:rsid w:val="00567459"/>
    <w:rsid w:val="005676BB"/>
    <w:rsid w:val="005679F7"/>
    <w:rsid w:val="00567A7C"/>
    <w:rsid w:val="00567F98"/>
    <w:rsid w:val="0057055C"/>
    <w:rsid w:val="00570678"/>
    <w:rsid w:val="00570993"/>
    <w:rsid w:val="00570C9A"/>
    <w:rsid w:val="005723EC"/>
    <w:rsid w:val="00572439"/>
    <w:rsid w:val="00572854"/>
    <w:rsid w:val="005729E9"/>
    <w:rsid w:val="00573328"/>
    <w:rsid w:val="00573753"/>
    <w:rsid w:val="00573F33"/>
    <w:rsid w:val="00574090"/>
    <w:rsid w:val="0057457E"/>
    <w:rsid w:val="00574FFD"/>
    <w:rsid w:val="005752C4"/>
    <w:rsid w:val="00575409"/>
    <w:rsid w:val="00575482"/>
    <w:rsid w:val="0057549E"/>
    <w:rsid w:val="005755E3"/>
    <w:rsid w:val="00575F3D"/>
    <w:rsid w:val="005761C1"/>
    <w:rsid w:val="005761CB"/>
    <w:rsid w:val="00577086"/>
    <w:rsid w:val="00577300"/>
    <w:rsid w:val="00577450"/>
    <w:rsid w:val="005779A7"/>
    <w:rsid w:val="00577FDE"/>
    <w:rsid w:val="00577FFE"/>
    <w:rsid w:val="005801DF"/>
    <w:rsid w:val="00580237"/>
    <w:rsid w:val="00580662"/>
    <w:rsid w:val="005807C1"/>
    <w:rsid w:val="005808AE"/>
    <w:rsid w:val="00580C8B"/>
    <w:rsid w:val="00581126"/>
    <w:rsid w:val="00581382"/>
    <w:rsid w:val="00581673"/>
    <w:rsid w:val="005818A7"/>
    <w:rsid w:val="00581B5A"/>
    <w:rsid w:val="00581C90"/>
    <w:rsid w:val="00581DBA"/>
    <w:rsid w:val="005822B9"/>
    <w:rsid w:val="00582354"/>
    <w:rsid w:val="005824F5"/>
    <w:rsid w:val="00582BEC"/>
    <w:rsid w:val="00582D72"/>
    <w:rsid w:val="0058320D"/>
    <w:rsid w:val="00583718"/>
    <w:rsid w:val="00583915"/>
    <w:rsid w:val="00583A37"/>
    <w:rsid w:val="00583A4C"/>
    <w:rsid w:val="00583B5D"/>
    <w:rsid w:val="00584B49"/>
    <w:rsid w:val="00584C1F"/>
    <w:rsid w:val="00585233"/>
    <w:rsid w:val="005856C4"/>
    <w:rsid w:val="005859E2"/>
    <w:rsid w:val="00585A07"/>
    <w:rsid w:val="005860CA"/>
    <w:rsid w:val="00586A32"/>
    <w:rsid w:val="00587606"/>
    <w:rsid w:val="00587D8B"/>
    <w:rsid w:val="00590762"/>
    <w:rsid w:val="00590DDF"/>
    <w:rsid w:val="00591028"/>
    <w:rsid w:val="005910D0"/>
    <w:rsid w:val="0059174B"/>
    <w:rsid w:val="00592003"/>
    <w:rsid w:val="00592283"/>
    <w:rsid w:val="00592AFC"/>
    <w:rsid w:val="00592E00"/>
    <w:rsid w:val="00593670"/>
    <w:rsid w:val="005938F8"/>
    <w:rsid w:val="00593CD0"/>
    <w:rsid w:val="00593CE8"/>
    <w:rsid w:val="00593D98"/>
    <w:rsid w:val="00594069"/>
    <w:rsid w:val="00594240"/>
    <w:rsid w:val="00594EEA"/>
    <w:rsid w:val="0059513B"/>
    <w:rsid w:val="005952E7"/>
    <w:rsid w:val="00595323"/>
    <w:rsid w:val="00595507"/>
    <w:rsid w:val="00595C27"/>
    <w:rsid w:val="00595D92"/>
    <w:rsid w:val="00596657"/>
    <w:rsid w:val="00596985"/>
    <w:rsid w:val="00597148"/>
    <w:rsid w:val="00597337"/>
    <w:rsid w:val="005976F4"/>
    <w:rsid w:val="00597728"/>
    <w:rsid w:val="005A0314"/>
    <w:rsid w:val="005A07D4"/>
    <w:rsid w:val="005A0DD4"/>
    <w:rsid w:val="005A1551"/>
    <w:rsid w:val="005A17C2"/>
    <w:rsid w:val="005A1909"/>
    <w:rsid w:val="005A1997"/>
    <w:rsid w:val="005A1F58"/>
    <w:rsid w:val="005A228C"/>
    <w:rsid w:val="005A242E"/>
    <w:rsid w:val="005A26B8"/>
    <w:rsid w:val="005A2981"/>
    <w:rsid w:val="005A2D87"/>
    <w:rsid w:val="005A368E"/>
    <w:rsid w:val="005A38B3"/>
    <w:rsid w:val="005A38FF"/>
    <w:rsid w:val="005A3AF8"/>
    <w:rsid w:val="005A3C28"/>
    <w:rsid w:val="005A43FF"/>
    <w:rsid w:val="005A48BE"/>
    <w:rsid w:val="005A4D88"/>
    <w:rsid w:val="005A5231"/>
    <w:rsid w:val="005A54DA"/>
    <w:rsid w:val="005A5520"/>
    <w:rsid w:val="005A5D60"/>
    <w:rsid w:val="005A5F42"/>
    <w:rsid w:val="005A6280"/>
    <w:rsid w:val="005A64EC"/>
    <w:rsid w:val="005A6B5C"/>
    <w:rsid w:val="005A7073"/>
    <w:rsid w:val="005A7C37"/>
    <w:rsid w:val="005B03BD"/>
    <w:rsid w:val="005B132D"/>
    <w:rsid w:val="005B16BC"/>
    <w:rsid w:val="005B17D6"/>
    <w:rsid w:val="005B180C"/>
    <w:rsid w:val="005B1B01"/>
    <w:rsid w:val="005B1ECD"/>
    <w:rsid w:val="005B2681"/>
    <w:rsid w:val="005B2765"/>
    <w:rsid w:val="005B28C1"/>
    <w:rsid w:val="005B2A83"/>
    <w:rsid w:val="005B2AE9"/>
    <w:rsid w:val="005B32BE"/>
    <w:rsid w:val="005B42D7"/>
    <w:rsid w:val="005B43FA"/>
    <w:rsid w:val="005B4755"/>
    <w:rsid w:val="005B48CC"/>
    <w:rsid w:val="005B4A1D"/>
    <w:rsid w:val="005B4EC1"/>
    <w:rsid w:val="005B507B"/>
    <w:rsid w:val="005B52BA"/>
    <w:rsid w:val="005B52E9"/>
    <w:rsid w:val="005B5492"/>
    <w:rsid w:val="005B5920"/>
    <w:rsid w:val="005B5BD4"/>
    <w:rsid w:val="005B63DF"/>
    <w:rsid w:val="005B6955"/>
    <w:rsid w:val="005B6C37"/>
    <w:rsid w:val="005B7249"/>
    <w:rsid w:val="005B765C"/>
    <w:rsid w:val="005B7A2A"/>
    <w:rsid w:val="005C025F"/>
    <w:rsid w:val="005C06CB"/>
    <w:rsid w:val="005C06D6"/>
    <w:rsid w:val="005C07BA"/>
    <w:rsid w:val="005C091E"/>
    <w:rsid w:val="005C0A2F"/>
    <w:rsid w:val="005C0C64"/>
    <w:rsid w:val="005C0DF1"/>
    <w:rsid w:val="005C152B"/>
    <w:rsid w:val="005C1D4B"/>
    <w:rsid w:val="005C2B6E"/>
    <w:rsid w:val="005C3811"/>
    <w:rsid w:val="005C3A0A"/>
    <w:rsid w:val="005C3AB5"/>
    <w:rsid w:val="005C426B"/>
    <w:rsid w:val="005C44ED"/>
    <w:rsid w:val="005C4A30"/>
    <w:rsid w:val="005C4BAC"/>
    <w:rsid w:val="005C4C94"/>
    <w:rsid w:val="005C4CB7"/>
    <w:rsid w:val="005C4F4B"/>
    <w:rsid w:val="005C4F7F"/>
    <w:rsid w:val="005C50B8"/>
    <w:rsid w:val="005C51EB"/>
    <w:rsid w:val="005C5293"/>
    <w:rsid w:val="005C5402"/>
    <w:rsid w:val="005C5DC4"/>
    <w:rsid w:val="005C5E4B"/>
    <w:rsid w:val="005C61C3"/>
    <w:rsid w:val="005C6616"/>
    <w:rsid w:val="005C6BC0"/>
    <w:rsid w:val="005C72AC"/>
    <w:rsid w:val="005C773D"/>
    <w:rsid w:val="005C78D3"/>
    <w:rsid w:val="005D05DE"/>
    <w:rsid w:val="005D0ADC"/>
    <w:rsid w:val="005D0CD9"/>
    <w:rsid w:val="005D0DCC"/>
    <w:rsid w:val="005D0E2F"/>
    <w:rsid w:val="005D112E"/>
    <w:rsid w:val="005D15F9"/>
    <w:rsid w:val="005D17F2"/>
    <w:rsid w:val="005D18A5"/>
    <w:rsid w:val="005D1948"/>
    <w:rsid w:val="005D20FA"/>
    <w:rsid w:val="005D26AB"/>
    <w:rsid w:val="005D2ACB"/>
    <w:rsid w:val="005D2AF4"/>
    <w:rsid w:val="005D2BA3"/>
    <w:rsid w:val="005D3AE6"/>
    <w:rsid w:val="005D3BFA"/>
    <w:rsid w:val="005D3D66"/>
    <w:rsid w:val="005D3DE7"/>
    <w:rsid w:val="005D3EFB"/>
    <w:rsid w:val="005D470E"/>
    <w:rsid w:val="005D48CB"/>
    <w:rsid w:val="005D4902"/>
    <w:rsid w:val="005D533E"/>
    <w:rsid w:val="005D5681"/>
    <w:rsid w:val="005D604D"/>
    <w:rsid w:val="005D61E0"/>
    <w:rsid w:val="005D6D02"/>
    <w:rsid w:val="005D6DE1"/>
    <w:rsid w:val="005D6EC4"/>
    <w:rsid w:val="005D7114"/>
    <w:rsid w:val="005D7B04"/>
    <w:rsid w:val="005E0628"/>
    <w:rsid w:val="005E12B6"/>
    <w:rsid w:val="005E1438"/>
    <w:rsid w:val="005E2815"/>
    <w:rsid w:val="005E2A0C"/>
    <w:rsid w:val="005E2BF5"/>
    <w:rsid w:val="005E309E"/>
    <w:rsid w:val="005E3325"/>
    <w:rsid w:val="005E335E"/>
    <w:rsid w:val="005E3F0B"/>
    <w:rsid w:val="005E4F7C"/>
    <w:rsid w:val="005E52D3"/>
    <w:rsid w:val="005E56FC"/>
    <w:rsid w:val="005E64F0"/>
    <w:rsid w:val="005E6931"/>
    <w:rsid w:val="005E7A9F"/>
    <w:rsid w:val="005E7CE4"/>
    <w:rsid w:val="005E7E7C"/>
    <w:rsid w:val="005E7EBC"/>
    <w:rsid w:val="005F0A13"/>
    <w:rsid w:val="005F1FB6"/>
    <w:rsid w:val="005F227B"/>
    <w:rsid w:val="005F240F"/>
    <w:rsid w:val="005F2490"/>
    <w:rsid w:val="005F2673"/>
    <w:rsid w:val="005F2AA5"/>
    <w:rsid w:val="005F2B90"/>
    <w:rsid w:val="005F374E"/>
    <w:rsid w:val="005F37EF"/>
    <w:rsid w:val="005F411A"/>
    <w:rsid w:val="005F4438"/>
    <w:rsid w:val="005F4B8B"/>
    <w:rsid w:val="005F52B0"/>
    <w:rsid w:val="005F5683"/>
    <w:rsid w:val="005F56F1"/>
    <w:rsid w:val="005F584D"/>
    <w:rsid w:val="005F58CF"/>
    <w:rsid w:val="005F5903"/>
    <w:rsid w:val="005F5A25"/>
    <w:rsid w:val="005F5AFA"/>
    <w:rsid w:val="005F63EE"/>
    <w:rsid w:val="005F6A15"/>
    <w:rsid w:val="005F72FE"/>
    <w:rsid w:val="005F761B"/>
    <w:rsid w:val="005F76AB"/>
    <w:rsid w:val="006001DB"/>
    <w:rsid w:val="00600216"/>
    <w:rsid w:val="006008E6"/>
    <w:rsid w:val="00600DD2"/>
    <w:rsid w:val="006011CC"/>
    <w:rsid w:val="00601E94"/>
    <w:rsid w:val="006022B5"/>
    <w:rsid w:val="006026A3"/>
    <w:rsid w:val="006027CB"/>
    <w:rsid w:val="00602BEA"/>
    <w:rsid w:val="0060364D"/>
    <w:rsid w:val="00603B6A"/>
    <w:rsid w:val="00603BE9"/>
    <w:rsid w:val="006047B3"/>
    <w:rsid w:val="00604880"/>
    <w:rsid w:val="00604AD8"/>
    <w:rsid w:val="00604C5F"/>
    <w:rsid w:val="0060505A"/>
    <w:rsid w:val="0060567A"/>
    <w:rsid w:val="006058B8"/>
    <w:rsid w:val="00605B88"/>
    <w:rsid w:val="00606084"/>
    <w:rsid w:val="00606289"/>
    <w:rsid w:val="00606A14"/>
    <w:rsid w:val="00606AF2"/>
    <w:rsid w:val="00606D7E"/>
    <w:rsid w:val="00607B09"/>
    <w:rsid w:val="00607E2D"/>
    <w:rsid w:val="0061065F"/>
    <w:rsid w:val="0061078F"/>
    <w:rsid w:val="0061097C"/>
    <w:rsid w:val="00611361"/>
    <w:rsid w:val="006117CC"/>
    <w:rsid w:val="00611AC1"/>
    <w:rsid w:val="0061215E"/>
    <w:rsid w:val="0061255B"/>
    <w:rsid w:val="00612711"/>
    <w:rsid w:val="00612C9B"/>
    <w:rsid w:val="006134AC"/>
    <w:rsid w:val="00613877"/>
    <w:rsid w:val="00613EC5"/>
    <w:rsid w:val="0061408F"/>
    <w:rsid w:val="006140FC"/>
    <w:rsid w:val="006142DC"/>
    <w:rsid w:val="00614590"/>
    <w:rsid w:val="006147FA"/>
    <w:rsid w:val="00614A87"/>
    <w:rsid w:val="00614BB0"/>
    <w:rsid w:val="00615780"/>
    <w:rsid w:val="0061579D"/>
    <w:rsid w:val="00615D17"/>
    <w:rsid w:val="00615F11"/>
    <w:rsid w:val="00616316"/>
    <w:rsid w:val="00616383"/>
    <w:rsid w:val="0061654B"/>
    <w:rsid w:val="00616B6C"/>
    <w:rsid w:val="00616E86"/>
    <w:rsid w:val="006173D7"/>
    <w:rsid w:val="0061791F"/>
    <w:rsid w:val="00617D9F"/>
    <w:rsid w:val="00620034"/>
    <w:rsid w:val="00620A6A"/>
    <w:rsid w:val="00620EE7"/>
    <w:rsid w:val="00621963"/>
    <w:rsid w:val="006219C5"/>
    <w:rsid w:val="00621B3F"/>
    <w:rsid w:val="00621B5E"/>
    <w:rsid w:val="0062224E"/>
    <w:rsid w:val="00622331"/>
    <w:rsid w:val="00622ECE"/>
    <w:rsid w:val="006230EE"/>
    <w:rsid w:val="00623316"/>
    <w:rsid w:val="00623515"/>
    <w:rsid w:val="00623723"/>
    <w:rsid w:val="006238A9"/>
    <w:rsid w:val="00623C4A"/>
    <w:rsid w:val="00623CDB"/>
    <w:rsid w:val="00623E70"/>
    <w:rsid w:val="0062404E"/>
    <w:rsid w:val="006257A6"/>
    <w:rsid w:val="006258C2"/>
    <w:rsid w:val="00625AF1"/>
    <w:rsid w:val="00625C65"/>
    <w:rsid w:val="0062616F"/>
    <w:rsid w:val="006264F0"/>
    <w:rsid w:val="006267AD"/>
    <w:rsid w:val="006271A0"/>
    <w:rsid w:val="0062749D"/>
    <w:rsid w:val="006278DF"/>
    <w:rsid w:val="00627AA6"/>
    <w:rsid w:val="00627DB2"/>
    <w:rsid w:val="00630300"/>
    <w:rsid w:val="00630427"/>
    <w:rsid w:val="006307ED"/>
    <w:rsid w:val="00630A16"/>
    <w:rsid w:val="00630C67"/>
    <w:rsid w:val="00630D65"/>
    <w:rsid w:val="00631170"/>
    <w:rsid w:val="00631699"/>
    <w:rsid w:val="006320D6"/>
    <w:rsid w:val="00632A2A"/>
    <w:rsid w:val="00632C63"/>
    <w:rsid w:val="006349EC"/>
    <w:rsid w:val="00635204"/>
    <w:rsid w:val="006357B5"/>
    <w:rsid w:val="00635D9B"/>
    <w:rsid w:val="00635FD0"/>
    <w:rsid w:val="00636701"/>
    <w:rsid w:val="00636980"/>
    <w:rsid w:val="00636CC9"/>
    <w:rsid w:val="006372ED"/>
    <w:rsid w:val="006373D3"/>
    <w:rsid w:val="006379C2"/>
    <w:rsid w:val="00637CD3"/>
    <w:rsid w:val="00640031"/>
    <w:rsid w:val="0064092D"/>
    <w:rsid w:val="00640D6C"/>
    <w:rsid w:val="00640D90"/>
    <w:rsid w:val="0064105E"/>
    <w:rsid w:val="00641276"/>
    <w:rsid w:val="00641583"/>
    <w:rsid w:val="00641F0E"/>
    <w:rsid w:val="00643E29"/>
    <w:rsid w:val="00644C64"/>
    <w:rsid w:val="006454E7"/>
    <w:rsid w:val="0064560F"/>
    <w:rsid w:val="00645664"/>
    <w:rsid w:val="006456E9"/>
    <w:rsid w:val="00645C0D"/>
    <w:rsid w:val="00646E6B"/>
    <w:rsid w:val="006473B5"/>
    <w:rsid w:val="006474E6"/>
    <w:rsid w:val="00647503"/>
    <w:rsid w:val="0064762C"/>
    <w:rsid w:val="006477CC"/>
    <w:rsid w:val="00647805"/>
    <w:rsid w:val="0064798B"/>
    <w:rsid w:val="00647DA8"/>
    <w:rsid w:val="006501B4"/>
    <w:rsid w:val="00651070"/>
    <w:rsid w:val="00651A52"/>
    <w:rsid w:val="00651A9B"/>
    <w:rsid w:val="00651E97"/>
    <w:rsid w:val="00652C73"/>
    <w:rsid w:val="00653621"/>
    <w:rsid w:val="006539AF"/>
    <w:rsid w:val="006539B5"/>
    <w:rsid w:val="00653E7B"/>
    <w:rsid w:val="00653F7E"/>
    <w:rsid w:val="00654858"/>
    <w:rsid w:val="0065489D"/>
    <w:rsid w:val="006548C9"/>
    <w:rsid w:val="00654AAD"/>
    <w:rsid w:val="00654D30"/>
    <w:rsid w:val="00654D91"/>
    <w:rsid w:val="0065543D"/>
    <w:rsid w:val="00655518"/>
    <w:rsid w:val="006559A5"/>
    <w:rsid w:val="00656272"/>
    <w:rsid w:val="0065683B"/>
    <w:rsid w:val="00656BAB"/>
    <w:rsid w:val="00657171"/>
    <w:rsid w:val="00657E2A"/>
    <w:rsid w:val="006605DD"/>
    <w:rsid w:val="00660711"/>
    <w:rsid w:val="00660870"/>
    <w:rsid w:val="00660E84"/>
    <w:rsid w:val="006610FB"/>
    <w:rsid w:val="006614E1"/>
    <w:rsid w:val="006615AD"/>
    <w:rsid w:val="00661D7C"/>
    <w:rsid w:val="0066223A"/>
    <w:rsid w:val="006622BE"/>
    <w:rsid w:val="00662678"/>
    <w:rsid w:val="00662DBA"/>
    <w:rsid w:val="00663970"/>
    <w:rsid w:val="0066426D"/>
    <w:rsid w:val="006643CE"/>
    <w:rsid w:val="006645B0"/>
    <w:rsid w:val="00664DD0"/>
    <w:rsid w:val="00664E1E"/>
    <w:rsid w:val="00664E44"/>
    <w:rsid w:val="00667F9C"/>
    <w:rsid w:val="006701FE"/>
    <w:rsid w:val="006712E5"/>
    <w:rsid w:val="006715B8"/>
    <w:rsid w:val="00671A43"/>
    <w:rsid w:val="00671A63"/>
    <w:rsid w:val="006724E5"/>
    <w:rsid w:val="006725D7"/>
    <w:rsid w:val="006728BC"/>
    <w:rsid w:val="00672904"/>
    <w:rsid w:val="00672ACB"/>
    <w:rsid w:val="00673571"/>
    <w:rsid w:val="00673E19"/>
    <w:rsid w:val="0067403A"/>
    <w:rsid w:val="0067457A"/>
    <w:rsid w:val="006745A0"/>
    <w:rsid w:val="00674968"/>
    <w:rsid w:val="00674BB0"/>
    <w:rsid w:val="00674F30"/>
    <w:rsid w:val="006752BE"/>
    <w:rsid w:val="006755D7"/>
    <w:rsid w:val="0067563B"/>
    <w:rsid w:val="00676634"/>
    <w:rsid w:val="00676941"/>
    <w:rsid w:val="0067697C"/>
    <w:rsid w:val="00676EA3"/>
    <w:rsid w:val="00676FE5"/>
    <w:rsid w:val="006777C1"/>
    <w:rsid w:val="006778A6"/>
    <w:rsid w:val="00677B15"/>
    <w:rsid w:val="00677B4D"/>
    <w:rsid w:val="00677E94"/>
    <w:rsid w:val="0068042F"/>
    <w:rsid w:val="006805AC"/>
    <w:rsid w:val="00680AA1"/>
    <w:rsid w:val="00682053"/>
    <w:rsid w:val="006828AE"/>
    <w:rsid w:val="006829C7"/>
    <w:rsid w:val="006829E1"/>
    <w:rsid w:val="00682EB4"/>
    <w:rsid w:val="00682F26"/>
    <w:rsid w:val="006839BE"/>
    <w:rsid w:val="00683F6F"/>
    <w:rsid w:val="00684184"/>
    <w:rsid w:val="006842DE"/>
    <w:rsid w:val="006843C4"/>
    <w:rsid w:val="006851EC"/>
    <w:rsid w:val="006853C0"/>
    <w:rsid w:val="0068546B"/>
    <w:rsid w:val="00685490"/>
    <w:rsid w:val="00685D19"/>
    <w:rsid w:val="00686352"/>
    <w:rsid w:val="006867D5"/>
    <w:rsid w:val="00686918"/>
    <w:rsid w:val="00686AA7"/>
    <w:rsid w:val="00686E3E"/>
    <w:rsid w:val="00687509"/>
    <w:rsid w:val="00687645"/>
    <w:rsid w:val="0069015F"/>
    <w:rsid w:val="006901A0"/>
    <w:rsid w:val="00690AD1"/>
    <w:rsid w:val="006918CA"/>
    <w:rsid w:val="00691CAE"/>
    <w:rsid w:val="00691DE0"/>
    <w:rsid w:val="0069201F"/>
    <w:rsid w:val="0069245E"/>
    <w:rsid w:val="00692500"/>
    <w:rsid w:val="00692DDE"/>
    <w:rsid w:val="00692FBF"/>
    <w:rsid w:val="006934C0"/>
    <w:rsid w:val="00693695"/>
    <w:rsid w:val="00693E28"/>
    <w:rsid w:val="0069412D"/>
    <w:rsid w:val="0069472C"/>
    <w:rsid w:val="0069490A"/>
    <w:rsid w:val="0069507A"/>
    <w:rsid w:val="0069561F"/>
    <w:rsid w:val="00696E2E"/>
    <w:rsid w:val="0069723E"/>
    <w:rsid w:val="00697A1A"/>
    <w:rsid w:val="00697A36"/>
    <w:rsid w:val="00697BFE"/>
    <w:rsid w:val="006A005A"/>
    <w:rsid w:val="006A0136"/>
    <w:rsid w:val="006A11E1"/>
    <w:rsid w:val="006A1225"/>
    <w:rsid w:val="006A12B4"/>
    <w:rsid w:val="006A1526"/>
    <w:rsid w:val="006A1CCB"/>
    <w:rsid w:val="006A21C2"/>
    <w:rsid w:val="006A22FC"/>
    <w:rsid w:val="006A2501"/>
    <w:rsid w:val="006A3349"/>
    <w:rsid w:val="006A339D"/>
    <w:rsid w:val="006A3DD8"/>
    <w:rsid w:val="006A3F2A"/>
    <w:rsid w:val="006A4285"/>
    <w:rsid w:val="006A4714"/>
    <w:rsid w:val="006A4A29"/>
    <w:rsid w:val="006A4CFE"/>
    <w:rsid w:val="006A5555"/>
    <w:rsid w:val="006A5592"/>
    <w:rsid w:val="006A5593"/>
    <w:rsid w:val="006A5BEA"/>
    <w:rsid w:val="006A5F91"/>
    <w:rsid w:val="006A602B"/>
    <w:rsid w:val="006A63BE"/>
    <w:rsid w:val="006A68E0"/>
    <w:rsid w:val="006A694C"/>
    <w:rsid w:val="006A6A60"/>
    <w:rsid w:val="006A79B7"/>
    <w:rsid w:val="006A7E48"/>
    <w:rsid w:val="006B05EA"/>
    <w:rsid w:val="006B0B84"/>
    <w:rsid w:val="006B0B9B"/>
    <w:rsid w:val="006B0C78"/>
    <w:rsid w:val="006B1220"/>
    <w:rsid w:val="006B1E65"/>
    <w:rsid w:val="006B22C6"/>
    <w:rsid w:val="006B23FD"/>
    <w:rsid w:val="006B2D8F"/>
    <w:rsid w:val="006B3455"/>
    <w:rsid w:val="006B3CFA"/>
    <w:rsid w:val="006B42E8"/>
    <w:rsid w:val="006B46D1"/>
    <w:rsid w:val="006B54BE"/>
    <w:rsid w:val="006B566D"/>
    <w:rsid w:val="006B582A"/>
    <w:rsid w:val="006B598C"/>
    <w:rsid w:val="006B614D"/>
    <w:rsid w:val="006B6474"/>
    <w:rsid w:val="006B69CF"/>
    <w:rsid w:val="006B6AFE"/>
    <w:rsid w:val="006B77C5"/>
    <w:rsid w:val="006B7C13"/>
    <w:rsid w:val="006B7C96"/>
    <w:rsid w:val="006B7D92"/>
    <w:rsid w:val="006C05E6"/>
    <w:rsid w:val="006C0A04"/>
    <w:rsid w:val="006C18D1"/>
    <w:rsid w:val="006C18FF"/>
    <w:rsid w:val="006C1AAC"/>
    <w:rsid w:val="006C1DDB"/>
    <w:rsid w:val="006C334F"/>
    <w:rsid w:val="006C472A"/>
    <w:rsid w:val="006C4C60"/>
    <w:rsid w:val="006C539A"/>
    <w:rsid w:val="006C5712"/>
    <w:rsid w:val="006C5D92"/>
    <w:rsid w:val="006C5E19"/>
    <w:rsid w:val="006C64D2"/>
    <w:rsid w:val="006C65B1"/>
    <w:rsid w:val="006C6731"/>
    <w:rsid w:val="006C7029"/>
    <w:rsid w:val="006C71F4"/>
    <w:rsid w:val="006C761C"/>
    <w:rsid w:val="006C79E6"/>
    <w:rsid w:val="006D0191"/>
    <w:rsid w:val="006D0528"/>
    <w:rsid w:val="006D147F"/>
    <w:rsid w:val="006D1AB3"/>
    <w:rsid w:val="006D207F"/>
    <w:rsid w:val="006D22C5"/>
    <w:rsid w:val="006D22C6"/>
    <w:rsid w:val="006D2B23"/>
    <w:rsid w:val="006D2BA9"/>
    <w:rsid w:val="006D2D72"/>
    <w:rsid w:val="006D2E57"/>
    <w:rsid w:val="006D37A9"/>
    <w:rsid w:val="006D3A0A"/>
    <w:rsid w:val="006D3D5E"/>
    <w:rsid w:val="006D3F72"/>
    <w:rsid w:val="006D4754"/>
    <w:rsid w:val="006D576E"/>
    <w:rsid w:val="006D5778"/>
    <w:rsid w:val="006D5F6B"/>
    <w:rsid w:val="006D6369"/>
    <w:rsid w:val="006D6866"/>
    <w:rsid w:val="006D68DE"/>
    <w:rsid w:val="006D6989"/>
    <w:rsid w:val="006D6C88"/>
    <w:rsid w:val="006D6D28"/>
    <w:rsid w:val="006D6E08"/>
    <w:rsid w:val="006D6F4B"/>
    <w:rsid w:val="006D7533"/>
    <w:rsid w:val="006D7581"/>
    <w:rsid w:val="006D79D8"/>
    <w:rsid w:val="006D7A74"/>
    <w:rsid w:val="006D7BE3"/>
    <w:rsid w:val="006E0072"/>
    <w:rsid w:val="006E0550"/>
    <w:rsid w:val="006E07C9"/>
    <w:rsid w:val="006E0E7B"/>
    <w:rsid w:val="006E10ED"/>
    <w:rsid w:val="006E193D"/>
    <w:rsid w:val="006E2B07"/>
    <w:rsid w:val="006E2B7E"/>
    <w:rsid w:val="006E2B84"/>
    <w:rsid w:val="006E3173"/>
    <w:rsid w:val="006E3A07"/>
    <w:rsid w:val="006E3A4D"/>
    <w:rsid w:val="006E3EBD"/>
    <w:rsid w:val="006E42E9"/>
    <w:rsid w:val="006E4311"/>
    <w:rsid w:val="006E43FB"/>
    <w:rsid w:val="006E4872"/>
    <w:rsid w:val="006E4D62"/>
    <w:rsid w:val="006E4FE7"/>
    <w:rsid w:val="006E5739"/>
    <w:rsid w:val="006E5832"/>
    <w:rsid w:val="006E5872"/>
    <w:rsid w:val="006E5DDA"/>
    <w:rsid w:val="006E5EE0"/>
    <w:rsid w:val="006E5EF9"/>
    <w:rsid w:val="006E5F60"/>
    <w:rsid w:val="006E6249"/>
    <w:rsid w:val="006E65FD"/>
    <w:rsid w:val="006E6AA6"/>
    <w:rsid w:val="006E6D18"/>
    <w:rsid w:val="006E6E30"/>
    <w:rsid w:val="006E6F13"/>
    <w:rsid w:val="006E73C4"/>
    <w:rsid w:val="006E7F4A"/>
    <w:rsid w:val="006F03B3"/>
    <w:rsid w:val="006F066D"/>
    <w:rsid w:val="006F09F8"/>
    <w:rsid w:val="006F0B20"/>
    <w:rsid w:val="006F0C28"/>
    <w:rsid w:val="006F0F72"/>
    <w:rsid w:val="006F19EC"/>
    <w:rsid w:val="006F1B06"/>
    <w:rsid w:val="006F1D98"/>
    <w:rsid w:val="006F237C"/>
    <w:rsid w:val="006F2BFA"/>
    <w:rsid w:val="006F343D"/>
    <w:rsid w:val="006F3866"/>
    <w:rsid w:val="006F3EDE"/>
    <w:rsid w:val="006F3F13"/>
    <w:rsid w:val="006F41F2"/>
    <w:rsid w:val="006F435F"/>
    <w:rsid w:val="006F45DC"/>
    <w:rsid w:val="006F4BDF"/>
    <w:rsid w:val="006F51DA"/>
    <w:rsid w:val="006F55E2"/>
    <w:rsid w:val="006F56AA"/>
    <w:rsid w:val="006F571C"/>
    <w:rsid w:val="006F5952"/>
    <w:rsid w:val="006F5A63"/>
    <w:rsid w:val="006F6F72"/>
    <w:rsid w:val="006F7288"/>
    <w:rsid w:val="006F7958"/>
    <w:rsid w:val="006F7F6E"/>
    <w:rsid w:val="00700F0D"/>
    <w:rsid w:val="00701193"/>
    <w:rsid w:val="007013F2"/>
    <w:rsid w:val="007015FA"/>
    <w:rsid w:val="007017E5"/>
    <w:rsid w:val="00701D06"/>
    <w:rsid w:val="00702021"/>
    <w:rsid w:val="00703939"/>
    <w:rsid w:val="00703F62"/>
    <w:rsid w:val="00704166"/>
    <w:rsid w:val="0070443F"/>
    <w:rsid w:val="00706224"/>
    <w:rsid w:val="007066A1"/>
    <w:rsid w:val="00706B4B"/>
    <w:rsid w:val="00706C60"/>
    <w:rsid w:val="00706D57"/>
    <w:rsid w:val="00707113"/>
    <w:rsid w:val="00707638"/>
    <w:rsid w:val="007100DB"/>
    <w:rsid w:val="0071035D"/>
    <w:rsid w:val="007105C8"/>
    <w:rsid w:val="007105F6"/>
    <w:rsid w:val="0071091E"/>
    <w:rsid w:val="00710FB5"/>
    <w:rsid w:val="00711D72"/>
    <w:rsid w:val="00711FD2"/>
    <w:rsid w:val="007123A9"/>
    <w:rsid w:val="0071261D"/>
    <w:rsid w:val="007129B4"/>
    <w:rsid w:val="00712B51"/>
    <w:rsid w:val="007137A5"/>
    <w:rsid w:val="00713816"/>
    <w:rsid w:val="00713A97"/>
    <w:rsid w:val="00713CC1"/>
    <w:rsid w:val="00714392"/>
    <w:rsid w:val="007155BA"/>
    <w:rsid w:val="007156D9"/>
    <w:rsid w:val="007157B7"/>
    <w:rsid w:val="00715DBD"/>
    <w:rsid w:val="007166D6"/>
    <w:rsid w:val="0071684D"/>
    <w:rsid w:val="00716B54"/>
    <w:rsid w:val="007170EF"/>
    <w:rsid w:val="007171A3"/>
    <w:rsid w:val="00717484"/>
    <w:rsid w:val="00720965"/>
    <w:rsid w:val="00720FE3"/>
    <w:rsid w:val="007214D6"/>
    <w:rsid w:val="0072238A"/>
    <w:rsid w:val="007223A8"/>
    <w:rsid w:val="007233DC"/>
    <w:rsid w:val="00723637"/>
    <w:rsid w:val="00723D3C"/>
    <w:rsid w:val="007248C2"/>
    <w:rsid w:val="00724A61"/>
    <w:rsid w:val="00724CCF"/>
    <w:rsid w:val="00724F5F"/>
    <w:rsid w:val="00725356"/>
    <w:rsid w:val="00725D94"/>
    <w:rsid w:val="00725E51"/>
    <w:rsid w:val="00725F0D"/>
    <w:rsid w:val="00726230"/>
    <w:rsid w:val="007263A9"/>
    <w:rsid w:val="007264AD"/>
    <w:rsid w:val="00726B7D"/>
    <w:rsid w:val="00727179"/>
    <w:rsid w:val="00727457"/>
    <w:rsid w:val="00727A59"/>
    <w:rsid w:val="00727BBD"/>
    <w:rsid w:val="00727C32"/>
    <w:rsid w:val="00727CF3"/>
    <w:rsid w:val="00727FFE"/>
    <w:rsid w:val="007304FC"/>
    <w:rsid w:val="00730B72"/>
    <w:rsid w:val="007311AE"/>
    <w:rsid w:val="0073136A"/>
    <w:rsid w:val="0073219B"/>
    <w:rsid w:val="00732A4E"/>
    <w:rsid w:val="00732C8B"/>
    <w:rsid w:val="007335CA"/>
    <w:rsid w:val="00733693"/>
    <w:rsid w:val="00733724"/>
    <w:rsid w:val="007337A0"/>
    <w:rsid w:val="00733F28"/>
    <w:rsid w:val="007349B9"/>
    <w:rsid w:val="00734A34"/>
    <w:rsid w:val="00734A5B"/>
    <w:rsid w:val="0073617F"/>
    <w:rsid w:val="00736656"/>
    <w:rsid w:val="007367CB"/>
    <w:rsid w:val="007373E9"/>
    <w:rsid w:val="00737CBE"/>
    <w:rsid w:val="00737D12"/>
    <w:rsid w:val="00740275"/>
    <w:rsid w:val="0074038F"/>
    <w:rsid w:val="0074049E"/>
    <w:rsid w:val="007404B1"/>
    <w:rsid w:val="00740579"/>
    <w:rsid w:val="00740824"/>
    <w:rsid w:val="00740923"/>
    <w:rsid w:val="00740994"/>
    <w:rsid w:val="00740C03"/>
    <w:rsid w:val="007410AB"/>
    <w:rsid w:val="00741156"/>
    <w:rsid w:val="00741F4C"/>
    <w:rsid w:val="007423BB"/>
    <w:rsid w:val="0074240A"/>
    <w:rsid w:val="00742BB2"/>
    <w:rsid w:val="007432C7"/>
    <w:rsid w:val="00743363"/>
    <w:rsid w:val="00743506"/>
    <w:rsid w:val="00744248"/>
    <w:rsid w:val="00744813"/>
    <w:rsid w:val="00744F76"/>
    <w:rsid w:val="00745429"/>
    <w:rsid w:val="00745BB7"/>
    <w:rsid w:val="00745BE5"/>
    <w:rsid w:val="0074617C"/>
    <w:rsid w:val="007465AF"/>
    <w:rsid w:val="0074689C"/>
    <w:rsid w:val="0074697B"/>
    <w:rsid w:val="00747591"/>
    <w:rsid w:val="00747619"/>
    <w:rsid w:val="00747A52"/>
    <w:rsid w:val="00750224"/>
    <w:rsid w:val="007506AA"/>
    <w:rsid w:val="00750A4D"/>
    <w:rsid w:val="00750BBA"/>
    <w:rsid w:val="00751A4B"/>
    <w:rsid w:val="00752314"/>
    <w:rsid w:val="007526E2"/>
    <w:rsid w:val="00752F82"/>
    <w:rsid w:val="007530F8"/>
    <w:rsid w:val="0075372F"/>
    <w:rsid w:val="007538FF"/>
    <w:rsid w:val="00753D66"/>
    <w:rsid w:val="00754087"/>
    <w:rsid w:val="00754127"/>
    <w:rsid w:val="0075480D"/>
    <w:rsid w:val="00754E8A"/>
    <w:rsid w:val="00754EAE"/>
    <w:rsid w:val="00755318"/>
    <w:rsid w:val="00755519"/>
    <w:rsid w:val="007558FE"/>
    <w:rsid w:val="00756961"/>
    <w:rsid w:val="00756A97"/>
    <w:rsid w:val="00756B9E"/>
    <w:rsid w:val="00756C3C"/>
    <w:rsid w:val="0075779E"/>
    <w:rsid w:val="00757E91"/>
    <w:rsid w:val="007604DB"/>
    <w:rsid w:val="0076050C"/>
    <w:rsid w:val="00760C73"/>
    <w:rsid w:val="00760ED9"/>
    <w:rsid w:val="007611F5"/>
    <w:rsid w:val="0076179B"/>
    <w:rsid w:val="00762004"/>
    <w:rsid w:val="0076206E"/>
    <w:rsid w:val="0076238A"/>
    <w:rsid w:val="00762800"/>
    <w:rsid w:val="00762B23"/>
    <w:rsid w:val="00762CB7"/>
    <w:rsid w:val="00762CBF"/>
    <w:rsid w:val="007631DD"/>
    <w:rsid w:val="00763529"/>
    <w:rsid w:val="007646C1"/>
    <w:rsid w:val="00764995"/>
    <w:rsid w:val="00764FB0"/>
    <w:rsid w:val="0076523E"/>
    <w:rsid w:val="007653E1"/>
    <w:rsid w:val="007657DF"/>
    <w:rsid w:val="007662E3"/>
    <w:rsid w:val="0076634B"/>
    <w:rsid w:val="00766547"/>
    <w:rsid w:val="00766710"/>
    <w:rsid w:val="00766FBD"/>
    <w:rsid w:val="00767193"/>
    <w:rsid w:val="007671C7"/>
    <w:rsid w:val="00767C86"/>
    <w:rsid w:val="00770714"/>
    <w:rsid w:val="00770B54"/>
    <w:rsid w:val="00770DD9"/>
    <w:rsid w:val="00770E64"/>
    <w:rsid w:val="0077115B"/>
    <w:rsid w:val="00771352"/>
    <w:rsid w:val="00771A9A"/>
    <w:rsid w:val="00771BC8"/>
    <w:rsid w:val="00772024"/>
    <w:rsid w:val="00772025"/>
    <w:rsid w:val="007722A4"/>
    <w:rsid w:val="00772A12"/>
    <w:rsid w:val="00773708"/>
    <w:rsid w:val="00773721"/>
    <w:rsid w:val="00773D05"/>
    <w:rsid w:val="007741A7"/>
    <w:rsid w:val="00774342"/>
    <w:rsid w:val="0077449E"/>
    <w:rsid w:val="00774C16"/>
    <w:rsid w:val="00774F7F"/>
    <w:rsid w:val="007759C7"/>
    <w:rsid w:val="00776057"/>
    <w:rsid w:val="007762D5"/>
    <w:rsid w:val="00776845"/>
    <w:rsid w:val="00776A98"/>
    <w:rsid w:val="00776B14"/>
    <w:rsid w:val="00776D34"/>
    <w:rsid w:val="00776F43"/>
    <w:rsid w:val="00776FCB"/>
    <w:rsid w:val="0077707D"/>
    <w:rsid w:val="00777140"/>
    <w:rsid w:val="0077727C"/>
    <w:rsid w:val="007774E5"/>
    <w:rsid w:val="0077779B"/>
    <w:rsid w:val="00777CD9"/>
    <w:rsid w:val="00777F2A"/>
    <w:rsid w:val="00780327"/>
    <w:rsid w:val="007803BB"/>
    <w:rsid w:val="0078085A"/>
    <w:rsid w:val="007809B0"/>
    <w:rsid w:val="00780E5D"/>
    <w:rsid w:val="00781BD6"/>
    <w:rsid w:val="00782101"/>
    <w:rsid w:val="00783268"/>
    <w:rsid w:val="00783FA5"/>
    <w:rsid w:val="0078418D"/>
    <w:rsid w:val="00784267"/>
    <w:rsid w:val="0078429B"/>
    <w:rsid w:val="007848B1"/>
    <w:rsid w:val="00784C74"/>
    <w:rsid w:val="00784F03"/>
    <w:rsid w:val="00785163"/>
    <w:rsid w:val="00785857"/>
    <w:rsid w:val="0078757E"/>
    <w:rsid w:val="00787C58"/>
    <w:rsid w:val="00787F7D"/>
    <w:rsid w:val="00790072"/>
    <w:rsid w:val="007906D3"/>
    <w:rsid w:val="00790B85"/>
    <w:rsid w:val="00790F0C"/>
    <w:rsid w:val="007915F1"/>
    <w:rsid w:val="0079188F"/>
    <w:rsid w:val="00791E21"/>
    <w:rsid w:val="00792417"/>
    <w:rsid w:val="00792583"/>
    <w:rsid w:val="007927BA"/>
    <w:rsid w:val="0079292C"/>
    <w:rsid w:val="00792FA2"/>
    <w:rsid w:val="0079352E"/>
    <w:rsid w:val="0079356A"/>
    <w:rsid w:val="0079379E"/>
    <w:rsid w:val="0079471F"/>
    <w:rsid w:val="00795D31"/>
    <w:rsid w:val="00795EC3"/>
    <w:rsid w:val="00795F69"/>
    <w:rsid w:val="00795FBA"/>
    <w:rsid w:val="007962A0"/>
    <w:rsid w:val="0079643E"/>
    <w:rsid w:val="007965AA"/>
    <w:rsid w:val="00796CBF"/>
    <w:rsid w:val="00797083"/>
    <w:rsid w:val="007971FC"/>
    <w:rsid w:val="0079771B"/>
    <w:rsid w:val="007A0A0C"/>
    <w:rsid w:val="007A17F4"/>
    <w:rsid w:val="007A1BEC"/>
    <w:rsid w:val="007A1DAF"/>
    <w:rsid w:val="007A2202"/>
    <w:rsid w:val="007A29BD"/>
    <w:rsid w:val="007A2ADC"/>
    <w:rsid w:val="007A2C45"/>
    <w:rsid w:val="007A2F7F"/>
    <w:rsid w:val="007A2FA6"/>
    <w:rsid w:val="007A36CE"/>
    <w:rsid w:val="007A3873"/>
    <w:rsid w:val="007A555B"/>
    <w:rsid w:val="007A575B"/>
    <w:rsid w:val="007A585C"/>
    <w:rsid w:val="007A63B3"/>
    <w:rsid w:val="007A6A52"/>
    <w:rsid w:val="007A6EB4"/>
    <w:rsid w:val="007A741B"/>
    <w:rsid w:val="007A7A7F"/>
    <w:rsid w:val="007B0249"/>
    <w:rsid w:val="007B03AB"/>
    <w:rsid w:val="007B142D"/>
    <w:rsid w:val="007B1978"/>
    <w:rsid w:val="007B1D82"/>
    <w:rsid w:val="007B1F24"/>
    <w:rsid w:val="007B3148"/>
    <w:rsid w:val="007B38AB"/>
    <w:rsid w:val="007B38FE"/>
    <w:rsid w:val="007B3BAE"/>
    <w:rsid w:val="007B3D25"/>
    <w:rsid w:val="007B6334"/>
    <w:rsid w:val="007B6693"/>
    <w:rsid w:val="007B6B98"/>
    <w:rsid w:val="007B6E9C"/>
    <w:rsid w:val="007B74DD"/>
    <w:rsid w:val="007C009C"/>
    <w:rsid w:val="007C01C5"/>
    <w:rsid w:val="007C0A41"/>
    <w:rsid w:val="007C0E72"/>
    <w:rsid w:val="007C1093"/>
    <w:rsid w:val="007C17DE"/>
    <w:rsid w:val="007C1CD9"/>
    <w:rsid w:val="007C1D84"/>
    <w:rsid w:val="007C2168"/>
    <w:rsid w:val="007C24FD"/>
    <w:rsid w:val="007C257A"/>
    <w:rsid w:val="007C2DAE"/>
    <w:rsid w:val="007C3426"/>
    <w:rsid w:val="007C367F"/>
    <w:rsid w:val="007C4048"/>
    <w:rsid w:val="007C4F3D"/>
    <w:rsid w:val="007C5751"/>
    <w:rsid w:val="007C5B08"/>
    <w:rsid w:val="007C6125"/>
    <w:rsid w:val="007C638F"/>
    <w:rsid w:val="007C6993"/>
    <w:rsid w:val="007C71E4"/>
    <w:rsid w:val="007C7E32"/>
    <w:rsid w:val="007D029D"/>
    <w:rsid w:val="007D0447"/>
    <w:rsid w:val="007D04A9"/>
    <w:rsid w:val="007D0B6B"/>
    <w:rsid w:val="007D0C25"/>
    <w:rsid w:val="007D0D37"/>
    <w:rsid w:val="007D1ADF"/>
    <w:rsid w:val="007D220E"/>
    <w:rsid w:val="007D2223"/>
    <w:rsid w:val="007D28A6"/>
    <w:rsid w:val="007D298D"/>
    <w:rsid w:val="007D2A1D"/>
    <w:rsid w:val="007D2C8D"/>
    <w:rsid w:val="007D2FDB"/>
    <w:rsid w:val="007D31AA"/>
    <w:rsid w:val="007D351C"/>
    <w:rsid w:val="007D3A88"/>
    <w:rsid w:val="007D4AB9"/>
    <w:rsid w:val="007D5B15"/>
    <w:rsid w:val="007D5F97"/>
    <w:rsid w:val="007D5FB6"/>
    <w:rsid w:val="007D60EC"/>
    <w:rsid w:val="007D6393"/>
    <w:rsid w:val="007D63B3"/>
    <w:rsid w:val="007D6663"/>
    <w:rsid w:val="007D6994"/>
    <w:rsid w:val="007D6ED5"/>
    <w:rsid w:val="007D77E7"/>
    <w:rsid w:val="007E0AEC"/>
    <w:rsid w:val="007E198C"/>
    <w:rsid w:val="007E1C16"/>
    <w:rsid w:val="007E1DA1"/>
    <w:rsid w:val="007E1F75"/>
    <w:rsid w:val="007E29B6"/>
    <w:rsid w:val="007E2F7C"/>
    <w:rsid w:val="007E3008"/>
    <w:rsid w:val="007E30DC"/>
    <w:rsid w:val="007E354E"/>
    <w:rsid w:val="007E3E11"/>
    <w:rsid w:val="007E3F65"/>
    <w:rsid w:val="007E433F"/>
    <w:rsid w:val="007E4687"/>
    <w:rsid w:val="007E4938"/>
    <w:rsid w:val="007E5689"/>
    <w:rsid w:val="007E5A56"/>
    <w:rsid w:val="007E6DB6"/>
    <w:rsid w:val="007E6EB8"/>
    <w:rsid w:val="007E75CA"/>
    <w:rsid w:val="007E75EA"/>
    <w:rsid w:val="007E7A6F"/>
    <w:rsid w:val="007E7D32"/>
    <w:rsid w:val="007F035C"/>
    <w:rsid w:val="007F0733"/>
    <w:rsid w:val="007F07A7"/>
    <w:rsid w:val="007F1E16"/>
    <w:rsid w:val="007F241E"/>
    <w:rsid w:val="007F3316"/>
    <w:rsid w:val="007F464E"/>
    <w:rsid w:val="007F49B8"/>
    <w:rsid w:val="007F4F71"/>
    <w:rsid w:val="007F50C0"/>
    <w:rsid w:val="007F521E"/>
    <w:rsid w:val="007F66FC"/>
    <w:rsid w:val="007F6917"/>
    <w:rsid w:val="007F71B2"/>
    <w:rsid w:val="007F73C9"/>
    <w:rsid w:val="007F75D6"/>
    <w:rsid w:val="007F7B86"/>
    <w:rsid w:val="007F7E7F"/>
    <w:rsid w:val="007F7EC0"/>
    <w:rsid w:val="00800220"/>
    <w:rsid w:val="00800358"/>
    <w:rsid w:val="00801806"/>
    <w:rsid w:val="008018C7"/>
    <w:rsid w:val="008029E3"/>
    <w:rsid w:val="00802A23"/>
    <w:rsid w:val="00802B6C"/>
    <w:rsid w:val="00802D31"/>
    <w:rsid w:val="0080302E"/>
    <w:rsid w:val="0080332F"/>
    <w:rsid w:val="008038A8"/>
    <w:rsid w:val="00803BBD"/>
    <w:rsid w:val="00803C53"/>
    <w:rsid w:val="00803D38"/>
    <w:rsid w:val="0080419F"/>
    <w:rsid w:val="00804733"/>
    <w:rsid w:val="00805091"/>
    <w:rsid w:val="0080517E"/>
    <w:rsid w:val="008058AD"/>
    <w:rsid w:val="00805BDF"/>
    <w:rsid w:val="00805DDE"/>
    <w:rsid w:val="00805EAC"/>
    <w:rsid w:val="0080622A"/>
    <w:rsid w:val="00806421"/>
    <w:rsid w:val="00806445"/>
    <w:rsid w:val="008066C3"/>
    <w:rsid w:val="008069F8"/>
    <w:rsid w:val="00807110"/>
    <w:rsid w:val="00807229"/>
    <w:rsid w:val="0080792C"/>
    <w:rsid w:val="00807B83"/>
    <w:rsid w:val="00807D65"/>
    <w:rsid w:val="00807DB5"/>
    <w:rsid w:val="00807E2B"/>
    <w:rsid w:val="008101F4"/>
    <w:rsid w:val="00810527"/>
    <w:rsid w:val="00810B08"/>
    <w:rsid w:val="00811153"/>
    <w:rsid w:val="008112BA"/>
    <w:rsid w:val="00811699"/>
    <w:rsid w:val="0081178A"/>
    <w:rsid w:val="0081195D"/>
    <w:rsid w:val="00811AC4"/>
    <w:rsid w:val="00811C2A"/>
    <w:rsid w:val="00811F5F"/>
    <w:rsid w:val="00811FFF"/>
    <w:rsid w:val="008123D3"/>
    <w:rsid w:val="008124AB"/>
    <w:rsid w:val="00812508"/>
    <w:rsid w:val="008127FA"/>
    <w:rsid w:val="00812A30"/>
    <w:rsid w:val="00812C1B"/>
    <w:rsid w:val="00812CBC"/>
    <w:rsid w:val="0081389F"/>
    <w:rsid w:val="00813F68"/>
    <w:rsid w:val="00814401"/>
    <w:rsid w:val="0081495F"/>
    <w:rsid w:val="00814BA6"/>
    <w:rsid w:val="008154C3"/>
    <w:rsid w:val="00815531"/>
    <w:rsid w:val="00815EF6"/>
    <w:rsid w:val="008160E2"/>
    <w:rsid w:val="00816690"/>
    <w:rsid w:val="00817278"/>
    <w:rsid w:val="00817755"/>
    <w:rsid w:val="00817CF7"/>
    <w:rsid w:val="00817E89"/>
    <w:rsid w:val="00820F3F"/>
    <w:rsid w:val="0082160A"/>
    <w:rsid w:val="008217F5"/>
    <w:rsid w:val="008220F4"/>
    <w:rsid w:val="00822177"/>
    <w:rsid w:val="00822B12"/>
    <w:rsid w:val="00822E1B"/>
    <w:rsid w:val="00823171"/>
    <w:rsid w:val="00823180"/>
    <w:rsid w:val="00823556"/>
    <w:rsid w:val="00823ABB"/>
    <w:rsid w:val="00823C6F"/>
    <w:rsid w:val="00823F7F"/>
    <w:rsid w:val="00824176"/>
    <w:rsid w:val="008242DE"/>
    <w:rsid w:val="00824345"/>
    <w:rsid w:val="00824455"/>
    <w:rsid w:val="00824468"/>
    <w:rsid w:val="00824572"/>
    <w:rsid w:val="00824B8D"/>
    <w:rsid w:val="00824F0F"/>
    <w:rsid w:val="008258A2"/>
    <w:rsid w:val="008258BC"/>
    <w:rsid w:val="0082647F"/>
    <w:rsid w:val="008264C0"/>
    <w:rsid w:val="00826DBA"/>
    <w:rsid w:val="00826DE2"/>
    <w:rsid w:val="00826E74"/>
    <w:rsid w:val="00827564"/>
    <w:rsid w:val="00827CC6"/>
    <w:rsid w:val="00830BB4"/>
    <w:rsid w:val="00830CBE"/>
    <w:rsid w:val="00830FAB"/>
    <w:rsid w:val="00831BE7"/>
    <w:rsid w:val="00831F40"/>
    <w:rsid w:val="008324D9"/>
    <w:rsid w:val="00832D77"/>
    <w:rsid w:val="00832F2E"/>
    <w:rsid w:val="00833629"/>
    <w:rsid w:val="008336DE"/>
    <w:rsid w:val="0083389D"/>
    <w:rsid w:val="00833FED"/>
    <w:rsid w:val="00834505"/>
    <w:rsid w:val="00834D39"/>
    <w:rsid w:val="0083515B"/>
    <w:rsid w:val="00835662"/>
    <w:rsid w:val="00836214"/>
    <w:rsid w:val="008363E1"/>
    <w:rsid w:val="008364CD"/>
    <w:rsid w:val="00836AC0"/>
    <w:rsid w:val="008378C8"/>
    <w:rsid w:val="00837C37"/>
    <w:rsid w:val="00837D66"/>
    <w:rsid w:val="00840338"/>
    <w:rsid w:val="008405D2"/>
    <w:rsid w:val="008408B7"/>
    <w:rsid w:val="00840B4F"/>
    <w:rsid w:val="00840E07"/>
    <w:rsid w:val="00841438"/>
    <w:rsid w:val="00841DB4"/>
    <w:rsid w:val="00842390"/>
    <w:rsid w:val="00842632"/>
    <w:rsid w:val="008426B3"/>
    <w:rsid w:val="008434F7"/>
    <w:rsid w:val="00843A71"/>
    <w:rsid w:val="00843AB4"/>
    <w:rsid w:val="00843B8B"/>
    <w:rsid w:val="00843D57"/>
    <w:rsid w:val="0084435F"/>
    <w:rsid w:val="00844795"/>
    <w:rsid w:val="00844C0F"/>
    <w:rsid w:val="00844F8B"/>
    <w:rsid w:val="0084528F"/>
    <w:rsid w:val="00845605"/>
    <w:rsid w:val="0084585E"/>
    <w:rsid w:val="00845CA5"/>
    <w:rsid w:val="0084652E"/>
    <w:rsid w:val="00846716"/>
    <w:rsid w:val="0084672F"/>
    <w:rsid w:val="0084692B"/>
    <w:rsid w:val="00846EA0"/>
    <w:rsid w:val="00847273"/>
    <w:rsid w:val="00847495"/>
    <w:rsid w:val="008477E2"/>
    <w:rsid w:val="00847D1D"/>
    <w:rsid w:val="00847F12"/>
    <w:rsid w:val="0085019A"/>
    <w:rsid w:val="00850332"/>
    <w:rsid w:val="00850AD7"/>
    <w:rsid w:val="00850AD8"/>
    <w:rsid w:val="00850D00"/>
    <w:rsid w:val="00851469"/>
    <w:rsid w:val="008514E3"/>
    <w:rsid w:val="008516C6"/>
    <w:rsid w:val="00851F72"/>
    <w:rsid w:val="008521BA"/>
    <w:rsid w:val="008522B5"/>
    <w:rsid w:val="008527CA"/>
    <w:rsid w:val="00852A8F"/>
    <w:rsid w:val="00852B30"/>
    <w:rsid w:val="00852CEF"/>
    <w:rsid w:val="00852E5C"/>
    <w:rsid w:val="008534FA"/>
    <w:rsid w:val="00853519"/>
    <w:rsid w:val="00853D75"/>
    <w:rsid w:val="00855021"/>
    <w:rsid w:val="0085516F"/>
    <w:rsid w:val="0085588B"/>
    <w:rsid w:val="0085657F"/>
    <w:rsid w:val="00856E9B"/>
    <w:rsid w:val="00856EA9"/>
    <w:rsid w:val="00856FB2"/>
    <w:rsid w:val="008570F4"/>
    <w:rsid w:val="0085740A"/>
    <w:rsid w:val="008577F8"/>
    <w:rsid w:val="00857C8A"/>
    <w:rsid w:val="00857D22"/>
    <w:rsid w:val="008603A6"/>
    <w:rsid w:val="00860463"/>
    <w:rsid w:val="00860798"/>
    <w:rsid w:val="00860A9C"/>
    <w:rsid w:val="00860EE8"/>
    <w:rsid w:val="0086112A"/>
    <w:rsid w:val="00861708"/>
    <w:rsid w:val="00861934"/>
    <w:rsid w:val="00861991"/>
    <w:rsid w:val="008619DE"/>
    <w:rsid w:val="008621FB"/>
    <w:rsid w:val="0086223A"/>
    <w:rsid w:val="00862AA7"/>
    <w:rsid w:val="00863165"/>
    <w:rsid w:val="00863BCD"/>
    <w:rsid w:val="00863C45"/>
    <w:rsid w:val="00864812"/>
    <w:rsid w:val="00864B2A"/>
    <w:rsid w:val="00864D78"/>
    <w:rsid w:val="00865031"/>
    <w:rsid w:val="0086516E"/>
    <w:rsid w:val="00865F64"/>
    <w:rsid w:val="00865FAD"/>
    <w:rsid w:val="00866473"/>
    <w:rsid w:val="008667C5"/>
    <w:rsid w:val="008671B3"/>
    <w:rsid w:val="00867C52"/>
    <w:rsid w:val="00867E55"/>
    <w:rsid w:val="00870A99"/>
    <w:rsid w:val="00870D7E"/>
    <w:rsid w:val="008714DE"/>
    <w:rsid w:val="00872326"/>
    <w:rsid w:val="00872A74"/>
    <w:rsid w:val="00873003"/>
    <w:rsid w:val="008738C4"/>
    <w:rsid w:val="00873C89"/>
    <w:rsid w:val="008742F2"/>
    <w:rsid w:val="008745CD"/>
    <w:rsid w:val="0087476A"/>
    <w:rsid w:val="008749BC"/>
    <w:rsid w:val="00874D1F"/>
    <w:rsid w:val="0087507E"/>
    <w:rsid w:val="00875AFB"/>
    <w:rsid w:val="00875B12"/>
    <w:rsid w:val="00875EA2"/>
    <w:rsid w:val="008760C3"/>
    <w:rsid w:val="008765BE"/>
    <w:rsid w:val="0087674B"/>
    <w:rsid w:val="0087697D"/>
    <w:rsid w:val="00876A40"/>
    <w:rsid w:val="00876AFF"/>
    <w:rsid w:val="008770C6"/>
    <w:rsid w:val="00877139"/>
    <w:rsid w:val="00877D1A"/>
    <w:rsid w:val="0088038B"/>
    <w:rsid w:val="0088048B"/>
    <w:rsid w:val="0088083C"/>
    <w:rsid w:val="00880E4A"/>
    <w:rsid w:val="00880FB6"/>
    <w:rsid w:val="00881520"/>
    <w:rsid w:val="008815E6"/>
    <w:rsid w:val="00881BA0"/>
    <w:rsid w:val="00881F9B"/>
    <w:rsid w:val="008820DB"/>
    <w:rsid w:val="0088289A"/>
    <w:rsid w:val="00882929"/>
    <w:rsid w:val="00882BA9"/>
    <w:rsid w:val="0088338B"/>
    <w:rsid w:val="00883C02"/>
    <w:rsid w:val="008841BA"/>
    <w:rsid w:val="008846C1"/>
    <w:rsid w:val="00884C9C"/>
    <w:rsid w:val="00884F25"/>
    <w:rsid w:val="00885343"/>
    <w:rsid w:val="0088553A"/>
    <w:rsid w:val="008859C6"/>
    <w:rsid w:val="00885AC6"/>
    <w:rsid w:val="00885B15"/>
    <w:rsid w:val="00885F4F"/>
    <w:rsid w:val="00886367"/>
    <w:rsid w:val="00886EA1"/>
    <w:rsid w:val="00887060"/>
    <w:rsid w:val="00887288"/>
    <w:rsid w:val="00887909"/>
    <w:rsid w:val="00887B65"/>
    <w:rsid w:val="00887BDE"/>
    <w:rsid w:val="00890263"/>
    <w:rsid w:val="0089042A"/>
    <w:rsid w:val="008905AC"/>
    <w:rsid w:val="0089176D"/>
    <w:rsid w:val="00891E5C"/>
    <w:rsid w:val="008920DF"/>
    <w:rsid w:val="008921B3"/>
    <w:rsid w:val="00892C1E"/>
    <w:rsid w:val="00892CAF"/>
    <w:rsid w:val="00892FD9"/>
    <w:rsid w:val="00893018"/>
    <w:rsid w:val="00893595"/>
    <w:rsid w:val="00893A0D"/>
    <w:rsid w:val="00893FA0"/>
    <w:rsid w:val="00894EAA"/>
    <w:rsid w:val="008953FE"/>
    <w:rsid w:val="00896111"/>
    <w:rsid w:val="0089661E"/>
    <w:rsid w:val="00896746"/>
    <w:rsid w:val="008969CE"/>
    <w:rsid w:val="00897238"/>
    <w:rsid w:val="00897500"/>
    <w:rsid w:val="0089782F"/>
    <w:rsid w:val="00897F5E"/>
    <w:rsid w:val="008A035F"/>
    <w:rsid w:val="008A0403"/>
    <w:rsid w:val="008A0F94"/>
    <w:rsid w:val="008A1016"/>
    <w:rsid w:val="008A11A5"/>
    <w:rsid w:val="008A13C9"/>
    <w:rsid w:val="008A1550"/>
    <w:rsid w:val="008A1A99"/>
    <w:rsid w:val="008A1CC6"/>
    <w:rsid w:val="008A1CCF"/>
    <w:rsid w:val="008A1F92"/>
    <w:rsid w:val="008A2034"/>
    <w:rsid w:val="008A264F"/>
    <w:rsid w:val="008A267A"/>
    <w:rsid w:val="008A300E"/>
    <w:rsid w:val="008A31A7"/>
    <w:rsid w:val="008A31C2"/>
    <w:rsid w:val="008A3CA6"/>
    <w:rsid w:val="008A4875"/>
    <w:rsid w:val="008A4932"/>
    <w:rsid w:val="008A4C0F"/>
    <w:rsid w:val="008A5505"/>
    <w:rsid w:val="008A5693"/>
    <w:rsid w:val="008A5715"/>
    <w:rsid w:val="008A5742"/>
    <w:rsid w:val="008A5817"/>
    <w:rsid w:val="008A5DBA"/>
    <w:rsid w:val="008A61F0"/>
    <w:rsid w:val="008A6226"/>
    <w:rsid w:val="008A65A1"/>
    <w:rsid w:val="008A65E5"/>
    <w:rsid w:val="008A692A"/>
    <w:rsid w:val="008A6B65"/>
    <w:rsid w:val="008A6D03"/>
    <w:rsid w:val="008A6D89"/>
    <w:rsid w:val="008A6E2C"/>
    <w:rsid w:val="008A795E"/>
    <w:rsid w:val="008A7A7F"/>
    <w:rsid w:val="008A7BCF"/>
    <w:rsid w:val="008B0488"/>
    <w:rsid w:val="008B0639"/>
    <w:rsid w:val="008B06AC"/>
    <w:rsid w:val="008B0C25"/>
    <w:rsid w:val="008B0C90"/>
    <w:rsid w:val="008B0DA9"/>
    <w:rsid w:val="008B0E3B"/>
    <w:rsid w:val="008B1605"/>
    <w:rsid w:val="008B1A28"/>
    <w:rsid w:val="008B1EE1"/>
    <w:rsid w:val="008B1FD2"/>
    <w:rsid w:val="008B2694"/>
    <w:rsid w:val="008B2D3D"/>
    <w:rsid w:val="008B35A1"/>
    <w:rsid w:val="008B39EF"/>
    <w:rsid w:val="008B3ACE"/>
    <w:rsid w:val="008B4280"/>
    <w:rsid w:val="008B42F6"/>
    <w:rsid w:val="008B4331"/>
    <w:rsid w:val="008B437C"/>
    <w:rsid w:val="008B4D64"/>
    <w:rsid w:val="008B4D6A"/>
    <w:rsid w:val="008B57FD"/>
    <w:rsid w:val="008B5F50"/>
    <w:rsid w:val="008B6208"/>
    <w:rsid w:val="008B6BFC"/>
    <w:rsid w:val="008B6D05"/>
    <w:rsid w:val="008B7351"/>
    <w:rsid w:val="008B7916"/>
    <w:rsid w:val="008C0101"/>
    <w:rsid w:val="008C1374"/>
    <w:rsid w:val="008C17E3"/>
    <w:rsid w:val="008C1A4C"/>
    <w:rsid w:val="008C1B60"/>
    <w:rsid w:val="008C1CB9"/>
    <w:rsid w:val="008C1F0E"/>
    <w:rsid w:val="008C20B4"/>
    <w:rsid w:val="008C226A"/>
    <w:rsid w:val="008C262B"/>
    <w:rsid w:val="008C2CAB"/>
    <w:rsid w:val="008C2F26"/>
    <w:rsid w:val="008C3014"/>
    <w:rsid w:val="008C3162"/>
    <w:rsid w:val="008C3476"/>
    <w:rsid w:val="008C386E"/>
    <w:rsid w:val="008C3A46"/>
    <w:rsid w:val="008C3BBF"/>
    <w:rsid w:val="008C3CDD"/>
    <w:rsid w:val="008C3F30"/>
    <w:rsid w:val="008C4062"/>
    <w:rsid w:val="008C4E81"/>
    <w:rsid w:val="008C4FF1"/>
    <w:rsid w:val="008C500C"/>
    <w:rsid w:val="008C51A7"/>
    <w:rsid w:val="008C545B"/>
    <w:rsid w:val="008C54CD"/>
    <w:rsid w:val="008C5B77"/>
    <w:rsid w:val="008C607B"/>
    <w:rsid w:val="008C667A"/>
    <w:rsid w:val="008C6875"/>
    <w:rsid w:val="008C6EC6"/>
    <w:rsid w:val="008C74C2"/>
    <w:rsid w:val="008C7813"/>
    <w:rsid w:val="008D00A8"/>
    <w:rsid w:val="008D04BF"/>
    <w:rsid w:val="008D0705"/>
    <w:rsid w:val="008D0A1B"/>
    <w:rsid w:val="008D0C4E"/>
    <w:rsid w:val="008D0D1D"/>
    <w:rsid w:val="008D1EC7"/>
    <w:rsid w:val="008D211A"/>
    <w:rsid w:val="008D216B"/>
    <w:rsid w:val="008D2511"/>
    <w:rsid w:val="008D29E1"/>
    <w:rsid w:val="008D2ACF"/>
    <w:rsid w:val="008D40D2"/>
    <w:rsid w:val="008D40E2"/>
    <w:rsid w:val="008D43AB"/>
    <w:rsid w:val="008D446F"/>
    <w:rsid w:val="008D4CB7"/>
    <w:rsid w:val="008D5153"/>
    <w:rsid w:val="008D530C"/>
    <w:rsid w:val="008D5833"/>
    <w:rsid w:val="008D5C0B"/>
    <w:rsid w:val="008D6BA9"/>
    <w:rsid w:val="008D6D3E"/>
    <w:rsid w:val="008D75E9"/>
    <w:rsid w:val="008D7607"/>
    <w:rsid w:val="008D778E"/>
    <w:rsid w:val="008D79BC"/>
    <w:rsid w:val="008D7B12"/>
    <w:rsid w:val="008D7BCD"/>
    <w:rsid w:val="008E04D9"/>
    <w:rsid w:val="008E0D85"/>
    <w:rsid w:val="008E0F6E"/>
    <w:rsid w:val="008E111B"/>
    <w:rsid w:val="008E2301"/>
    <w:rsid w:val="008E2B14"/>
    <w:rsid w:val="008E2BEB"/>
    <w:rsid w:val="008E2E0E"/>
    <w:rsid w:val="008E2E64"/>
    <w:rsid w:val="008E30E9"/>
    <w:rsid w:val="008E32B8"/>
    <w:rsid w:val="008E41F5"/>
    <w:rsid w:val="008E4DE7"/>
    <w:rsid w:val="008E5627"/>
    <w:rsid w:val="008E58EC"/>
    <w:rsid w:val="008E62A9"/>
    <w:rsid w:val="008E6328"/>
    <w:rsid w:val="008E6612"/>
    <w:rsid w:val="008E668B"/>
    <w:rsid w:val="008E6CE0"/>
    <w:rsid w:val="008E7292"/>
    <w:rsid w:val="008E7B3F"/>
    <w:rsid w:val="008E7F5E"/>
    <w:rsid w:val="008F06B7"/>
    <w:rsid w:val="008F0D33"/>
    <w:rsid w:val="008F0D6D"/>
    <w:rsid w:val="008F12D2"/>
    <w:rsid w:val="008F1393"/>
    <w:rsid w:val="008F16DE"/>
    <w:rsid w:val="008F175B"/>
    <w:rsid w:val="008F1846"/>
    <w:rsid w:val="008F1AB9"/>
    <w:rsid w:val="008F1C1C"/>
    <w:rsid w:val="008F22A9"/>
    <w:rsid w:val="008F24EE"/>
    <w:rsid w:val="008F2740"/>
    <w:rsid w:val="008F2835"/>
    <w:rsid w:val="008F29FD"/>
    <w:rsid w:val="008F2A11"/>
    <w:rsid w:val="008F2D4F"/>
    <w:rsid w:val="008F2F8F"/>
    <w:rsid w:val="008F32F3"/>
    <w:rsid w:val="008F38EC"/>
    <w:rsid w:val="008F3C10"/>
    <w:rsid w:val="008F3F8A"/>
    <w:rsid w:val="008F4053"/>
    <w:rsid w:val="008F40E3"/>
    <w:rsid w:val="008F4290"/>
    <w:rsid w:val="008F429B"/>
    <w:rsid w:val="008F43B4"/>
    <w:rsid w:val="008F5527"/>
    <w:rsid w:val="008F5942"/>
    <w:rsid w:val="008F68F8"/>
    <w:rsid w:val="008F6A2B"/>
    <w:rsid w:val="008F6A70"/>
    <w:rsid w:val="008F6D31"/>
    <w:rsid w:val="008F73F5"/>
    <w:rsid w:val="008F7815"/>
    <w:rsid w:val="008F792D"/>
    <w:rsid w:val="008F7F1D"/>
    <w:rsid w:val="0090007F"/>
    <w:rsid w:val="009000D1"/>
    <w:rsid w:val="009002EF"/>
    <w:rsid w:val="0090046F"/>
    <w:rsid w:val="00900D0C"/>
    <w:rsid w:val="00900D85"/>
    <w:rsid w:val="0090135D"/>
    <w:rsid w:val="009014C9"/>
    <w:rsid w:val="00901CC4"/>
    <w:rsid w:val="009020F4"/>
    <w:rsid w:val="009023E8"/>
    <w:rsid w:val="009024D1"/>
    <w:rsid w:val="00902A0C"/>
    <w:rsid w:val="00902DB3"/>
    <w:rsid w:val="009032A4"/>
    <w:rsid w:val="00903448"/>
    <w:rsid w:val="0090357B"/>
    <w:rsid w:val="00903723"/>
    <w:rsid w:val="00903AC8"/>
    <w:rsid w:val="00904146"/>
    <w:rsid w:val="00904830"/>
    <w:rsid w:val="0090483E"/>
    <w:rsid w:val="00905084"/>
    <w:rsid w:val="009051EB"/>
    <w:rsid w:val="00905649"/>
    <w:rsid w:val="00905714"/>
    <w:rsid w:val="00905D6C"/>
    <w:rsid w:val="009062CB"/>
    <w:rsid w:val="0090664A"/>
    <w:rsid w:val="009067EB"/>
    <w:rsid w:val="00906AAE"/>
    <w:rsid w:val="0090701B"/>
    <w:rsid w:val="0090753E"/>
    <w:rsid w:val="0090785C"/>
    <w:rsid w:val="00910B34"/>
    <w:rsid w:val="00911190"/>
    <w:rsid w:val="00911308"/>
    <w:rsid w:val="009114C4"/>
    <w:rsid w:val="0091174D"/>
    <w:rsid w:val="00911DC9"/>
    <w:rsid w:val="00911FCC"/>
    <w:rsid w:val="00912537"/>
    <w:rsid w:val="009125B7"/>
    <w:rsid w:val="009133DD"/>
    <w:rsid w:val="009134FC"/>
    <w:rsid w:val="009138FC"/>
    <w:rsid w:val="00913A44"/>
    <w:rsid w:val="009143E1"/>
    <w:rsid w:val="00915082"/>
    <w:rsid w:val="009151D4"/>
    <w:rsid w:val="009152C7"/>
    <w:rsid w:val="00915418"/>
    <w:rsid w:val="00916089"/>
    <w:rsid w:val="00916124"/>
    <w:rsid w:val="009162CF"/>
    <w:rsid w:val="009168EF"/>
    <w:rsid w:val="009168FB"/>
    <w:rsid w:val="00916C55"/>
    <w:rsid w:val="00916EEA"/>
    <w:rsid w:val="0091709D"/>
    <w:rsid w:val="0091711F"/>
    <w:rsid w:val="00917BF9"/>
    <w:rsid w:val="00920AF1"/>
    <w:rsid w:val="00920CFA"/>
    <w:rsid w:val="0092131B"/>
    <w:rsid w:val="00921571"/>
    <w:rsid w:val="009215D4"/>
    <w:rsid w:val="00921747"/>
    <w:rsid w:val="0092194A"/>
    <w:rsid w:val="00921965"/>
    <w:rsid w:val="0092226A"/>
    <w:rsid w:val="00922867"/>
    <w:rsid w:val="00922CFE"/>
    <w:rsid w:val="00922DFE"/>
    <w:rsid w:val="0092323F"/>
    <w:rsid w:val="009235F9"/>
    <w:rsid w:val="00924642"/>
    <w:rsid w:val="00924BD6"/>
    <w:rsid w:val="0092519A"/>
    <w:rsid w:val="00925AD8"/>
    <w:rsid w:val="00925C6A"/>
    <w:rsid w:val="00925F52"/>
    <w:rsid w:val="009260C9"/>
    <w:rsid w:val="0092680D"/>
    <w:rsid w:val="00926A1C"/>
    <w:rsid w:val="00927A35"/>
    <w:rsid w:val="00927C37"/>
    <w:rsid w:val="009303B7"/>
    <w:rsid w:val="0093098D"/>
    <w:rsid w:val="00930E6C"/>
    <w:rsid w:val="00931082"/>
    <w:rsid w:val="0093124B"/>
    <w:rsid w:val="009319F3"/>
    <w:rsid w:val="00932456"/>
    <w:rsid w:val="00933792"/>
    <w:rsid w:val="00933C1A"/>
    <w:rsid w:val="00933C77"/>
    <w:rsid w:val="00933FD9"/>
    <w:rsid w:val="00934B67"/>
    <w:rsid w:val="00934EA9"/>
    <w:rsid w:val="00934F4D"/>
    <w:rsid w:val="00935EEE"/>
    <w:rsid w:val="00935F11"/>
    <w:rsid w:val="0093675A"/>
    <w:rsid w:val="00936F8C"/>
    <w:rsid w:val="009374B6"/>
    <w:rsid w:val="009377B8"/>
    <w:rsid w:val="00940404"/>
    <w:rsid w:val="0094070D"/>
    <w:rsid w:val="00940B90"/>
    <w:rsid w:val="00940C21"/>
    <w:rsid w:val="00940CD4"/>
    <w:rsid w:val="0094125C"/>
    <w:rsid w:val="00941850"/>
    <w:rsid w:val="009418F8"/>
    <w:rsid w:val="00941F7B"/>
    <w:rsid w:val="009422A7"/>
    <w:rsid w:val="00942BFF"/>
    <w:rsid w:val="00943028"/>
    <w:rsid w:val="009438D9"/>
    <w:rsid w:val="00943A65"/>
    <w:rsid w:val="00943CE6"/>
    <w:rsid w:val="00944011"/>
    <w:rsid w:val="00944709"/>
    <w:rsid w:val="00944E7B"/>
    <w:rsid w:val="009451BA"/>
    <w:rsid w:val="0094616B"/>
    <w:rsid w:val="00946532"/>
    <w:rsid w:val="009468E0"/>
    <w:rsid w:val="00946974"/>
    <w:rsid w:val="00946C02"/>
    <w:rsid w:val="00946CC5"/>
    <w:rsid w:val="00947167"/>
    <w:rsid w:val="009504F2"/>
    <w:rsid w:val="00950770"/>
    <w:rsid w:val="00950ADB"/>
    <w:rsid w:val="009514EB"/>
    <w:rsid w:val="0095158F"/>
    <w:rsid w:val="00951C71"/>
    <w:rsid w:val="0095233D"/>
    <w:rsid w:val="009523F6"/>
    <w:rsid w:val="00952589"/>
    <w:rsid w:val="009525C6"/>
    <w:rsid w:val="00952673"/>
    <w:rsid w:val="0095344F"/>
    <w:rsid w:val="00953715"/>
    <w:rsid w:val="009537CF"/>
    <w:rsid w:val="00953AA5"/>
    <w:rsid w:val="00953F02"/>
    <w:rsid w:val="00954919"/>
    <w:rsid w:val="00955108"/>
    <w:rsid w:val="00955364"/>
    <w:rsid w:val="00955DAE"/>
    <w:rsid w:val="00955F60"/>
    <w:rsid w:val="00956759"/>
    <w:rsid w:val="00956BB6"/>
    <w:rsid w:val="00956BF9"/>
    <w:rsid w:val="0095708F"/>
    <w:rsid w:val="00957600"/>
    <w:rsid w:val="00957CE9"/>
    <w:rsid w:val="00961040"/>
    <w:rsid w:val="009614F8"/>
    <w:rsid w:val="00961AAB"/>
    <w:rsid w:val="00961C28"/>
    <w:rsid w:val="00961E2F"/>
    <w:rsid w:val="009621CE"/>
    <w:rsid w:val="00962776"/>
    <w:rsid w:val="00962952"/>
    <w:rsid w:val="00962A3C"/>
    <w:rsid w:val="00962A44"/>
    <w:rsid w:val="00962B0A"/>
    <w:rsid w:val="00962D47"/>
    <w:rsid w:val="0096325B"/>
    <w:rsid w:val="0096373D"/>
    <w:rsid w:val="00963BB9"/>
    <w:rsid w:val="00963D68"/>
    <w:rsid w:val="0096409F"/>
    <w:rsid w:val="0096465A"/>
    <w:rsid w:val="00964682"/>
    <w:rsid w:val="00965090"/>
    <w:rsid w:val="009652BD"/>
    <w:rsid w:val="009653A7"/>
    <w:rsid w:val="00965432"/>
    <w:rsid w:val="00965614"/>
    <w:rsid w:val="00965F06"/>
    <w:rsid w:val="009661CF"/>
    <w:rsid w:val="0096620A"/>
    <w:rsid w:val="00966394"/>
    <w:rsid w:val="009663F4"/>
    <w:rsid w:val="00966783"/>
    <w:rsid w:val="00966CCF"/>
    <w:rsid w:val="009671DF"/>
    <w:rsid w:val="00967C4D"/>
    <w:rsid w:val="00967CEA"/>
    <w:rsid w:val="0097003F"/>
    <w:rsid w:val="009702CA"/>
    <w:rsid w:val="00970801"/>
    <w:rsid w:val="00970A3B"/>
    <w:rsid w:val="00970F4F"/>
    <w:rsid w:val="00971AC5"/>
    <w:rsid w:val="009728D7"/>
    <w:rsid w:val="00972E77"/>
    <w:rsid w:val="00972E9C"/>
    <w:rsid w:val="00973393"/>
    <w:rsid w:val="00973675"/>
    <w:rsid w:val="00973DC7"/>
    <w:rsid w:val="00973DD5"/>
    <w:rsid w:val="00974027"/>
    <w:rsid w:val="00974CA2"/>
    <w:rsid w:val="00975071"/>
    <w:rsid w:val="00975294"/>
    <w:rsid w:val="00975339"/>
    <w:rsid w:val="00976188"/>
    <w:rsid w:val="0097690E"/>
    <w:rsid w:val="00976F50"/>
    <w:rsid w:val="00977262"/>
    <w:rsid w:val="00977305"/>
    <w:rsid w:val="009776B5"/>
    <w:rsid w:val="00977922"/>
    <w:rsid w:val="0098000C"/>
    <w:rsid w:val="009803D7"/>
    <w:rsid w:val="009804EC"/>
    <w:rsid w:val="0098070A"/>
    <w:rsid w:val="0098074D"/>
    <w:rsid w:val="00980A05"/>
    <w:rsid w:val="00980BC5"/>
    <w:rsid w:val="00980D40"/>
    <w:rsid w:val="009812F5"/>
    <w:rsid w:val="00981488"/>
    <w:rsid w:val="00981D1F"/>
    <w:rsid w:val="00982239"/>
    <w:rsid w:val="009829C5"/>
    <w:rsid w:val="00983050"/>
    <w:rsid w:val="00983351"/>
    <w:rsid w:val="00983974"/>
    <w:rsid w:val="00984010"/>
    <w:rsid w:val="00984855"/>
    <w:rsid w:val="00985512"/>
    <w:rsid w:val="00985665"/>
    <w:rsid w:val="00985743"/>
    <w:rsid w:val="0098591D"/>
    <w:rsid w:val="00985C75"/>
    <w:rsid w:val="00986056"/>
    <w:rsid w:val="0098605B"/>
    <w:rsid w:val="009861D1"/>
    <w:rsid w:val="009862BC"/>
    <w:rsid w:val="00986477"/>
    <w:rsid w:val="009864C4"/>
    <w:rsid w:val="00986DE9"/>
    <w:rsid w:val="009870AD"/>
    <w:rsid w:val="009909A0"/>
    <w:rsid w:val="00990B18"/>
    <w:rsid w:val="00990E9E"/>
    <w:rsid w:val="00991663"/>
    <w:rsid w:val="00991E1C"/>
    <w:rsid w:val="00991F10"/>
    <w:rsid w:val="009920C6"/>
    <w:rsid w:val="009923E2"/>
    <w:rsid w:val="00992C13"/>
    <w:rsid w:val="00992E28"/>
    <w:rsid w:val="00992ED9"/>
    <w:rsid w:val="00993847"/>
    <w:rsid w:val="009938A9"/>
    <w:rsid w:val="00993C46"/>
    <w:rsid w:val="00993D01"/>
    <w:rsid w:val="00994393"/>
    <w:rsid w:val="00995036"/>
    <w:rsid w:val="009957CE"/>
    <w:rsid w:val="0099591E"/>
    <w:rsid w:val="009968BA"/>
    <w:rsid w:val="0099751B"/>
    <w:rsid w:val="0099776B"/>
    <w:rsid w:val="0099779A"/>
    <w:rsid w:val="009977F8"/>
    <w:rsid w:val="009A000B"/>
    <w:rsid w:val="009A0135"/>
    <w:rsid w:val="009A0193"/>
    <w:rsid w:val="009A038A"/>
    <w:rsid w:val="009A057B"/>
    <w:rsid w:val="009A06D7"/>
    <w:rsid w:val="009A0B63"/>
    <w:rsid w:val="009A0E98"/>
    <w:rsid w:val="009A1266"/>
    <w:rsid w:val="009A1D93"/>
    <w:rsid w:val="009A1DCE"/>
    <w:rsid w:val="009A243D"/>
    <w:rsid w:val="009A25FB"/>
    <w:rsid w:val="009A2A24"/>
    <w:rsid w:val="009A31BF"/>
    <w:rsid w:val="009A3228"/>
    <w:rsid w:val="009A430F"/>
    <w:rsid w:val="009A45D2"/>
    <w:rsid w:val="009A46DA"/>
    <w:rsid w:val="009A4D95"/>
    <w:rsid w:val="009A5246"/>
    <w:rsid w:val="009A52C7"/>
    <w:rsid w:val="009A5359"/>
    <w:rsid w:val="009A5422"/>
    <w:rsid w:val="009A6786"/>
    <w:rsid w:val="009A69F3"/>
    <w:rsid w:val="009A6EA6"/>
    <w:rsid w:val="009A7494"/>
    <w:rsid w:val="009A765A"/>
    <w:rsid w:val="009A7CF5"/>
    <w:rsid w:val="009A7F04"/>
    <w:rsid w:val="009B0357"/>
    <w:rsid w:val="009B0492"/>
    <w:rsid w:val="009B0664"/>
    <w:rsid w:val="009B06D5"/>
    <w:rsid w:val="009B09D9"/>
    <w:rsid w:val="009B09E1"/>
    <w:rsid w:val="009B0B2E"/>
    <w:rsid w:val="009B0F9D"/>
    <w:rsid w:val="009B1BA6"/>
    <w:rsid w:val="009B1BED"/>
    <w:rsid w:val="009B1D2B"/>
    <w:rsid w:val="009B30C0"/>
    <w:rsid w:val="009B3589"/>
    <w:rsid w:val="009B39B1"/>
    <w:rsid w:val="009B402E"/>
    <w:rsid w:val="009B40A4"/>
    <w:rsid w:val="009B4E1D"/>
    <w:rsid w:val="009B4E38"/>
    <w:rsid w:val="009B54FC"/>
    <w:rsid w:val="009B5598"/>
    <w:rsid w:val="009B5746"/>
    <w:rsid w:val="009B5B27"/>
    <w:rsid w:val="009B5B91"/>
    <w:rsid w:val="009B6CBA"/>
    <w:rsid w:val="009B71E6"/>
    <w:rsid w:val="009B739C"/>
    <w:rsid w:val="009B777B"/>
    <w:rsid w:val="009B7DE0"/>
    <w:rsid w:val="009B7DF8"/>
    <w:rsid w:val="009C0068"/>
    <w:rsid w:val="009C012E"/>
    <w:rsid w:val="009C05B2"/>
    <w:rsid w:val="009C07CB"/>
    <w:rsid w:val="009C086C"/>
    <w:rsid w:val="009C0D2D"/>
    <w:rsid w:val="009C0D7D"/>
    <w:rsid w:val="009C1540"/>
    <w:rsid w:val="009C1923"/>
    <w:rsid w:val="009C2ACC"/>
    <w:rsid w:val="009C2FAA"/>
    <w:rsid w:val="009C34E6"/>
    <w:rsid w:val="009C3B06"/>
    <w:rsid w:val="009C3F38"/>
    <w:rsid w:val="009C3F82"/>
    <w:rsid w:val="009C40DC"/>
    <w:rsid w:val="009C4346"/>
    <w:rsid w:val="009C4C99"/>
    <w:rsid w:val="009C58D2"/>
    <w:rsid w:val="009C6C07"/>
    <w:rsid w:val="009C75A3"/>
    <w:rsid w:val="009C7872"/>
    <w:rsid w:val="009C79D6"/>
    <w:rsid w:val="009C7EC5"/>
    <w:rsid w:val="009D05DE"/>
    <w:rsid w:val="009D083C"/>
    <w:rsid w:val="009D0E1B"/>
    <w:rsid w:val="009D0FC6"/>
    <w:rsid w:val="009D130F"/>
    <w:rsid w:val="009D16D0"/>
    <w:rsid w:val="009D2A09"/>
    <w:rsid w:val="009D2F7A"/>
    <w:rsid w:val="009D3633"/>
    <w:rsid w:val="009D3E69"/>
    <w:rsid w:val="009D4175"/>
    <w:rsid w:val="009D432B"/>
    <w:rsid w:val="009D44A2"/>
    <w:rsid w:val="009D49EB"/>
    <w:rsid w:val="009D4C28"/>
    <w:rsid w:val="009D54E1"/>
    <w:rsid w:val="009D5F28"/>
    <w:rsid w:val="009D5F6A"/>
    <w:rsid w:val="009D6A80"/>
    <w:rsid w:val="009D6DBC"/>
    <w:rsid w:val="009D6DD0"/>
    <w:rsid w:val="009D6E43"/>
    <w:rsid w:val="009D6F0E"/>
    <w:rsid w:val="009D73DF"/>
    <w:rsid w:val="009D741D"/>
    <w:rsid w:val="009D7AD4"/>
    <w:rsid w:val="009D7E0D"/>
    <w:rsid w:val="009E0128"/>
    <w:rsid w:val="009E0193"/>
    <w:rsid w:val="009E0382"/>
    <w:rsid w:val="009E0DCA"/>
    <w:rsid w:val="009E209A"/>
    <w:rsid w:val="009E2C52"/>
    <w:rsid w:val="009E3D7A"/>
    <w:rsid w:val="009E4141"/>
    <w:rsid w:val="009E4602"/>
    <w:rsid w:val="009E496E"/>
    <w:rsid w:val="009E58AE"/>
    <w:rsid w:val="009E5C31"/>
    <w:rsid w:val="009E5C4A"/>
    <w:rsid w:val="009E5C9A"/>
    <w:rsid w:val="009E611E"/>
    <w:rsid w:val="009E618A"/>
    <w:rsid w:val="009E649E"/>
    <w:rsid w:val="009E6DD0"/>
    <w:rsid w:val="009E75C5"/>
    <w:rsid w:val="009F00DF"/>
    <w:rsid w:val="009F0AD5"/>
    <w:rsid w:val="009F0FA8"/>
    <w:rsid w:val="009F127F"/>
    <w:rsid w:val="009F13E8"/>
    <w:rsid w:val="009F2234"/>
    <w:rsid w:val="009F2A89"/>
    <w:rsid w:val="009F2D6C"/>
    <w:rsid w:val="009F3011"/>
    <w:rsid w:val="009F3427"/>
    <w:rsid w:val="009F3DD0"/>
    <w:rsid w:val="009F4798"/>
    <w:rsid w:val="009F4939"/>
    <w:rsid w:val="009F4BB9"/>
    <w:rsid w:val="009F5086"/>
    <w:rsid w:val="009F51B9"/>
    <w:rsid w:val="009F5396"/>
    <w:rsid w:val="009F58E2"/>
    <w:rsid w:val="009F5970"/>
    <w:rsid w:val="009F6301"/>
    <w:rsid w:val="009F6539"/>
    <w:rsid w:val="009F65A1"/>
    <w:rsid w:val="009F65D8"/>
    <w:rsid w:val="009F725E"/>
    <w:rsid w:val="009F7838"/>
    <w:rsid w:val="00A000B2"/>
    <w:rsid w:val="00A000F6"/>
    <w:rsid w:val="00A0069B"/>
    <w:rsid w:val="00A00C45"/>
    <w:rsid w:val="00A0171A"/>
    <w:rsid w:val="00A019EC"/>
    <w:rsid w:val="00A01B8F"/>
    <w:rsid w:val="00A01E5E"/>
    <w:rsid w:val="00A01F76"/>
    <w:rsid w:val="00A0210E"/>
    <w:rsid w:val="00A0260B"/>
    <w:rsid w:val="00A02BB9"/>
    <w:rsid w:val="00A02C49"/>
    <w:rsid w:val="00A03018"/>
    <w:rsid w:val="00A03C4A"/>
    <w:rsid w:val="00A03D5A"/>
    <w:rsid w:val="00A05B0F"/>
    <w:rsid w:val="00A0693C"/>
    <w:rsid w:val="00A06AC6"/>
    <w:rsid w:val="00A06BF9"/>
    <w:rsid w:val="00A072D4"/>
    <w:rsid w:val="00A0737C"/>
    <w:rsid w:val="00A075D6"/>
    <w:rsid w:val="00A10CAF"/>
    <w:rsid w:val="00A10F39"/>
    <w:rsid w:val="00A110FA"/>
    <w:rsid w:val="00A11B72"/>
    <w:rsid w:val="00A124BE"/>
    <w:rsid w:val="00A130D2"/>
    <w:rsid w:val="00A13109"/>
    <w:rsid w:val="00A13858"/>
    <w:rsid w:val="00A13EAE"/>
    <w:rsid w:val="00A1405A"/>
    <w:rsid w:val="00A1424A"/>
    <w:rsid w:val="00A14ADA"/>
    <w:rsid w:val="00A14AE7"/>
    <w:rsid w:val="00A14B20"/>
    <w:rsid w:val="00A14CA5"/>
    <w:rsid w:val="00A155CD"/>
    <w:rsid w:val="00A156EF"/>
    <w:rsid w:val="00A15BC4"/>
    <w:rsid w:val="00A15F41"/>
    <w:rsid w:val="00A16C8D"/>
    <w:rsid w:val="00A175E2"/>
    <w:rsid w:val="00A2010E"/>
    <w:rsid w:val="00A2029A"/>
    <w:rsid w:val="00A21708"/>
    <w:rsid w:val="00A22A7E"/>
    <w:rsid w:val="00A22C71"/>
    <w:rsid w:val="00A22D82"/>
    <w:rsid w:val="00A23046"/>
    <w:rsid w:val="00A24CC6"/>
    <w:rsid w:val="00A24FD4"/>
    <w:rsid w:val="00A2644F"/>
    <w:rsid w:val="00A26742"/>
    <w:rsid w:val="00A274AA"/>
    <w:rsid w:val="00A276B2"/>
    <w:rsid w:val="00A2770C"/>
    <w:rsid w:val="00A27ADE"/>
    <w:rsid w:val="00A3020F"/>
    <w:rsid w:val="00A305CD"/>
    <w:rsid w:val="00A30669"/>
    <w:rsid w:val="00A30765"/>
    <w:rsid w:val="00A30B79"/>
    <w:rsid w:val="00A31397"/>
    <w:rsid w:val="00A3183D"/>
    <w:rsid w:val="00A31DAA"/>
    <w:rsid w:val="00A32820"/>
    <w:rsid w:val="00A32AAC"/>
    <w:rsid w:val="00A32F68"/>
    <w:rsid w:val="00A33210"/>
    <w:rsid w:val="00A33733"/>
    <w:rsid w:val="00A33827"/>
    <w:rsid w:val="00A33F89"/>
    <w:rsid w:val="00A3480D"/>
    <w:rsid w:val="00A349D0"/>
    <w:rsid w:val="00A34AC9"/>
    <w:rsid w:val="00A3564A"/>
    <w:rsid w:val="00A35955"/>
    <w:rsid w:val="00A35EE8"/>
    <w:rsid w:val="00A363A6"/>
    <w:rsid w:val="00A364C9"/>
    <w:rsid w:val="00A36729"/>
    <w:rsid w:val="00A3677E"/>
    <w:rsid w:val="00A36A9A"/>
    <w:rsid w:val="00A36C93"/>
    <w:rsid w:val="00A372C1"/>
    <w:rsid w:val="00A37A78"/>
    <w:rsid w:val="00A4022E"/>
    <w:rsid w:val="00A40390"/>
    <w:rsid w:val="00A407D6"/>
    <w:rsid w:val="00A407DA"/>
    <w:rsid w:val="00A413DF"/>
    <w:rsid w:val="00A41577"/>
    <w:rsid w:val="00A41B2B"/>
    <w:rsid w:val="00A41D8C"/>
    <w:rsid w:val="00A421CB"/>
    <w:rsid w:val="00A42270"/>
    <w:rsid w:val="00A424BD"/>
    <w:rsid w:val="00A427AE"/>
    <w:rsid w:val="00A42AE0"/>
    <w:rsid w:val="00A42B3A"/>
    <w:rsid w:val="00A42E4B"/>
    <w:rsid w:val="00A4335A"/>
    <w:rsid w:val="00A43760"/>
    <w:rsid w:val="00A4393E"/>
    <w:rsid w:val="00A43A94"/>
    <w:rsid w:val="00A43B84"/>
    <w:rsid w:val="00A4430E"/>
    <w:rsid w:val="00A44597"/>
    <w:rsid w:val="00A44D7A"/>
    <w:rsid w:val="00A44EF0"/>
    <w:rsid w:val="00A453F3"/>
    <w:rsid w:val="00A455F0"/>
    <w:rsid w:val="00A45E74"/>
    <w:rsid w:val="00A46054"/>
    <w:rsid w:val="00A46553"/>
    <w:rsid w:val="00A465AE"/>
    <w:rsid w:val="00A4660A"/>
    <w:rsid w:val="00A4672E"/>
    <w:rsid w:val="00A46B20"/>
    <w:rsid w:val="00A47707"/>
    <w:rsid w:val="00A505D0"/>
    <w:rsid w:val="00A5074F"/>
    <w:rsid w:val="00A507D6"/>
    <w:rsid w:val="00A50A53"/>
    <w:rsid w:val="00A5137A"/>
    <w:rsid w:val="00A51747"/>
    <w:rsid w:val="00A51CFC"/>
    <w:rsid w:val="00A526B4"/>
    <w:rsid w:val="00A53469"/>
    <w:rsid w:val="00A534B6"/>
    <w:rsid w:val="00A53990"/>
    <w:rsid w:val="00A54775"/>
    <w:rsid w:val="00A54908"/>
    <w:rsid w:val="00A54C39"/>
    <w:rsid w:val="00A54ED7"/>
    <w:rsid w:val="00A5538A"/>
    <w:rsid w:val="00A554FA"/>
    <w:rsid w:val="00A55C09"/>
    <w:rsid w:val="00A55EB0"/>
    <w:rsid w:val="00A55FEB"/>
    <w:rsid w:val="00A5663E"/>
    <w:rsid w:val="00A56856"/>
    <w:rsid w:val="00A569D3"/>
    <w:rsid w:val="00A56ECD"/>
    <w:rsid w:val="00A56F50"/>
    <w:rsid w:val="00A57648"/>
    <w:rsid w:val="00A57C14"/>
    <w:rsid w:val="00A57CAC"/>
    <w:rsid w:val="00A57E95"/>
    <w:rsid w:val="00A6098F"/>
    <w:rsid w:val="00A614FF"/>
    <w:rsid w:val="00A616FA"/>
    <w:rsid w:val="00A61F9D"/>
    <w:rsid w:val="00A62088"/>
    <w:rsid w:val="00A62369"/>
    <w:rsid w:val="00A63B6F"/>
    <w:rsid w:val="00A6414E"/>
    <w:rsid w:val="00A64485"/>
    <w:rsid w:val="00A64AE0"/>
    <w:rsid w:val="00A652E4"/>
    <w:rsid w:val="00A65558"/>
    <w:rsid w:val="00A65720"/>
    <w:rsid w:val="00A65960"/>
    <w:rsid w:val="00A6601C"/>
    <w:rsid w:val="00A661BF"/>
    <w:rsid w:val="00A66418"/>
    <w:rsid w:val="00A666CB"/>
    <w:rsid w:val="00A66757"/>
    <w:rsid w:val="00A66FAF"/>
    <w:rsid w:val="00A7001B"/>
    <w:rsid w:val="00A705EE"/>
    <w:rsid w:val="00A70D54"/>
    <w:rsid w:val="00A71266"/>
    <w:rsid w:val="00A71276"/>
    <w:rsid w:val="00A7142B"/>
    <w:rsid w:val="00A714AC"/>
    <w:rsid w:val="00A7162E"/>
    <w:rsid w:val="00A719A6"/>
    <w:rsid w:val="00A72149"/>
    <w:rsid w:val="00A7221B"/>
    <w:rsid w:val="00A7229A"/>
    <w:rsid w:val="00A72345"/>
    <w:rsid w:val="00A7258A"/>
    <w:rsid w:val="00A7277B"/>
    <w:rsid w:val="00A72C3A"/>
    <w:rsid w:val="00A72F75"/>
    <w:rsid w:val="00A7392F"/>
    <w:rsid w:val="00A739E0"/>
    <w:rsid w:val="00A743FC"/>
    <w:rsid w:val="00A75963"/>
    <w:rsid w:val="00A75E2E"/>
    <w:rsid w:val="00A762C6"/>
    <w:rsid w:val="00A766CC"/>
    <w:rsid w:val="00A76DEA"/>
    <w:rsid w:val="00A77F77"/>
    <w:rsid w:val="00A80580"/>
    <w:rsid w:val="00A80848"/>
    <w:rsid w:val="00A80B34"/>
    <w:rsid w:val="00A816C3"/>
    <w:rsid w:val="00A819A1"/>
    <w:rsid w:val="00A81F78"/>
    <w:rsid w:val="00A823B5"/>
    <w:rsid w:val="00A82666"/>
    <w:rsid w:val="00A832A8"/>
    <w:rsid w:val="00A83762"/>
    <w:rsid w:val="00A83D72"/>
    <w:rsid w:val="00A83E92"/>
    <w:rsid w:val="00A83FB8"/>
    <w:rsid w:val="00A84976"/>
    <w:rsid w:val="00A84E17"/>
    <w:rsid w:val="00A84FC6"/>
    <w:rsid w:val="00A85232"/>
    <w:rsid w:val="00A85361"/>
    <w:rsid w:val="00A8580B"/>
    <w:rsid w:val="00A86191"/>
    <w:rsid w:val="00A86A77"/>
    <w:rsid w:val="00A86C82"/>
    <w:rsid w:val="00A86C9B"/>
    <w:rsid w:val="00A877DE"/>
    <w:rsid w:val="00A879DF"/>
    <w:rsid w:val="00A87CEE"/>
    <w:rsid w:val="00A9032A"/>
    <w:rsid w:val="00A912DC"/>
    <w:rsid w:val="00A915E4"/>
    <w:rsid w:val="00A91627"/>
    <w:rsid w:val="00A92038"/>
    <w:rsid w:val="00A92BC3"/>
    <w:rsid w:val="00A92E7B"/>
    <w:rsid w:val="00A930CC"/>
    <w:rsid w:val="00A93F05"/>
    <w:rsid w:val="00A93F5B"/>
    <w:rsid w:val="00A9412C"/>
    <w:rsid w:val="00A94637"/>
    <w:rsid w:val="00A94925"/>
    <w:rsid w:val="00A9505C"/>
    <w:rsid w:val="00A95CC7"/>
    <w:rsid w:val="00A9634D"/>
    <w:rsid w:val="00A9657E"/>
    <w:rsid w:val="00A965CD"/>
    <w:rsid w:val="00A9710D"/>
    <w:rsid w:val="00A97B36"/>
    <w:rsid w:val="00A97BAE"/>
    <w:rsid w:val="00AA0016"/>
    <w:rsid w:val="00AA0239"/>
    <w:rsid w:val="00AA04AF"/>
    <w:rsid w:val="00AA11C6"/>
    <w:rsid w:val="00AA16D4"/>
    <w:rsid w:val="00AA1CCD"/>
    <w:rsid w:val="00AA1FB5"/>
    <w:rsid w:val="00AA2180"/>
    <w:rsid w:val="00AA24D8"/>
    <w:rsid w:val="00AA277E"/>
    <w:rsid w:val="00AA2934"/>
    <w:rsid w:val="00AA29DB"/>
    <w:rsid w:val="00AA2A65"/>
    <w:rsid w:val="00AA2BEC"/>
    <w:rsid w:val="00AA352C"/>
    <w:rsid w:val="00AA397F"/>
    <w:rsid w:val="00AA3ACA"/>
    <w:rsid w:val="00AA3E81"/>
    <w:rsid w:val="00AA4441"/>
    <w:rsid w:val="00AA455B"/>
    <w:rsid w:val="00AA45D5"/>
    <w:rsid w:val="00AA4DB0"/>
    <w:rsid w:val="00AA53B7"/>
    <w:rsid w:val="00AA54C2"/>
    <w:rsid w:val="00AA55B6"/>
    <w:rsid w:val="00AA55E8"/>
    <w:rsid w:val="00AA5647"/>
    <w:rsid w:val="00AA62DF"/>
    <w:rsid w:val="00AA67C9"/>
    <w:rsid w:val="00AA6A2C"/>
    <w:rsid w:val="00AA6BA3"/>
    <w:rsid w:val="00AA6BF6"/>
    <w:rsid w:val="00AA735A"/>
    <w:rsid w:val="00AA74E8"/>
    <w:rsid w:val="00AA7712"/>
    <w:rsid w:val="00AA7F13"/>
    <w:rsid w:val="00AB0B2C"/>
    <w:rsid w:val="00AB0DC0"/>
    <w:rsid w:val="00AB1513"/>
    <w:rsid w:val="00AB1802"/>
    <w:rsid w:val="00AB1E4B"/>
    <w:rsid w:val="00AB28BA"/>
    <w:rsid w:val="00AB2B4E"/>
    <w:rsid w:val="00AB3B51"/>
    <w:rsid w:val="00AB409E"/>
    <w:rsid w:val="00AB4317"/>
    <w:rsid w:val="00AB4354"/>
    <w:rsid w:val="00AB495E"/>
    <w:rsid w:val="00AB50BF"/>
    <w:rsid w:val="00AB60C3"/>
    <w:rsid w:val="00AB6139"/>
    <w:rsid w:val="00AB6577"/>
    <w:rsid w:val="00AB6F3D"/>
    <w:rsid w:val="00AB7158"/>
    <w:rsid w:val="00AB73EB"/>
    <w:rsid w:val="00AB7F00"/>
    <w:rsid w:val="00AC0485"/>
    <w:rsid w:val="00AC0591"/>
    <w:rsid w:val="00AC05F3"/>
    <w:rsid w:val="00AC0909"/>
    <w:rsid w:val="00AC0AF4"/>
    <w:rsid w:val="00AC12C6"/>
    <w:rsid w:val="00AC1575"/>
    <w:rsid w:val="00AC17E5"/>
    <w:rsid w:val="00AC18DB"/>
    <w:rsid w:val="00AC194A"/>
    <w:rsid w:val="00AC262C"/>
    <w:rsid w:val="00AC26AB"/>
    <w:rsid w:val="00AC2D46"/>
    <w:rsid w:val="00AC34BE"/>
    <w:rsid w:val="00AC3912"/>
    <w:rsid w:val="00AC3948"/>
    <w:rsid w:val="00AC3B1C"/>
    <w:rsid w:val="00AC4D44"/>
    <w:rsid w:val="00AC5179"/>
    <w:rsid w:val="00AC5B48"/>
    <w:rsid w:val="00AC6407"/>
    <w:rsid w:val="00AC6B44"/>
    <w:rsid w:val="00AC6D9B"/>
    <w:rsid w:val="00AC6FAE"/>
    <w:rsid w:val="00AC7369"/>
    <w:rsid w:val="00AC7BA7"/>
    <w:rsid w:val="00AC7F2D"/>
    <w:rsid w:val="00AC7FFE"/>
    <w:rsid w:val="00AD035A"/>
    <w:rsid w:val="00AD074F"/>
    <w:rsid w:val="00AD07DD"/>
    <w:rsid w:val="00AD10D4"/>
    <w:rsid w:val="00AD1329"/>
    <w:rsid w:val="00AD139D"/>
    <w:rsid w:val="00AD140A"/>
    <w:rsid w:val="00AD14F8"/>
    <w:rsid w:val="00AD203E"/>
    <w:rsid w:val="00AD2364"/>
    <w:rsid w:val="00AD23B3"/>
    <w:rsid w:val="00AD34D2"/>
    <w:rsid w:val="00AD355F"/>
    <w:rsid w:val="00AD3810"/>
    <w:rsid w:val="00AD3965"/>
    <w:rsid w:val="00AD4B71"/>
    <w:rsid w:val="00AD54BE"/>
    <w:rsid w:val="00AD5983"/>
    <w:rsid w:val="00AD59F9"/>
    <w:rsid w:val="00AD5A34"/>
    <w:rsid w:val="00AD5AFA"/>
    <w:rsid w:val="00AD6A8A"/>
    <w:rsid w:val="00AD6BAF"/>
    <w:rsid w:val="00AD71FB"/>
    <w:rsid w:val="00AD7237"/>
    <w:rsid w:val="00AD724D"/>
    <w:rsid w:val="00AD7F2C"/>
    <w:rsid w:val="00AE00CF"/>
    <w:rsid w:val="00AE03B5"/>
    <w:rsid w:val="00AE0505"/>
    <w:rsid w:val="00AE0603"/>
    <w:rsid w:val="00AE0684"/>
    <w:rsid w:val="00AE0760"/>
    <w:rsid w:val="00AE0925"/>
    <w:rsid w:val="00AE0BCC"/>
    <w:rsid w:val="00AE0EA9"/>
    <w:rsid w:val="00AE104A"/>
    <w:rsid w:val="00AE1A3B"/>
    <w:rsid w:val="00AE1E97"/>
    <w:rsid w:val="00AE2A0E"/>
    <w:rsid w:val="00AE2BC3"/>
    <w:rsid w:val="00AE3934"/>
    <w:rsid w:val="00AE39C8"/>
    <w:rsid w:val="00AE3A6C"/>
    <w:rsid w:val="00AE3ED0"/>
    <w:rsid w:val="00AE3EEC"/>
    <w:rsid w:val="00AE4648"/>
    <w:rsid w:val="00AE4A2E"/>
    <w:rsid w:val="00AE4A97"/>
    <w:rsid w:val="00AE4AB2"/>
    <w:rsid w:val="00AE5000"/>
    <w:rsid w:val="00AE50AB"/>
    <w:rsid w:val="00AE572B"/>
    <w:rsid w:val="00AE58AC"/>
    <w:rsid w:val="00AE5A11"/>
    <w:rsid w:val="00AE5BB3"/>
    <w:rsid w:val="00AE5CD1"/>
    <w:rsid w:val="00AE6212"/>
    <w:rsid w:val="00AE6303"/>
    <w:rsid w:val="00AE6674"/>
    <w:rsid w:val="00AE6689"/>
    <w:rsid w:val="00AE67D0"/>
    <w:rsid w:val="00AE6D67"/>
    <w:rsid w:val="00AE6DA5"/>
    <w:rsid w:val="00AE6E52"/>
    <w:rsid w:val="00AE7667"/>
    <w:rsid w:val="00AE7AC9"/>
    <w:rsid w:val="00AF0294"/>
    <w:rsid w:val="00AF02E0"/>
    <w:rsid w:val="00AF05E6"/>
    <w:rsid w:val="00AF0EAB"/>
    <w:rsid w:val="00AF137B"/>
    <w:rsid w:val="00AF14D4"/>
    <w:rsid w:val="00AF1B74"/>
    <w:rsid w:val="00AF1E1C"/>
    <w:rsid w:val="00AF1F72"/>
    <w:rsid w:val="00AF2017"/>
    <w:rsid w:val="00AF27B4"/>
    <w:rsid w:val="00AF2BFD"/>
    <w:rsid w:val="00AF2E9C"/>
    <w:rsid w:val="00AF3129"/>
    <w:rsid w:val="00AF35A5"/>
    <w:rsid w:val="00AF4099"/>
    <w:rsid w:val="00AF442C"/>
    <w:rsid w:val="00AF4E0A"/>
    <w:rsid w:val="00AF4E5B"/>
    <w:rsid w:val="00AF513A"/>
    <w:rsid w:val="00AF523A"/>
    <w:rsid w:val="00AF5E62"/>
    <w:rsid w:val="00AF63CD"/>
    <w:rsid w:val="00AF65C2"/>
    <w:rsid w:val="00AF663A"/>
    <w:rsid w:val="00AF6BA8"/>
    <w:rsid w:val="00AF6F0C"/>
    <w:rsid w:val="00AF6F11"/>
    <w:rsid w:val="00AF7358"/>
    <w:rsid w:val="00AF78B8"/>
    <w:rsid w:val="00AF797F"/>
    <w:rsid w:val="00AF7A39"/>
    <w:rsid w:val="00B006F9"/>
    <w:rsid w:val="00B014B8"/>
    <w:rsid w:val="00B02230"/>
    <w:rsid w:val="00B022A1"/>
    <w:rsid w:val="00B0272C"/>
    <w:rsid w:val="00B02A74"/>
    <w:rsid w:val="00B02BFA"/>
    <w:rsid w:val="00B02E1F"/>
    <w:rsid w:val="00B0349A"/>
    <w:rsid w:val="00B03BFB"/>
    <w:rsid w:val="00B04D2B"/>
    <w:rsid w:val="00B04D6E"/>
    <w:rsid w:val="00B050A6"/>
    <w:rsid w:val="00B053C6"/>
    <w:rsid w:val="00B0542B"/>
    <w:rsid w:val="00B05446"/>
    <w:rsid w:val="00B05583"/>
    <w:rsid w:val="00B0591A"/>
    <w:rsid w:val="00B06353"/>
    <w:rsid w:val="00B0646A"/>
    <w:rsid w:val="00B067BC"/>
    <w:rsid w:val="00B07D92"/>
    <w:rsid w:val="00B07E80"/>
    <w:rsid w:val="00B07F5F"/>
    <w:rsid w:val="00B10569"/>
    <w:rsid w:val="00B10CD3"/>
    <w:rsid w:val="00B10F00"/>
    <w:rsid w:val="00B11658"/>
    <w:rsid w:val="00B116C3"/>
    <w:rsid w:val="00B124E4"/>
    <w:rsid w:val="00B12DCF"/>
    <w:rsid w:val="00B135C3"/>
    <w:rsid w:val="00B13BDC"/>
    <w:rsid w:val="00B144FC"/>
    <w:rsid w:val="00B14886"/>
    <w:rsid w:val="00B14889"/>
    <w:rsid w:val="00B15189"/>
    <w:rsid w:val="00B1537C"/>
    <w:rsid w:val="00B15D87"/>
    <w:rsid w:val="00B16109"/>
    <w:rsid w:val="00B1623E"/>
    <w:rsid w:val="00B163F0"/>
    <w:rsid w:val="00B16722"/>
    <w:rsid w:val="00B16956"/>
    <w:rsid w:val="00B174D2"/>
    <w:rsid w:val="00B17577"/>
    <w:rsid w:val="00B177C7"/>
    <w:rsid w:val="00B20077"/>
    <w:rsid w:val="00B2074D"/>
    <w:rsid w:val="00B20F74"/>
    <w:rsid w:val="00B212F9"/>
    <w:rsid w:val="00B215E5"/>
    <w:rsid w:val="00B21897"/>
    <w:rsid w:val="00B21BE7"/>
    <w:rsid w:val="00B21C5F"/>
    <w:rsid w:val="00B21D49"/>
    <w:rsid w:val="00B21DC1"/>
    <w:rsid w:val="00B21E27"/>
    <w:rsid w:val="00B22075"/>
    <w:rsid w:val="00B220ED"/>
    <w:rsid w:val="00B2232D"/>
    <w:rsid w:val="00B22DA6"/>
    <w:rsid w:val="00B232F3"/>
    <w:rsid w:val="00B2399A"/>
    <w:rsid w:val="00B23F41"/>
    <w:rsid w:val="00B2432A"/>
    <w:rsid w:val="00B24B62"/>
    <w:rsid w:val="00B24EFF"/>
    <w:rsid w:val="00B2512A"/>
    <w:rsid w:val="00B25B38"/>
    <w:rsid w:val="00B26782"/>
    <w:rsid w:val="00B269CE"/>
    <w:rsid w:val="00B26CAA"/>
    <w:rsid w:val="00B27920"/>
    <w:rsid w:val="00B30217"/>
    <w:rsid w:val="00B306EB"/>
    <w:rsid w:val="00B3073E"/>
    <w:rsid w:val="00B308FA"/>
    <w:rsid w:val="00B30F35"/>
    <w:rsid w:val="00B310A9"/>
    <w:rsid w:val="00B3120E"/>
    <w:rsid w:val="00B312F1"/>
    <w:rsid w:val="00B3130F"/>
    <w:rsid w:val="00B314FB"/>
    <w:rsid w:val="00B31A50"/>
    <w:rsid w:val="00B31A6B"/>
    <w:rsid w:val="00B31B05"/>
    <w:rsid w:val="00B32586"/>
    <w:rsid w:val="00B329B1"/>
    <w:rsid w:val="00B32B53"/>
    <w:rsid w:val="00B33130"/>
    <w:rsid w:val="00B33442"/>
    <w:rsid w:val="00B338C2"/>
    <w:rsid w:val="00B33AF1"/>
    <w:rsid w:val="00B34309"/>
    <w:rsid w:val="00B346EB"/>
    <w:rsid w:val="00B34CF1"/>
    <w:rsid w:val="00B352C1"/>
    <w:rsid w:val="00B356B6"/>
    <w:rsid w:val="00B35E8E"/>
    <w:rsid w:val="00B366C1"/>
    <w:rsid w:val="00B36723"/>
    <w:rsid w:val="00B3721D"/>
    <w:rsid w:val="00B3737D"/>
    <w:rsid w:val="00B374FD"/>
    <w:rsid w:val="00B37932"/>
    <w:rsid w:val="00B40521"/>
    <w:rsid w:val="00B406EF"/>
    <w:rsid w:val="00B40740"/>
    <w:rsid w:val="00B40CA9"/>
    <w:rsid w:val="00B40CBD"/>
    <w:rsid w:val="00B410E6"/>
    <w:rsid w:val="00B413C9"/>
    <w:rsid w:val="00B418E7"/>
    <w:rsid w:val="00B41C71"/>
    <w:rsid w:val="00B42287"/>
    <w:rsid w:val="00B42666"/>
    <w:rsid w:val="00B4268F"/>
    <w:rsid w:val="00B42B45"/>
    <w:rsid w:val="00B4347F"/>
    <w:rsid w:val="00B4366B"/>
    <w:rsid w:val="00B43B7A"/>
    <w:rsid w:val="00B43E65"/>
    <w:rsid w:val="00B444FD"/>
    <w:rsid w:val="00B4496B"/>
    <w:rsid w:val="00B45007"/>
    <w:rsid w:val="00B452EA"/>
    <w:rsid w:val="00B46070"/>
    <w:rsid w:val="00B46344"/>
    <w:rsid w:val="00B471EC"/>
    <w:rsid w:val="00B4743B"/>
    <w:rsid w:val="00B47EB5"/>
    <w:rsid w:val="00B504E2"/>
    <w:rsid w:val="00B5092F"/>
    <w:rsid w:val="00B50AF8"/>
    <w:rsid w:val="00B51564"/>
    <w:rsid w:val="00B51728"/>
    <w:rsid w:val="00B51D9B"/>
    <w:rsid w:val="00B51EFF"/>
    <w:rsid w:val="00B52542"/>
    <w:rsid w:val="00B525E0"/>
    <w:rsid w:val="00B52F29"/>
    <w:rsid w:val="00B53226"/>
    <w:rsid w:val="00B53735"/>
    <w:rsid w:val="00B54235"/>
    <w:rsid w:val="00B5467F"/>
    <w:rsid w:val="00B5478D"/>
    <w:rsid w:val="00B547B7"/>
    <w:rsid w:val="00B54A9F"/>
    <w:rsid w:val="00B54DBD"/>
    <w:rsid w:val="00B553DB"/>
    <w:rsid w:val="00B5541C"/>
    <w:rsid w:val="00B5576B"/>
    <w:rsid w:val="00B558D8"/>
    <w:rsid w:val="00B55BF1"/>
    <w:rsid w:val="00B56A67"/>
    <w:rsid w:val="00B57421"/>
    <w:rsid w:val="00B576B0"/>
    <w:rsid w:val="00B57DFA"/>
    <w:rsid w:val="00B57F06"/>
    <w:rsid w:val="00B57F9D"/>
    <w:rsid w:val="00B6008C"/>
    <w:rsid w:val="00B600DA"/>
    <w:rsid w:val="00B606F2"/>
    <w:rsid w:val="00B60A59"/>
    <w:rsid w:val="00B60CD4"/>
    <w:rsid w:val="00B611D2"/>
    <w:rsid w:val="00B617BA"/>
    <w:rsid w:val="00B618CA"/>
    <w:rsid w:val="00B61968"/>
    <w:rsid w:val="00B61BC5"/>
    <w:rsid w:val="00B62D19"/>
    <w:rsid w:val="00B631D9"/>
    <w:rsid w:val="00B631E8"/>
    <w:rsid w:val="00B63807"/>
    <w:rsid w:val="00B63C12"/>
    <w:rsid w:val="00B63FD5"/>
    <w:rsid w:val="00B64263"/>
    <w:rsid w:val="00B645A4"/>
    <w:rsid w:val="00B64820"/>
    <w:rsid w:val="00B64A2A"/>
    <w:rsid w:val="00B64A31"/>
    <w:rsid w:val="00B64A37"/>
    <w:rsid w:val="00B64B23"/>
    <w:rsid w:val="00B6533A"/>
    <w:rsid w:val="00B660E6"/>
    <w:rsid w:val="00B66373"/>
    <w:rsid w:val="00B66516"/>
    <w:rsid w:val="00B670D9"/>
    <w:rsid w:val="00B67A93"/>
    <w:rsid w:val="00B70102"/>
    <w:rsid w:val="00B70736"/>
    <w:rsid w:val="00B7118E"/>
    <w:rsid w:val="00B71309"/>
    <w:rsid w:val="00B71841"/>
    <w:rsid w:val="00B71BAA"/>
    <w:rsid w:val="00B7253B"/>
    <w:rsid w:val="00B725E1"/>
    <w:rsid w:val="00B7269A"/>
    <w:rsid w:val="00B72954"/>
    <w:rsid w:val="00B72F78"/>
    <w:rsid w:val="00B736D5"/>
    <w:rsid w:val="00B73A44"/>
    <w:rsid w:val="00B73B69"/>
    <w:rsid w:val="00B742F9"/>
    <w:rsid w:val="00B74CFB"/>
    <w:rsid w:val="00B75050"/>
    <w:rsid w:val="00B75242"/>
    <w:rsid w:val="00B752BD"/>
    <w:rsid w:val="00B75963"/>
    <w:rsid w:val="00B75A68"/>
    <w:rsid w:val="00B76ACB"/>
    <w:rsid w:val="00B76B1E"/>
    <w:rsid w:val="00B77001"/>
    <w:rsid w:val="00B7734E"/>
    <w:rsid w:val="00B77AE8"/>
    <w:rsid w:val="00B77D29"/>
    <w:rsid w:val="00B77DDD"/>
    <w:rsid w:val="00B805C3"/>
    <w:rsid w:val="00B807E2"/>
    <w:rsid w:val="00B810F1"/>
    <w:rsid w:val="00B815CE"/>
    <w:rsid w:val="00B81DE0"/>
    <w:rsid w:val="00B81F19"/>
    <w:rsid w:val="00B82291"/>
    <w:rsid w:val="00B825DB"/>
    <w:rsid w:val="00B82C53"/>
    <w:rsid w:val="00B82CF9"/>
    <w:rsid w:val="00B82E87"/>
    <w:rsid w:val="00B832CA"/>
    <w:rsid w:val="00B838F2"/>
    <w:rsid w:val="00B83B08"/>
    <w:rsid w:val="00B8471C"/>
    <w:rsid w:val="00B84873"/>
    <w:rsid w:val="00B850D5"/>
    <w:rsid w:val="00B855A5"/>
    <w:rsid w:val="00B858E3"/>
    <w:rsid w:val="00B85FA3"/>
    <w:rsid w:val="00B863C5"/>
    <w:rsid w:val="00B86B57"/>
    <w:rsid w:val="00B86CF8"/>
    <w:rsid w:val="00B877AC"/>
    <w:rsid w:val="00B877B2"/>
    <w:rsid w:val="00B8781B"/>
    <w:rsid w:val="00B87A07"/>
    <w:rsid w:val="00B87A89"/>
    <w:rsid w:val="00B908C7"/>
    <w:rsid w:val="00B90C7A"/>
    <w:rsid w:val="00B90DB0"/>
    <w:rsid w:val="00B90E79"/>
    <w:rsid w:val="00B912B9"/>
    <w:rsid w:val="00B91768"/>
    <w:rsid w:val="00B91891"/>
    <w:rsid w:val="00B91DA5"/>
    <w:rsid w:val="00B91DF1"/>
    <w:rsid w:val="00B93176"/>
    <w:rsid w:val="00B9451E"/>
    <w:rsid w:val="00B94584"/>
    <w:rsid w:val="00B94B19"/>
    <w:rsid w:val="00B94BB8"/>
    <w:rsid w:val="00B94E84"/>
    <w:rsid w:val="00B952D2"/>
    <w:rsid w:val="00B96395"/>
    <w:rsid w:val="00B96DD6"/>
    <w:rsid w:val="00B97362"/>
    <w:rsid w:val="00B978D2"/>
    <w:rsid w:val="00B97A81"/>
    <w:rsid w:val="00BA1A22"/>
    <w:rsid w:val="00BA1A77"/>
    <w:rsid w:val="00BA2122"/>
    <w:rsid w:val="00BA23CF"/>
    <w:rsid w:val="00BA2D47"/>
    <w:rsid w:val="00BA2FE5"/>
    <w:rsid w:val="00BA30F8"/>
    <w:rsid w:val="00BA3C2A"/>
    <w:rsid w:val="00BA3D90"/>
    <w:rsid w:val="00BA3F77"/>
    <w:rsid w:val="00BA41CC"/>
    <w:rsid w:val="00BA434B"/>
    <w:rsid w:val="00BA4C90"/>
    <w:rsid w:val="00BA4DB4"/>
    <w:rsid w:val="00BA4E04"/>
    <w:rsid w:val="00BA4F85"/>
    <w:rsid w:val="00BA50AA"/>
    <w:rsid w:val="00BA5A48"/>
    <w:rsid w:val="00BA5E9C"/>
    <w:rsid w:val="00BA5FFC"/>
    <w:rsid w:val="00BA60E6"/>
    <w:rsid w:val="00BA6342"/>
    <w:rsid w:val="00BA699E"/>
    <w:rsid w:val="00BA6C5A"/>
    <w:rsid w:val="00BA6C9C"/>
    <w:rsid w:val="00BA6D01"/>
    <w:rsid w:val="00BA767F"/>
    <w:rsid w:val="00BB015F"/>
    <w:rsid w:val="00BB13AD"/>
    <w:rsid w:val="00BB1A1B"/>
    <w:rsid w:val="00BB1F2C"/>
    <w:rsid w:val="00BB2133"/>
    <w:rsid w:val="00BB228B"/>
    <w:rsid w:val="00BB24F9"/>
    <w:rsid w:val="00BB2854"/>
    <w:rsid w:val="00BB2A95"/>
    <w:rsid w:val="00BB2AF2"/>
    <w:rsid w:val="00BB2FB5"/>
    <w:rsid w:val="00BB33CB"/>
    <w:rsid w:val="00BB4464"/>
    <w:rsid w:val="00BB44C0"/>
    <w:rsid w:val="00BB4717"/>
    <w:rsid w:val="00BB479F"/>
    <w:rsid w:val="00BB4F9C"/>
    <w:rsid w:val="00BB53B7"/>
    <w:rsid w:val="00BB5474"/>
    <w:rsid w:val="00BB5672"/>
    <w:rsid w:val="00BB5748"/>
    <w:rsid w:val="00BB59B5"/>
    <w:rsid w:val="00BB64D3"/>
    <w:rsid w:val="00BB65FB"/>
    <w:rsid w:val="00BB667A"/>
    <w:rsid w:val="00BB753B"/>
    <w:rsid w:val="00BB7923"/>
    <w:rsid w:val="00BB7CCE"/>
    <w:rsid w:val="00BB7FDD"/>
    <w:rsid w:val="00BC0391"/>
    <w:rsid w:val="00BC0B8D"/>
    <w:rsid w:val="00BC0C85"/>
    <w:rsid w:val="00BC0EC3"/>
    <w:rsid w:val="00BC0FBA"/>
    <w:rsid w:val="00BC0FBB"/>
    <w:rsid w:val="00BC1ADD"/>
    <w:rsid w:val="00BC20B2"/>
    <w:rsid w:val="00BC246D"/>
    <w:rsid w:val="00BC2522"/>
    <w:rsid w:val="00BC29A8"/>
    <w:rsid w:val="00BC2E17"/>
    <w:rsid w:val="00BC38B0"/>
    <w:rsid w:val="00BC402A"/>
    <w:rsid w:val="00BC47FF"/>
    <w:rsid w:val="00BC4A9D"/>
    <w:rsid w:val="00BC4C47"/>
    <w:rsid w:val="00BC500A"/>
    <w:rsid w:val="00BC53CB"/>
    <w:rsid w:val="00BC5718"/>
    <w:rsid w:val="00BC5846"/>
    <w:rsid w:val="00BC5DFD"/>
    <w:rsid w:val="00BC6010"/>
    <w:rsid w:val="00BC6062"/>
    <w:rsid w:val="00BC60B3"/>
    <w:rsid w:val="00BC60ED"/>
    <w:rsid w:val="00BC7AD6"/>
    <w:rsid w:val="00BC7DD0"/>
    <w:rsid w:val="00BD0A7C"/>
    <w:rsid w:val="00BD17A8"/>
    <w:rsid w:val="00BD1A31"/>
    <w:rsid w:val="00BD1B86"/>
    <w:rsid w:val="00BD23C4"/>
    <w:rsid w:val="00BD29BD"/>
    <w:rsid w:val="00BD3631"/>
    <w:rsid w:val="00BD3717"/>
    <w:rsid w:val="00BD4A11"/>
    <w:rsid w:val="00BD59C0"/>
    <w:rsid w:val="00BD6235"/>
    <w:rsid w:val="00BD687A"/>
    <w:rsid w:val="00BD6A63"/>
    <w:rsid w:val="00BD6AFF"/>
    <w:rsid w:val="00BD6B7B"/>
    <w:rsid w:val="00BD6D83"/>
    <w:rsid w:val="00BD6E65"/>
    <w:rsid w:val="00BD6F73"/>
    <w:rsid w:val="00BD7E4C"/>
    <w:rsid w:val="00BE02DE"/>
    <w:rsid w:val="00BE0419"/>
    <w:rsid w:val="00BE0447"/>
    <w:rsid w:val="00BE068A"/>
    <w:rsid w:val="00BE0934"/>
    <w:rsid w:val="00BE1532"/>
    <w:rsid w:val="00BE1AC4"/>
    <w:rsid w:val="00BE23DC"/>
    <w:rsid w:val="00BE247E"/>
    <w:rsid w:val="00BE37B5"/>
    <w:rsid w:val="00BE38DC"/>
    <w:rsid w:val="00BE42A2"/>
    <w:rsid w:val="00BE431D"/>
    <w:rsid w:val="00BE4DA9"/>
    <w:rsid w:val="00BE4F5A"/>
    <w:rsid w:val="00BE52DC"/>
    <w:rsid w:val="00BE5D0C"/>
    <w:rsid w:val="00BE6387"/>
    <w:rsid w:val="00BE69B5"/>
    <w:rsid w:val="00BE75EF"/>
    <w:rsid w:val="00BE780B"/>
    <w:rsid w:val="00BE793B"/>
    <w:rsid w:val="00BE7ACA"/>
    <w:rsid w:val="00BE7C0A"/>
    <w:rsid w:val="00BF00C5"/>
    <w:rsid w:val="00BF057E"/>
    <w:rsid w:val="00BF1067"/>
    <w:rsid w:val="00BF1ADD"/>
    <w:rsid w:val="00BF1C6A"/>
    <w:rsid w:val="00BF201F"/>
    <w:rsid w:val="00BF2081"/>
    <w:rsid w:val="00BF20FF"/>
    <w:rsid w:val="00BF2379"/>
    <w:rsid w:val="00BF3100"/>
    <w:rsid w:val="00BF331F"/>
    <w:rsid w:val="00BF3405"/>
    <w:rsid w:val="00BF35A5"/>
    <w:rsid w:val="00BF3B1F"/>
    <w:rsid w:val="00BF3B39"/>
    <w:rsid w:val="00BF4D3B"/>
    <w:rsid w:val="00BF4D42"/>
    <w:rsid w:val="00BF4D68"/>
    <w:rsid w:val="00BF5165"/>
    <w:rsid w:val="00BF568D"/>
    <w:rsid w:val="00BF627E"/>
    <w:rsid w:val="00BF65A4"/>
    <w:rsid w:val="00BF6C76"/>
    <w:rsid w:val="00BF6D03"/>
    <w:rsid w:val="00BF710F"/>
    <w:rsid w:val="00BF72E0"/>
    <w:rsid w:val="00BF7593"/>
    <w:rsid w:val="00BF7695"/>
    <w:rsid w:val="00BF7B82"/>
    <w:rsid w:val="00BF7BF5"/>
    <w:rsid w:val="00BF7D14"/>
    <w:rsid w:val="00BF7E19"/>
    <w:rsid w:val="00C003A5"/>
    <w:rsid w:val="00C019C1"/>
    <w:rsid w:val="00C01FA0"/>
    <w:rsid w:val="00C02338"/>
    <w:rsid w:val="00C02405"/>
    <w:rsid w:val="00C02C51"/>
    <w:rsid w:val="00C02EAA"/>
    <w:rsid w:val="00C03264"/>
    <w:rsid w:val="00C03BB8"/>
    <w:rsid w:val="00C0448C"/>
    <w:rsid w:val="00C044BC"/>
    <w:rsid w:val="00C04F8E"/>
    <w:rsid w:val="00C050C8"/>
    <w:rsid w:val="00C054D1"/>
    <w:rsid w:val="00C05526"/>
    <w:rsid w:val="00C055E5"/>
    <w:rsid w:val="00C058F4"/>
    <w:rsid w:val="00C05B36"/>
    <w:rsid w:val="00C05F64"/>
    <w:rsid w:val="00C060DD"/>
    <w:rsid w:val="00C062B7"/>
    <w:rsid w:val="00C06689"/>
    <w:rsid w:val="00C06EAD"/>
    <w:rsid w:val="00C07ADA"/>
    <w:rsid w:val="00C10250"/>
    <w:rsid w:val="00C106FF"/>
    <w:rsid w:val="00C10F9D"/>
    <w:rsid w:val="00C11016"/>
    <w:rsid w:val="00C113D4"/>
    <w:rsid w:val="00C11501"/>
    <w:rsid w:val="00C11632"/>
    <w:rsid w:val="00C120A3"/>
    <w:rsid w:val="00C121AF"/>
    <w:rsid w:val="00C128AB"/>
    <w:rsid w:val="00C12947"/>
    <w:rsid w:val="00C12CE0"/>
    <w:rsid w:val="00C12DEF"/>
    <w:rsid w:val="00C132EC"/>
    <w:rsid w:val="00C139B5"/>
    <w:rsid w:val="00C13F81"/>
    <w:rsid w:val="00C14568"/>
    <w:rsid w:val="00C1496B"/>
    <w:rsid w:val="00C14A92"/>
    <w:rsid w:val="00C14AF0"/>
    <w:rsid w:val="00C14F0A"/>
    <w:rsid w:val="00C14F8D"/>
    <w:rsid w:val="00C15273"/>
    <w:rsid w:val="00C15412"/>
    <w:rsid w:val="00C15DD0"/>
    <w:rsid w:val="00C16158"/>
    <w:rsid w:val="00C161B0"/>
    <w:rsid w:val="00C16986"/>
    <w:rsid w:val="00C16EF1"/>
    <w:rsid w:val="00C16FE3"/>
    <w:rsid w:val="00C17161"/>
    <w:rsid w:val="00C171C1"/>
    <w:rsid w:val="00C1736F"/>
    <w:rsid w:val="00C17AA9"/>
    <w:rsid w:val="00C17BB2"/>
    <w:rsid w:val="00C17BF0"/>
    <w:rsid w:val="00C17F61"/>
    <w:rsid w:val="00C204A9"/>
    <w:rsid w:val="00C205FF"/>
    <w:rsid w:val="00C20C8D"/>
    <w:rsid w:val="00C20CB2"/>
    <w:rsid w:val="00C20D5C"/>
    <w:rsid w:val="00C212EA"/>
    <w:rsid w:val="00C21922"/>
    <w:rsid w:val="00C2220C"/>
    <w:rsid w:val="00C229E1"/>
    <w:rsid w:val="00C22C1F"/>
    <w:rsid w:val="00C2336D"/>
    <w:rsid w:val="00C24307"/>
    <w:rsid w:val="00C246A6"/>
    <w:rsid w:val="00C248F3"/>
    <w:rsid w:val="00C25212"/>
    <w:rsid w:val="00C25474"/>
    <w:rsid w:val="00C257BE"/>
    <w:rsid w:val="00C260B3"/>
    <w:rsid w:val="00C2612F"/>
    <w:rsid w:val="00C26ACA"/>
    <w:rsid w:val="00C26D6A"/>
    <w:rsid w:val="00C26E91"/>
    <w:rsid w:val="00C27605"/>
    <w:rsid w:val="00C279E8"/>
    <w:rsid w:val="00C27E77"/>
    <w:rsid w:val="00C27F56"/>
    <w:rsid w:val="00C3092F"/>
    <w:rsid w:val="00C30C38"/>
    <w:rsid w:val="00C3116C"/>
    <w:rsid w:val="00C311EB"/>
    <w:rsid w:val="00C31222"/>
    <w:rsid w:val="00C31350"/>
    <w:rsid w:val="00C317A9"/>
    <w:rsid w:val="00C3180C"/>
    <w:rsid w:val="00C31EA4"/>
    <w:rsid w:val="00C3229A"/>
    <w:rsid w:val="00C328E2"/>
    <w:rsid w:val="00C3327B"/>
    <w:rsid w:val="00C332B5"/>
    <w:rsid w:val="00C33356"/>
    <w:rsid w:val="00C33D7E"/>
    <w:rsid w:val="00C344B3"/>
    <w:rsid w:val="00C347AC"/>
    <w:rsid w:val="00C34E6E"/>
    <w:rsid w:val="00C3550F"/>
    <w:rsid w:val="00C355FF"/>
    <w:rsid w:val="00C3561D"/>
    <w:rsid w:val="00C35BDE"/>
    <w:rsid w:val="00C35C9C"/>
    <w:rsid w:val="00C35DCD"/>
    <w:rsid w:val="00C35FC3"/>
    <w:rsid w:val="00C36014"/>
    <w:rsid w:val="00C36309"/>
    <w:rsid w:val="00C368AC"/>
    <w:rsid w:val="00C36914"/>
    <w:rsid w:val="00C36D3A"/>
    <w:rsid w:val="00C3715B"/>
    <w:rsid w:val="00C377BF"/>
    <w:rsid w:val="00C37892"/>
    <w:rsid w:val="00C37C1F"/>
    <w:rsid w:val="00C37D07"/>
    <w:rsid w:val="00C37DC8"/>
    <w:rsid w:val="00C407FC"/>
    <w:rsid w:val="00C40A7B"/>
    <w:rsid w:val="00C40BAB"/>
    <w:rsid w:val="00C40E98"/>
    <w:rsid w:val="00C41186"/>
    <w:rsid w:val="00C4120F"/>
    <w:rsid w:val="00C41462"/>
    <w:rsid w:val="00C41561"/>
    <w:rsid w:val="00C419AF"/>
    <w:rsid w:val="00C4278C"/>
    <w:rsid w:val="00C42DDD"/>
    <w:rsid w:val="00C42EB2"/>
    <w:rsid w:val="00C44174"/>
    <w:rsid w:val="00C446FF"/>
    <w:rsid w:val="00C44969"/>
    <w:rsid w:val="00C45075"/>
    <w:rsid w:val="00C45544"/>
    <w:rsid w:val="00C45691"/>
    <w:rsid w:val="00C456AE"/>
    <w:rsid w:val="00C45D4A"/>
    <w:rsid w:val="00C45E42"/>
    <w:rsid w:val="00C4609E"/>
    <w:rsid w:val="00C46244"/>
    <w:rsid w:val="00C4721B"/>
    <w:rsid w:val="00C47DF6"/>
    <w:rsid w:val="00C47FD2"/>
    <w:rsid w:val="00C504B3"/>
    <w:rsid w:val="00C5063E"/>
    <w:rsid w:val="00C507D8"/>
    <w:rsid w:val="00C51117"/>
    <w:rsid w:val="00C51235"/>
    <w:rsid w:val="00C512B9"/>
    <w:rsid w:val="00C5179B"/>
    <w:rsid w:val="00C518F8"/>
    <w:rsid w:val="00C51ABB"/>
    <w:rsid w:val="00C51EBC"/>
    <w:rsid w:val="00C5234F"/>
    <w:rsid w:val="00C52833"/>
    <w:rsid w:val="00C52DB4"/>
    <w:rsid w:val="00C5324B"/>
    <w:rsid w:val="00C538A3"/>
    <w:rsid w:val="00C53DCD"/>
    <w:rsid w:val="00C5413E"/>
    <w:rsid w:val="00C54D4B"/>
    <w:rsid w:val="00C54F35"/>
    <w:rsid w:val="00C55246"/>
    <w:rsid w:val="00C55CAD"/>
    <w:rsid w:val="00C56391"/>
    <w:rsid w:val="00C56699"/>
    <w:rsid w:val="00C567C7"/>
    <w:rsid w:val="00C56AA1"/>
    <w:rsid w:val="00C56BA0"/>
    <w:rsid w:val="00C572B5"/>
    <w:rsid w:val="00C57886"/>
    <w:rsid w:val="00C57A83"/>
    <w:rsid w:val="00C57ACC"/>
    <w:rsid w:val="00C6000C"/>
    <w:rsid w:val="00C60593"/>
    <w:rsid w:val="00C619EA"/>
    <w:rsid w:val="00C61A6E"/>
    <w:rsid w:val="00C61C0A"/>
    <w:rsid w:val="00C61D11"/>
    <w:rsid w:val="00C61F31"/>
    <w:rsid w:val="00C62404"/>
    <w:rsid w:val="00C624AF"/>
    <w:rsid w:val="00C633B5"/>
    <w:rsid w:val="00C63D6D"/>
    <w:rsid w:val="00C63FCC"/>
    <w:rsid w:val="00C655D9"/>
    <w:rsid w:val="00C66B2E"/>
    <w:rsid w:val="00C67598"/>
    <w:rsid w:val="00C67612"/>
    <w:rsid w:val="00C679D8"/>
    <w:rsid w:val="00C70430"/>
    <w:rsid w:val="00C70676"/>
    <w:rsid w:val="00C706B0"/>
    <w:rsid w:val="00C7085A"/>
    <w:rsid w:val="00C71016"/>
    <w:rsid w:val="00C71095"/>
    <w:rsid w:val="00C71388"/>
    <w:rsid w:val="00C7153D"/>
    <w:rsid w:val="00C71CDD"/>
    <w:rsid w:val="00C71F6F"/>
    <w:rsid w:val="00C721C4"/>
    <w:rsid w:val="00C725BB"/>
    <w:rsid w:val="00C72823"/>
    <w:rsid w:val="00C72AE6"/>
    <w:rsid w:val="00C72DCE"/>
    <w:rsid w:val="00C738A0"/>
    <w:rsid w:val="00C7395C"/>
    <w:rsid w:val="00C73D78"/>
    <w:rsid w:val="00C743FC"/>
    <w:rsid w:val="00C745E2"/>
    <w:rsid w:val="00C74709"/>
    <w:rsid w:val="00C74894"/>
    <w:rsid w:val="00C74A90"/>
    <w:rsid w:val="00C74B29"/>
    <w:rsid w:val="00C75251"/>
    <w:rsid w:val="00C75280"/>
    <w:rsid w:val="00C75869"/>
    <w:rsid w:val="00C75AB5"/>
    <w:rsid w:val="00C76CA6"/>
    <w:rsid w:val="00C76D80"/>
    <w:rsid w:val="00C776E2"/>
    <w:rsid w:val="00C77713"/>
    <w:rsid w:val="00C77F74"/>
    <w:rsid w:val="00C80672"/>
    <w:rsid w:val="00C81ABE"/>
    <w:rsid w:val="00C81B0D"/>
    <w:rsid w:val="00C81D63"/>
    <w:rsid w:val="00C82230"/>
    <w:rsid w:val="00C823DA"/>
    <w:rsid w:val="00C825E8"/>
    <w:rsid w:val="00C8263A"/>
    <w:rsid w:val="00C82B8D"/>
    <w:rsid w:val="00C83131"/>
    <w:rsid w:val="00C8324E"/>
    <w:rsid w:val="00C8360D"/>
    <w:rsid w:val="00C83AD2"/>
    <w:rsid w:val="00C83F81"/>
    <w:rsid w:val="00C84602"/>
    <w:rsid w:val="00C8672F"/>
    <w:rsid w:val="00C86914"/>
    <w:rsid w:val="00C869D2"/>
    <w:rsid w:val="00C871A0"/>
    <w:rsid w:val="00C877CC"/>
    <w:rsid w:val="00C8786B"/>
    <w:rsid w:val="00C879A1"/>
    <w:rsid w:val="00C87F12"/>
    <w:rsid w:val="00C908B6"/>
    <w:rsid w:val="00C90958"/>
    <w:rsid w:val="00C90E6D"/>
    <w:rsid w:val="00C91101"/>
    <w:rsid w:val="00C9154A"/>
    <w:rsid w:val="00C91AAD"/>
    <w:rsid w:val="00C921B0"/>
    <w:rsid w:val="00C92235"/>
    <w:rsid w:val="00C922C2"/>
    <w:rsid w:val="00C928D4"/>
    <w:rsid w:val="00C92C29"/>
    <w:rsid w:val="00C930E5"/>
    <w:rsid w:val="00C93A3D"/>
    <w:rsid w:val="00C93BC6"/>
    <w:rsid w:val="00C9447C"/>
    <w:rsid w:val="00C94B70"/>
    <w:rsid w:val="00C95250"/>
    <w:rsid w:val="00C953BA"/>
    <w:rsid w:val="00C9573B"/>
    <w:rsid w:val="00C958BC"/>
    <w:rsid w:val="00C96389"/>
    <w:rsid w:val="00C96585"/>
    <w:rsid w:val="00C96B4E"/>
    <w:rsid w:val="00C96EEC"/>
    <w:rsid w:val="00C973BD"/>
    <w:rsid w:val="00C97550"/>
    <w:rsid w:val="00C975D5"/>
    <w:rsid w:val="00C979C5"/>
    <w:rsid w:val="00C97A5E"/>
    <w:rsid w:val="00CA0552"/>
    <w:rsid w:val="00CA077E"/>
    <w:rsid w:val="00CA08DB"/>
    <w:rsid w:val="00CA08EA"/>
    <w:rsid w:val="00CA0958"/>
    <w:rsid w:val="00CA119F"/>
    <w:rsid w:val="00CA1875"/>
    <w:rsid w:val="00CA2166"/>
    <w:rsid w:val="00CA2363"/>
    <w:rsid w:val="00CA29D2"/>
    <w:rsid w:val="00CA2A1C"/>
    <w:rsid w:val="00CA2A36"/>
    <w:rsid w:val="00CA2D14"/>
    <w:rsid w:val="00CA2FDF"/>
    <w:rsid w:val="00CA3039"/>
    <w:rsid w:val="00CA32F9"/>
    <w:rsid w:val="00CA3358"/>
    <w:rsid w:val="00CA33CD"/>
    <w:rsid w:val="00CA3591"/>
    <w:rsid w:val="00CA35D0"/>
    <w:rsid w:val="00CA3DB0"/>
    <w:rsid w:val="00CA411A"/>
    <w:rsid w:val="00CA41F6"/>
    <w:rsid w:val="00CA4CA6"/>
    <w:rsid w:val="00CA4CFB"/>
    <w:rsid w:val="00CA4E1D"/>
    <w:rsid w:val="00CA4F4D"/>
    <w:rsid w:val="00CA5040"/>
    <w:rsid w:val="00CA53CA"/>
    <w:rsid w:val="00CA5437"/>
    <w:rsid w:val="00CA5EF2"/>
    <w:rsid w:val="00CA680F"/>
    <w:rsid w:val="00CA6D74"/>
    <w:rsid w:val="00CA7A27"/>
    <w:rsid w:val="00CA7E69"/>
    <w:rsid w:val="00CB0000"/>
    <w:rsid w:val="00CB0F67"/>
    <w:rsid w:val="00CB1463"/>
    <w:rsid w:val="00CB194B"/>
    <w:rsid w:val="00CB21BF"/>
    <w:rsid w:val="00CB2B5A"/>
    <w:rsid w:val="00CB3A0C"/>
    <w:rsid w:val="00CB3AD5"/>
    <w:rsid w:val="00CB3CBE"/>
    <w:rsid w:val="00CB4471"/>
    <w:rsid w:val="00CB47F9"/>
    <w:rsid w:val="00CB4B85"/>
    <w:rsid w:val="00CB52AD"/>
    <w:rsid w:val="00CB580E"/>
    <w:rsid w:val="00CB5C3D"/>
    <w:rsid w:val="00CB5C82"/>
    <w:rsid w:val="00CB6F74"/>
    <w:rsid w:val="00CB73D4"/>
    <w:rsid w:val="00CB766C"/>
    <w:rsid w:val="00CB76EB"/>
    <w:rsid w:val="00CB77B9"/>
    <w:rsid w:val="00CC0051"/>
    <w:rsid w:val="00CC0FE9"/>
    <w:rsid w:val="00CC1360"/>
    <w:rsid w:val="00CC1961"/>
    <w:rsid w:val="00CC1BC2"/>
    <w:rsid w:val="00CC252C"/>
    <w:rsid w:val="00CC26FC"/>
    <w:rsid w:val="00CC2AD8"/>
    <w:rsid w:val="00CC2C84"/>
    <w:rsid w:val="00CC2D7D"/>
    <w:rsid w:val="00CC310D"/>
    <w:rsid w:val="00CC34BB"/>
    <w:rsid w:val="00CC3720"/>
    <w:rsid w:val="00CC3F90"/>
    <w:rsid w:val="00CC4930"/>
    <w:rsid w:val="00CC4CD5"/>
    <w:rsid w:val="00CC4FAE"/>
    <w:rsid w:val="00CC50AC"/>
    <w:rsid w:val="00CC5B87"/>
    <w:rsid w:val="00CC5E5C"/>
    <w:rsid w:val="00CC6852"/>
    <w:rsid w:val="00CC6D87"/>
    <w:rsid w:val="00CC71F6"/>
    <w:rsid w:val="00CC73B2"/>
    <w:rsid w:val="00CC7486"/>
    <w:rsid w:val="00CC78C1"/>
    <w:rsid w:val="00CC7B98"/>
    <w:rsid w:val="00CC7E38"/>
    <w:rsid w:val="00CC7F39"/>
    <w:rsid w:val="00CC7F85"/>
    <w:rsid w:val="00CD0187"/>
    <w:rsid w:val="00CD0561"/>
    <w:rsid w:val="00CD0C91"/>
    <w:rsid w:val="00CD0FFC"/>
    <w:rsid w:val="00CD16E0"/>
    <w:rsid w:val="00CD1783"/>
    <w:rsid w:val="00CD1DEF"/>
    <w:rsid w:val="00CD1FA9"/>
    <w:rsid w:val="00CD20DB"/>
    <w:rsid w:val="00CD23BD"/>
    <w:rsid w:val="00CD26B0"/>
    <w:rsid w:val="00CD28BE"/>
    <w:rsid w:val="00CD31A5"/>
    <w:rsid w:val="00CD37F6"/>
    <w:rsid w:val="00CD3DFF"/>
    <w:rsid w:val="00CD4A6F"/>
    <w:rsid w:val="00CD4ACA"/>
    <w:rsid w:val="00CD5640"/>
    <w:rsid w:val="00CD5CCB"/>
    <w:rsid w:val="00CD5F8C"/>
    <w:rsid w:val="00CD6070"/>
    <w:rsid w:val="00CD66C5"/>
    <w:rsid w:val="00CD75F3"/>
    <w:rsid w:val="00CD7908"/>
    <w:rsid w:val="00CD7939"/>
    <w:rsid w:val="00CD7B70"/>
    <w:rsid w:val="00CE03AF"/>
    <w:rsid w:val="00CE1000"/>
    <w:rsid w:val="00CE1870"/>
    <w:rsid w:val="00CE1927"/>
    <w:rsid w:val="00CE1B67"/>
    <w:rsid w:val="00CE1F12"/>
    <w:rsid w:val="00CE21B4"/>
    <w:rsid w:val="00CE2257"/>
    <w:rsid w:val="00CE2BCE"/>
    <w:rsid w:val="00CE3277"/>
    <w:rsid w:val="00CE3A0B"/>
    <w:rsid w:val="00CE3F56"/>
    <w:rsid w:val="00CE40B4"/>
    <w:rsid w:val="00CE4124"/>
    <w:rsid w:val="00CE41CF"/>
    <w:rsid w:val="00CE4219"/>
    <w:rsid w:val="00CE4DF7"/>
    <w:rsid w:val="00CE6013"/>
    <w:rsid w:val="00CE6139"/>
    <w:rsid w:val="00CE6406"/>
    <w:rsid w:val="00CE7B24"/>
    <w:rsid w:val="00CF00E8"/>
    <w:rsid w:val="00CF03E6"/>
    <w:rsid w:val="00CF0512"/>
    <w:rsid w:val="00CF0BAE"/>
    <w:rsid w:val="00CF0F83"/>
    <w:rsid w:val="00CF1A4B"/>
    <w:rsid w:val="00CF1FC7"/>
    <w:rsid w:val="00CF296F"/>
    <w:rsid w:val="00CF2FC7"/>
    <w:rsid w:val="00CF303E"/>
    <w:rsid w:val="00CF3276"/>
    <w:rsid w:val="00CF3519"/>
    <w:rsid w:val="00CF3958"/>
    <w:rsid w:val="00CF4491"/>
    <w:rsid w:val="00CF4559"/>
    <w:rsid w:val="00CF5809"/>
    <w:rsid w:val="00CF5C25"/>
    <w:rsid w:val="00CF6907"/>
    <w:rsid w:val="00CF7870"/>
    <w:rsid w:val="00CF7AA7"/>
    <w:rsid w:val="00CF7BCB"/>
    <w:rsid w:val="00D00041"/>
    <w:rsid w:val="00D00AC2"/>
    <w:rsid w:val="00D00DFD"/>
    <w:rsid w:val="00D00EB1"/>
    <w:rsid w:val="00D00F72"/>
    <w:rsid w:val="00D01056"/>
    <w:rsid w:val="00D013ED"/>
    <w:rsid w:val="00D01D97"/>
    <w:rsid w:val="00D02112"/>
    <w:rsid w:val="00D0240E"/>
    <w:rsid w:val="00D028A1"/>
    <w:rsid w:val="00D02DE5"/>
    <w:rsid w:val="00D033FB"/>
    <w:rsid w:val="00D03DA0"/>
    <w:rsid w:val="00D04774"/>
    <w:rsid w:val="00D04A54"/>
    <w:rsid w:val="00D04AB8"/>
    <w:rsid w:val="00D058BE"/>
    <w:rsid w:val="00D058C5"/>
    <w:rsid w:val="00D058C7"/>
    <w:rsid w:val="00D05CAA"/>
    <w:rsid w:val="00D06282"/>
    <w:rsid w:val="00D066D8"/>
    <w:rsid w:val="00D06998"/>
    <w:rsid w:val="00D069C2"/>
    <w:rsid w:val="00D07306"/>
    <w:rsid w:val="00D07C62"/>
    <w:rsid w:val="00D07E12"/>
    <w:rsid w:val="00D104CB"/>
    <w:rsid w:val="00D106CA"/>
    <w:rsid w:val="00D10B3D"/>
    <w:rsid w:val="00D10C45"/>
    <w:rsid w:val="00D10E21"/>
    <w:rsid w:val="00D115B5"/>
    <w:rsid w:val="00D1169C"/>
    <w:rsid w:val="00D1172C"/>
    <w:rsid w:val="00D117C5"/>
    <w:rsid w:val="00D11BAA"/>
    <w:rsid w:val="00D12C52"/>
    <w:rsid w:val="00D12C58"/>
    <w:rsid w:val="00D13043"/>
    <w:rsid w:val="00D133E7"/>
    <w:rsid w:val="00D1350A"/>
    <w:rsid w:val="00D1369F"/>
    <w:rsid w:val="00D13999"/>
    <w:rsid w:val="00D1414F"/>
    <w:rsid w:val="00D1425E"/>
    <w:rsid w:val="00D143F7"/>
    <w:rsid w:val="00D1465F"/>
    <w:rsid w:val="00D15252"/>
    <w:rsid w:val="00D154BB"/>
    <w:rsid w:val="00D15942"/>
    <w:rsid w:val="00D15D24"/>
    <w:rsid w:val="00D15E5D"/>
    <w:rsid w:val="00D16AE1"/>
    <w:rsid w:val="00D16B0E"/>
    <w:rsid w:val="00D16D2E"/>
    <w:rsid w:val="00D171F5"/>
    <w:rsid w:val="00D1747C"/>
    <w:rsid w:val="00D17524"/>
    <w:rsid w:val="00D177C2"/>
    <w:rsid w:val="00D17BAC"/>
    <w:rsid w:val="00D17D26"/>
    <w:rsid w:val="00D2018E"/>
    <w:rsid w:val="00D20329"/>
    <w:rsid w:val="00D20B03"/>
    <w:rsid w:val="00D21371"/>
    <w:rsid w:val="00D217CF"/>
    <w:rsid w:val="00D2191E"/>
    <w:rsid w:val="00D21A9E"/>
    <w:rsid w:val="00D21AEA"/>
    <w:rsid w:val="00D21E4A"/>
    <w:rsid w:val="00D2273D"/>
    <w:rsid w:val="00D2325E"/>
    <w:rsid w:val="00D23D2A"/>
    <w:rsid w:val="00D23D53"/>
    <w:rsid w:val="00D23FD9"/>
    <w:rsid w:val="00D24075"/>
    <w:rsid w:val="00D2475C"/>
    <w:rsid w:val="00D247AB"/>
    <w:rsid w:val="00D247EB"/>
    <w:rsid w:val="00D24C76"/>
    <w:rsid w:val="00D24C92"/>
    <w:rsid w:val="00D258F5"/>
    <w:rsid w:val="00D25990"/>
    <w:rsid w:val="00D25F9D"/>
    <w:rsid w:val="00D26726"/>
    <w:rsid w:val="00D26EDC"/>
    <w:rsid w:val="00D276BC"/>
    <w:rsid w:val="00D27E5C"/>
    <w:rsid w:val="00D302DB"/>
    <w:rsid w:val="00D303AF"/>
    <w:rsid w:val="00D30429"/>
    <w:rsid w:val="00D30535"/>
    <w:rsid w:val="00D3053C"/>
    <w:rsid w:val="00D306E8"/>
    <w:rsid w:val="00D30804"/>
    <w:rsid w:val="00D31199"/>
    <w:rsid w:val="00D31474"/>
    <w:rsid w:val="00D31D23"/>
    <w:rsid w:val="00D31DFA"/>
    <w:rsid w:val="00D32784"/>
    <w:rsid w:val="00D328E5"/>
    <w:rsid w:val="00D329C8"/>
    <w:rsid w:val="00D332BE"/>
    <w:rsid w:val="00D33537"/>
    <w:rsid w:val="00D33E71"/>
    <w:rsid w:val="00D34172"/>
    <w:rsid w:val="00D34839"/>
    <w:rsid w:val="00D34E83"/>
    <w:rsid w:val="00D3530D"/>
    <w:rsid w:val="00D35B6F"/>
    <w:rsid w:val="00D35E33"/>
    <w:rsid w:val="00D36D92"/>
    <w:rsid w:val="00D3757A"/>
    <w:rsid w:val="00D375BF"/>
    <w:rsid w:val="00D400AD"/>
    <w:rsid w:val="00D40101"/>
    <w:rsid w:val="00D4032F"/>
    <w:rsid w:val="00D40B9A"/>
    <w:rsid w:val="00D41701"/>
    <w:rsid w:val="00D4196A"/>
    <w:rsid w:val="00D41CFF"/>
    <w:rsid w:val="00D432F1"/>
    <w:rsid w:val="00D4346C"/>
    <w:rsid w:val="00D43C51"/>
    <w:rsid w:val="00D43E1D"/>
    <w:rsid w:val="00D44002"/>
    <w:rsid w:val="00D443A2"/>
    <w:rsid w:val="00D44544"/>
    <w:rsid w:val="00D446A8"/>
    <w:rsid w:val="00D447BD"/>
    <w:rsid w:val="00D44891"/>
    <w:rsid w:val="00D450E7"/>
    <w:rsid w:val="00D4531C"/>
    <w:rsid w:val="00D45C5C"/>
    <w:rsid w:val="00D45D28"/>
    <w:rsid w:val="00D46185"/>
    <w:rsid w:val="00D46552"/>
    <w:rsid w:val="00D46E62"/>
    <w:rsid w:val="00D46EEB"/>
    <w:rsid w:val="00D46FB5"/>
    <w:rsid w:val="00D50A00"/>
    <w:rsid w:val="00D51842"/>
    <w:rsid w:val="00D51A4F"/>
    <w:rsid w:val="00D52A03"/>
    <w:rsid w:val="00D5306C"/>
    <w:rsid w:val="00D536E0"/>
    <w:rsid w:val="00D53BA6"/>
    <w:rsid w:val="00D53CA3"/>
    <w:rsid w:val="00D53FEA"/>
    <w:rsid w:val="00D54DCE"/>
    <w:rsid w:val="00D551A2"/>
    <w:rsid w:val="00D556BD"/>
    <w:rsid w:val="00D55829"/>
    <w:rsid w:val="00D55B54"/>
    <w:rsid w:val="00D56358"/>
    <w:rsid w:val="00D5683E"/>
    <w:rsid w:val="00D568BC"/>
    <w:rsid w:val="00D56FED"/>
    <w:rsid w:val="00D5700A"/>
    <w:rsid w:val="00D57395"/>
    <w:rsid w:val="00D5739A"/>
    <w:rsid w:val="00D57555"/>
    <w:rsid w:val="00D60680"/>
    <w:rsid w:val="00D6088D"/>
    <w:rsid w:val="00D6199E"/>
    <w:rsid w:val="00D61A1E"/>
    <w:rsid w:val="00D61ACD"/>
    <w:rsid w:val="00D61B5E"/>
    <w:rsid w:val="00D61C34"/>
    <w:rsid w:val="00D624AC"/>
    <w:rsid w:val="00D6251B"/>
    <w:rsid w:val="00D632D3"/>
    <w:rsid w:val="00D636F7"/>
    <w:rsid w:val="00D6389A"/>
    <w:rsid w:val="00D638C7"/>
    <w:rsid w:val="00D63F3D"/>
    <w:rsid w:val="00D6475B"/>
    <w:rsid w:val="00D64D1E"/>
    <w:rsid w:val="00D64DEE"/>
    <w:rsid w:val="00D64EED"/>
    <w:rsid w:val="00D65CB9"/>
    <w:rsid w:val="00D66915"/>
    <w:rsid w:val="00D66AB0"/>
    <w:rsid w:val="00D671E4"/>
    <w:rsid w:val="00D67241"/>
    <w:rsid w:val="00D6737C"/>
    <w:rsid w:val="00D67EC8"/>
    <w:rsid w:val="00D67F88"/>
    <w:rsid w:val="00D71132"/>
    <w:rsid w:val="00D713FE"/>
    <w:rsid w:val="00D71818"/>
    <w:rsid w:val="00D71907"/>
    <w:rsid w:val="00D71E2C"/>
    <w:rsid w:val="00D721FA"/>
    <w:rsid w:val="00D72A59"/>
    <w:rsid w:val="00D72DAD"/>
    <w:rsid w:val="00D72F8A"/>
    <w:rsid w:val="00D73067"/>
    <w:rsid w:val="00D73A58"/>
    <w:rsid w:val="00D75251"/>
    <w:rsid w:val="00D75317"/>
    <w:rsid w:val="00D76089"/>
    <w:rsid w:val="00D762B6"/>
    <w:rsid w:val="00D76893"/>
    <w:rsid w:val="00D768BA"/>
    <w:rsid w:val="00D7734C"/>
    <w:rsid w:val="00D774A4"/>
    <w:rsid w:val="00D775EC"/>
    <w:rsid w:val="00D8077D"/>
    <w:rsid w:val="00D813B9"/>
    <w:rsid w:val="00D817E6"/>
    <w:rsid w:val="00D819D2"/>
    <w:rsid w:val="00D81E5D"/>
    <w:rsid w:val="00D81EC9"/>
    <w:rsid w:val="00D81FA8"/>
    <w:rsid w:val="00D824D0"/>
    <w:rsid w:val="00D82972"/>
    <w:rsid w:val="00D82B3D"/>
    <w:rsid w:val="00D83078"/>
    <w:rsid w:val="00D8350F"/>
    <w:rsid w:val="00D83F4C"/>
    <w:rsid w:val="00D842AB"/>
    <w:rsid w:val="00D844A0"/>
    <w:rsid w:val="00D84948"/>
    <w:rsid w:val="00D84BB5"/>
    <w:rsid w:val="00D84E2A"/>
    <w:rsid w:val="00D84E37"/>
    <w:rsid w:val="00D8591A"/>
    <w:rsid w:val="00D860D5"/>
    <w:rsid w:val="00D86E09"/>
    <w:rsid w:val="00D87BA5"/>
    <w:rsid w:val="00D87EE9"/>
    <w:rsid w:val="00D9015D"/>
    <w:rsid w:val="00D90192"/>
    <w:rsid w:val="00D9094A"/>
    <w:rsid w:val="00D90ADD"/>
    <w:rsid w:val="00D90CCF"/>
    <w:rsid w:val="00D91218"/>
    <w:rsid w:val="00D916CC"/>
    <w:rsid w:val="00D91ADE"/>
    <w:rsid w:val="00D91E3F"/>
    <w:rsid w:val="00D91F2C"/>
    <w:rsid w:val="00D9277E"/>
    <w:rsid w:val="00D929C8"/>
    <w:rsid w:val="00D92CED"/>
    <w:rsid w:val="00D92E61"/>
    <w:rsid w:val="00D93080"/>
    <w:rsid w:val="00D93230"/>
    <w:rsid w:val="00D936F6"/>
    <w:rsid w:val="00D937BF"/>
    <w:rsid w:val="00D940A4"/>
    <w:rsid w:val="00D9488F"/>
    <w:rsid w:val="00D94A5C"/>
    <w:rsid w:val="00D94A68"/>
    <w:rsid w:val="00D94AE3"/>
    <w:rsid w:val="00D94FB1"/>
    <w:rsid w:val="00D94FCA"/>
    <w:rsid w:val="00D9513F"/>
    <w:rsid w:val="00D951F7"/>
    <w:rsid w:val="00D95629"/>
    <w:rsid w:val="00D959DC"/>
    <w:rsid w:val="00D95ADF"/>
    <w:rsid w:val="00D95C08"/>
    <w:rsid w:val="00D95E64"/>
    <w:rsid w:val="00D9610A"/>
    <w:rsid w:val="00D96895"/>
    <w:rsid w:val="00D96A7E"/>
    <w:rsid w:val="00D972B3"/>
    <w:rsid w:val="00D978B9"/>
    <w:rsid w:val="00DA01F5"/>
    <w:rsid w:val="00DA028A"/>
    <w:rsid w:val="00DA0964"/>
    <w:rsid w:val="00DA0BC4"/>
    <w:rsid w:val="00DA1405"/>
    <w:rsid w:val="00DA1925"/>
    <w:rsid w:val="00DA192E"/>
    <w:rsid w:val="00DA1B62"/>
    <w:rsid w:val="00DA1D14"/>
    <w:rsid w:val="00DA22EA"/>
    <w:rsid w:val="00DA2380"/>
    <w:rsid w:val="00DA2E69"/>
    <w:rsid w:val="00DA37A2"/>
    <w:rsid w:val="00DA3D2A"/>
    <w:rsid w:val="00DA3F20"/>
    <w:rsid w:val="00DA4026"/>
    <w:rsid w:val="00DA4325"/>
    <w:rsid w:val="00DA475B"/>
    <w:rsid w:val="00DA4FFF"/>
    <w:rsid w:val="00DA50A9"/>
    <w:rsid w:val="00DA56C6"/>
    <w:rsid w:val="00DA579B"/>
    <w:rsid w:val="00DA5A43"/>
    <w:rsid w:val="00DA61E7"/>
    <w:rsid w:val="00DA61EC"/>
    <w:rsid w:val="00DA65B9"/>
    <w:rsid w:val="00DA697F"/>
    <w:rsid w:val="00DA69F7"/>
    <w:rsid w:val="00DA73A5"/>
    <w:rsid w:val="00DB02F7"/>
    <w:rsid w:val="00DB0420"/>
    <w:rsid w:val="00DB0711"/>
    <w:rsid w:val="00DB0B04"/>
    <w:rsid w:val="00DB0D14"/>
    <w:rsid w:val="00DB100D"/>
    <w:rsid w:val="00DB15E0"/>
    <w:rsid w:val="00DB16BF"/>
    <w:rsid w:val="00DB17AA"/>
    <w:rsid w:val="00DB19E7"/>
    <w:rsid w:val="00DB22CA"/>
    <w:rsid w:val="00DB27B3"/>
    <w:rsid w:val="00DB315F"/>
    <w:rsid w:val="00DB324E"/>
    <w:rsid w:val="00DB381D"/>
    <w:rsid w:val="00DB3907"/>
    <w:rsid w:val="00DB419B"/>
    <w:rsid w:val="00DB421A"/>
    <w:rsid w:val="00DB447B"/>
    <w:rsid w:val="00DB451D"/>
    <w:rsid w:val="00DB4A98"/>
    <w:rsid w:val="00DB4FEF"/>
    <w:rsid w:val="00DB57A0"/>
    <w:rsid w:val="00DB5FBC"/>
    <w:rsid w:val="00DB608F"/>
    <w:rsid w:val="00DB6444"/>
    <w:rsid w:val="00DB685F"/>
    <w:rsid w:val="00DB6A6D"/>
    <w:rsid w:val="00DB708A"/>
    <w:rsid w:val="00DB72DA"/>
    <w:rsid w:val="00DB7622"/>
    <w:rsid w:val="00DB7BBE"/>
    <w:rsid w:val="00DC01B2"/>
    <w:rsid w:val="00DC0EC4"/>
    <w:rsid w:val="00DC167E"/>
    <w:rsid w:val="00DC16BD"/>
    <w:rsid w:val="00DC2255"/>
    <w:rsid w:val="00DC22C8"/>
    <w:rsid w:val="00DC29D5"/>
    <w:rsid w:val="00DC3828"/>
    <w:rsid w:val="00DC3A84"/>
    <w:rsid w:val="00DC3E43"/>
    <w:rsid w:val="00DC3F65"/>
    <w:rsid w:val="00DC40C2"/>
    <w:rsid w:val="00DC5442"/>
    <w:rsid w:val="00DC6A48"/>
    <w:rsid w:val="00DC6FA0"/>
    <w:rsid w:val="00DC706E"/>
    <w:rsid w:val="00DC71FA"/>
    <w:rsid w:val="00DC79B3"/>
    <w:rsid w:val="00DD008A"/>
    <w:rsid w:val="00DD0856"/>
    <w:rsid w:val="00DD0C7B"/>
    <w:rsid w:val="00DD0EFE"/>
    <w:rsid w:val="00DD21ED"/>
    <w:rsid w:val="00DD2847"/>
    <w:rsid w:val="00DD29E6"/>
    <w:rsid w:val="00DD2A87"/>
    <w:rsid w:val="00DD2BAF"/>
    <w:rsid w:val="00DD2FF3"/>
    <w:rsid w:val="00DD33DA"/>
    <w:rsid w:val="00DD362B"/>
    <w:rsid w:val="00DD3B1C"/>
    <w:rsid w:val="00DD518A"/>
    <w:rsid w:val="00DD52D0"/>
    <w:rsid w:val="00DD607A"/>
    <w:rsid w:val="00DD63BA"/>
    <w:rsid w:val="00DD6748"/>
    <w:rsid w:val="00DD74A6"/>
    <w:rsid w:val="00DD7C6B"/>
    <w:rsid w:val="00DE005C"/>
    <w:rsid w:val="00DE0204"/>
    <w:rsid w:val="00DE05A3"/>
    <w:rsid w:val="00DE0DC2"/>
    <w:rsid w:val="00DE118D"/>
    <w:rsid w:val="00DE12A6"/>
    <w:rsid w:val="00DE147F"/>
    <w:rsid w:val="00DE152C"/>
    <w:rsid w:val="00DE1F8A"/>
    <w:rsid w:val="00DE2016"/>
    <w:rsid w:val="00DE24B5"/>
    <w:rsid w:val="00DE27EA"/>
    <w:rsid w:val="00DE2A74"/>
    <w:rsid w:val="00DE2C3A"/>
    <w:rsid w:val="00DE3345"/>
    <w:rsid w:val="00DE346B"/>
    <w:rsid w:val="00DE4407"/>
    <w:rsid w:val="00DE4650"/>
    <w:rsid w:val="00DE4CAB"/>
    <w:rsid w:val="00DE55A6"/>
    <w:rsid w:val="00DE7061"/>
    <w:rsid w:val="00DE7694"/>
    <w:rsid w:val="00DE78E2"/>
    <w:rsid w:val="00DE7B43"/>
    <w:rsid w:val="00DE7B64"/>
    <w:rsid w:val="00DE7C43"/>
    <w:rsid w:val="00DE7DA8"/>
    <w:rsid w:val="00DE7EE1"/>
    <w:rsid w:val="00DF02BE"/>
    <w:rsid w:val="00DF0391"/>
    <w:rsid w:val="00DF0E15"/>
    <w:rsid w:val="00DF1638"/>
    <w:rsid w:val="00DF19B8"/>
    <w:rsid w:val="00DF1BCA"/>
    <w:rsid w:val="00DF25F1"/>
    <w:rsid w:val="00DF28D9"/>
    <w:rsid w:val="00DF29A2"/>
    <w:rsid w:val="00DF2C68"/>
    <w:rsid w:val="00DF2F18"/>
    <w:rsid w:val="00DF352F"/>
    <w:rsid w:val="00DF38E0"/>
    <w:rsid w:val="00DF3D2B"/>
    <w:rsid w:val="00DF3F4D"/>
    <w:rsid w:val="00DF451A"/>
    <w:rsid w:val="00DF55E1"/>
    <w:rsid w:val="00DF560A"/>
    <w:rsid w:val="00DF60DC"/>
    <w:rsid w:val="00DF61D3"/>
    <w:rsid w:val="00DF6B91"/>
    <w:rsid w:val="00DF6F5D"/>
    <w:rsid w:val="00DF6FB3"/>
    <w:rsid w:val="00DF7632"/>
    <w:rsid w:val="00DF7BDC"/>
    <w:rsid w:val="00E006B4"/>
    <w:rsid w:val="00E00B9E"/>
    <w:rsid w:val="00E00E23"/>
    <w:rsid w:val="00E011F3"/>
    <w:rsid w:val="00E01280"/>
    <w:rsid w:val="00E0166A"/>
    <w:rsid w:val="00E01BDF"/>
    <w:rsid w:val="00E021EE"/>
    <w:rsid w:val="00E02FB2"/>
    <w:rsid w:val="00E03328"/>
    <w:rsid w:val="00E03EC6"/>
    <w:rsid w:val="00E04716"/>
    <w:rsid w:val="00E0487F"/>
    <w:rsid w:val="00E050B8"/>
    <w:rsid w:val="00E05684"/>
    <w:rsid w:val="00E05F49"/>
    <w:rsid w:val="00E062A7"/>
    <w:rsid w:val="00E06562"/>
    <w:rsid w:val="00E06A5A"/>
    <w:rsid w:val="00E06B84"/>
    <w:rsid w:val="00E06F1C"/>
    <w:rsid w:val="00E0736C"/>
    <w:rsid w:val="00E07562"/>
    <w:rsid w:val="00E07821"/>
    <w:rsid w:val="00E07ECE"/>
    <w:rsid w:val="00E1051B"/>
    <w:rsid w:val="00E109BC"/>
    <w:rsid w:val="00E10F37"/>
    <w:rsid w:val="00E11735"/>
    <w:rsid w:val="00E1245E"/>
    <w:rsid w:val="00E125D8"/>
    <w:rsid w:val="00E14613"/>
    <w:rsid w:val="00E1472F"/>
    <w:rsid w:val="00E14899"/>
    <w:rsid w:val="00E14D4C"/>
    <w:rsid w:val="00E151E5"/>
    <w:rsid w:val="00E156B7"/>
    <w:rsid w:val="00E15E0E"/>
    <w:rsid w:val="00E16ABE"/>
    <w:rsid w:val="00E16DCA"/>
    <w:rsid w:val="00E17587"/>
    <w:rsid w:val="00E179F7"/>
    <w:rsid w:val="00E17F6C"/>
    <w:rsid w:val="00E2008E"/>
    <w:rsid w:val="00E20566"/>
    <w:rsid w:val="00E20EDE"/>
    <w:rsid w:val="00E20F75"/>
    <w:rsid w:val="00E20FF6"/>
    <w:rsid w:val="00E21367"/>
    <w:rsid w:val="00E22231"/>
    <w:rsid w:val="00E22793"/>
    <w:rsid w:val="00E22FD5"/>
    <w:rsid w:val="00E230E5"/>
    <w:rsid w:val="00E245BE"/>
    <w:rsid w:val="00E25440"/>
    <w:rsid w:val="00E255CB"/>
    <w:rsid w:val="00E25827"/>
    <w:rsid w:val="00E25CA3"/>
    <w:rsid w:val="00E25E76"/>
    <w:rsid w:val="00E25ECE"/>
    <w:rsid w:val="00E268A6"/>
    <w:rsid w:val="00E26DF2"/>
    <w:rsid w:val="00E273CF"/>
    <w:rsid w:val="00E27630"/>
    <w:rsid w:val="00E27EDE"/>
    <w:rsid w:val="00E3042E"/>
    <w:rsid w:val="00E30570"/>
    <w:rsid w:val="00E30F38"/>
    <w:rsid w:val="00E312EC"/>
    <w:rsid w:val="00E31673"/>
    <w:rsid w:val="00E31750"/>
    <w:rsid w:val="00E319D8"/>
    <w:rsid w:val="00E31F8D"/>
    <w:rsid w:val="00E32225"/>
    <w:rsid w:val="00E329D9"/>
    <w:rsid w:val="00E32EE2"/>
    <w:rsid w:val="00E32F7F"/>
    <w:rsid w:val="00E330CA"/>
    <w:rsid w:val="00E33A74"/>
    <w:rsid w:val="00E33BBC"/>
    <w:rsid w:val="00E33E83"/>
    <w:rsid w:val="00E34735"/>
    <w:rsid w:val="00E34FE8"/>
    <w:rsid w:val="00E35804"/>
    <w:rsid w:val="00E359BF"/>
    <w:rsid w:val="00E35FCF"/>
    <w:rsid w:val="00E36375"/>
    <w:rsid w:val="00E36505"/>
    <w:rsid w:val="00E366C4"/>
    <w:rsid w:val="00E37B20"/>
    <w:rsid w:val="00E37F16"/>
    <w:rsid w:val="00E37F19"/>
    <w:rsid w:val="00E40BDC"/>
    <w:rsid w:val="00E41954"/>
    <w:rsid w:val="00E4200E"/>
    <w:rsid w:val="00E4245D"/>
    <w:rsid w:val="00E42551"/>
    <w:rsid w:val="00E42866"/>
    <w:rsid w:val="00E42C58"/>
    <w:rsid w:val="00E43820"/>
    <w:rsid w:val="00E43976"/>
    <w:rsid w:val="00E43A1F"/>
    <w:rsid w:val="00E43DC0"/>
    <w:rsid w:val="00E44B42"/>
    <w:rsid w:val="00E456B9"/>
    <w:rsid w:val="00E459C0"/>
    <w:rsid w:val="00E4629A"/>
    <w:rsid w:val="00E46752"/>
    <w:rsid w:val="00E46B3A"/>
    <w:rsid w:val="00E4708D"/>
    <w:rsid w:val="00E47545"/>
    <w:rsid w:val="00E47818"/>
    <w:rsid w:val="00E478E9"/>
    <w:rsid w:val="00E47B17"/>
    <w:rsid w:val="00E47FB8"/>
    <w:rsid w:val="00E5059F"/>
    <w:rsid w:val="00E50719"/>
    <w:rsid w:val="00E50A9F"/>
    <w:rsid w:val="00E50D51"/>
    <w:rsid w:val="00E5167D"/>
    <w:rsid w:val="00E51AF8"/>
    <w:rsid w:val="00E51FB8"/>
    <w:rsid w:val="00E52DD8"/>
    <w:rsid w:val="00E5399D"/>
    <w:rsid w:val="00E53BD3"/>
    <w:rsid w:val="00E5459E"/>
    <w:rsid w:val="00E555BF"/>
    <w:rsid w:val="00E55B83"/>
    <w:rsid w:val="00E55D16"/>
    <w:rsid w:val="00E562D5"/>
    <w:rsid w:val="00E56834"/>
    <w:rsid w:val="00E56F43"/>
    <w:rsid w:val="00E5730C"/>
    <w:rsid w:val="00E57627"/>
    <w:rsid w:val="00E57E04"/>
    <w:rsid w:val="00E6004E"/>
    <w:rsid w:val="00E60A3E"/>
    <w:rsid w:val="00E614A2"/>
    <w:rsid w:val="00E61859"/>
    <w:rsid w:val="00E61A4D"/>
    <w:rsid w:val="00E61AAC"/>
    <w:rsid w:val="00E622FA"/>
    <w:rsid w:val="00E6276D"/>
    <w:rsid w:val="00E6348A"/>
    <w:rsid w:val="00E63B57"/>
    <w:rsid w:val="00E641C1"/>
    <w:rsid w:val="00E646A6"/>
    <w:rsid w:val="00E64714"/>
    <w:rsid w:val="00E647C7"/>
    <w:rsid w:val="00E64F68"/>
    <w:rsid w:val="00E65085"/>
    <w:rsid w:val="00E65724"/>
    <w:rsid w:val="00E657E3"/>
    <w:rsid w:val="00E65AD2"/>
    <w:rsid w:val="00E65BDC"/>
    <w:rsid w:val="00E65F05"/>
    <w:rsid w:val="00E65FD1"/>
    <w:rsid w:val="00E6615D"/>
    <w:rsid w:val="00E666AB"/>
    <w:rsid w:val="00E66FAF"/>
    <w:rsid w:val="00E671F6"/>
    <w:rsid w:val="00E67363"/>
    <w:rsid w:val="00E67872"/>
    <w:rsid w:val="00E67F7E"/>
    <w:rsid w:val="00E70961"/>
    <w:rsid w:val="00E711A9"/>
    <w:rsid w:val="00E711CC"/>
    <w:rsid w:val="00E71213"/>
    <w:rsid w:val="00E7124B"/>
    <w:rsid w:val="00E71468"/>
    <w:rsid w:val="00E71578"/>
    <w:rsid w:val="00E717D1"/>
    <w:rsid w:val="00E71EAE"/>
    <w:rsid w:val="00E723E1"/>
    <w:rsid w:val="00E7394B"/>
    <w:rsid w:val="00E73AB4"/>
    <w:rsid w:val="00E73C11"/>
    <w:rsid w:val="00E73EF7"/>
    <w:rsid w:val="00E743D6"/>
    <w:rsid w:val="00E7464D"/>
    <w:rsid w:val="00E7490D"/>
    <w:rsid w:val="00E749F8"/>
    <w:rsid w:val="00E7560A"/>
    <w:rsid w:val="00E76A88"/>
    <w:rsid w:val="00E76E43"/>
    <w:rsid w:val="00E80444"/>
    <w:rsid w:val="00E80E36"/>
    <w:rsid w:val="00E81057"/>
    <w:rsid w:val="00E810A0"/>
    <w:rsid w:val="00E815D0"/>
    <w:rsid w:val="00E81E44"/>
    <w:rsid w:val="00E8218B"/>
    <w:rsid w:val="00E821C4"/>
    <w:rsid w:val="00E82ABE"/>
    <w:rsid w:val="00E82CF8"/>
    <w:rsid w:val="00E831E8"/>
    <w:rsid w:val="00E8330C"/>
    <w:rsid w:val="00E8352F"/>
    <w:rsid w:val="00E8362A"/>
    <w:rsid w:val="00E838B1"/>
    <w:rsid w:val="00E83B37"/>
    <w:rsid w:val="00E841DA"/>
    <w:rsid w:val="00E8474E"/>
    <w:rsid w:val="00E848E2"/>
    <w:rsid w:val="00E84B10"/>
    <w:rsid w:val="00E853A9"/>
    <w:rsid w:val="00E857C1"/>
    <w:rsid w:val="00E858AC"/>
    <w:rsid w:val="00E85B0A"/>
    <w:rsid w:val="00E85C70"/>
    <w:rsid w:val="00E85ECE"/>
    <w:rsid w:val="00E86A2A"/>
    <w:rsid w:val="00E86BE4"/>
    <w:rsid w:val="00E87543"/>
    <w:rsid w:val="00E87816"/>
    <w:rsid w:val="00E87D6C"/>
    <w:rsid w:val="00E90181"/>
    <w:rsid w:val="00E901CC"/>
    <w:rsid w:val="00E903EF"/>
    <w:rsid w:val="00E90CC1"/>
    <w:rsid w:val="00E90E9F"/>
    <w:rsid w:val="00E91776"/>
    <w:rsid w:val="00E91EB6"/>
    <w:rsid w:val="00E93158"/>
    <w:rsid w:val="00E9317E"/>
    <w:rsid w:val="00E93183"/>
    <w:rsid w:val="00E935E1"/>
    <w:rsid w:val="00E93C1A"/>
    <w:rsid w:val="00E93F1A"/>
    <w:rsid w:val="00E940F7"/>
    <w:rsid w:val="00E94224"/>
    <w:rsid w:val="00E9492F"/>
    <w:rsid w:val="00E94A28"/>
    <w:rsid w:val="00E94A86"/>
    <w:rsid w:val="00E94F86"/>
    <w:rsid w:val="00E9591F"/>
    <w:rsid w:val="00E95B6B"/>
    <w:rsid w:val="00E95C9F"/>
    <w:rsid w:val="00E969D3"/>
    <w:rsid w:val="00E97633"/>
    <w:rsid w:val="00E9777E"/>
    <w:rsid w:val="00E977C9"/>
    <w:rsid w:val="00E97C9A"/>
    <w:rsid w:val="00E97F1E"/>
    <w:rsid w:val="00EA08D7"/>
    <w:rsid w:val="00EA0C02"/>
    <w:rsid w:val="00EA0C84"/>
    <w:rsid w:val="00EA113C"/>
    <w:rsid w:val="00EA1705"/>
    <w:rsid w:val="00EA1E09"/>
    <w:rsid w:val="00EA1E66"/>
    <w:rsid w:val="00EA20D7"/>
    <w:rsid w:val="00EA2581"/>
    <w:rsid w:val="00EA28A2"/>
    <w:rsid w:val="00EA3627"/>
    <w:rsid w:val="00EA37B2"/>
    <w:rsid w:val="00EA37CB"/>
    <w:rsid w:val="00EA3817"/>
    <w:rsid w:val="00EA3CE0"/>
    <w:rsid w:val="00EA3E00"/>
    <w:rsid w:val="00EA5596"/>
    <w:rsid w:val="00EA6301"/>
    <w:rsid w:val="00EA63D2"/>
    <w:rsid w:val="00EA6B2F"/>
    <w:rsid w:val="00EA6B5A"/>
    <w:rsid w:val="00EA7A4E"/>
    <w:rsid w:val="00EA7C76"/>
    <w:rsid w:val="00EA7DB6"/>
    <w:rsid w:val="00EB0107"/>
    <w:rsid w:val="00EB0437"/>
    <w:rsid w:val="00EB0E4C"/>
    <w:rsid w:val="00EB10FE"/>
    <w:rsid w:val="00EB126A"/>
    <w:rsid w:val="00EB129C"/>
    <w:rsid w:val="00EB1650"/>
    <w:rsid w:val="00EB1814"/>
    <w:rsid w:val="00EB184E"/>
    <w:rsid w:val="00EB1CA7"/>
    <w:rsid w:val="00EB219C"/>
    <w:rsid w:val="00EB2B64"/>
    <w:rsid w:val="00EB2EEE"/>
    <w:rsid w:val="00EB3163"/>
    <w:rsid w:val="00EB3411"/>
    <w:rsid w:val="00EB34C3"/>
    <w:rsid w:val="00EB37A7"/>
    <w:rsid w:val="00EB4833"/>
    <w:rsid w:val="00EB4B57"/>
    <w:rsid w:val="00EB567E"/>
    <w:rsid w:val="00EB5B1F"/>
    <w:rsid w:val="00EB5BB5"/>
    <w:rsid w:val="00EB68B9"/>
    <w:rsid w:val="00EB6E37"/>
    <w:rsid w:val="00EB7024"/>
    <w:rsid w:val="00EB77A3"/>
    <w:rsid w:val="00EB77B3"/>
    <w:rsid w:val="00EC0C82"/>
    <w:rsid w:val="00EC10BA"/>
    <w:rsid w:val="00EC1121"/>
    <w:rsid w:val="00EC11C2"/>
    <w:rsid w:val="00EC12DB"/>
    <w:rsid w:val="00EC1E17"/>
    <w:rsid w:val="00EC25C0"/>
    <w:rsid w:val="00EC28D9"/>
    <w:rsid w:val="00EC2EFD"/>
    <w:rsid w:val="00EC3295"/>
    <w:rsid w:val="00EC39CD"/>
    <w:rsid w:val="00EC451C"/>
    <w:rsid w:val="00EC4D35"/>
    <w:rsid w:val="00EC519E"/>
    <w:rsid w:val="00EC56B4"/>
    <w:rsid w:val="00EC6210"/>
    <w:rsid w:val="00EC6363"/>
    <w:rsid w:val="00EC65CF"/>
    <w:rsid w:val="00EC67BC"/>
    <w:rsid w:val="00EC752F"/>
    <w:rsid w:val="00EC7580"/>
    <w:rsid w:val="00EC79F7"/>
    <w:rsid w:val="00EC7F0F"/>
    <w:rsid w:val="00EC7FA2"/>
    <w:rsid w:val="00ED0661"/>
    <w:rsid w:val="00ED09E2"/>
    <w:rsid w:val="00ED0FAA"/>
    <w:rsid w:val="00ED1148"/>
    <w:rsid w:val="00ED1726"/>
    <w:rsid w:val="00ED2184"/>
    <w:rsid w:val="00ED23B5"/>
    <w:rsid w:val="00ED2A9F"/>
    <w:rsid w:val="00ED2D5A"/>
    <w:rsid w:val="00ED2DDE"/>
    <w:rsid w:val="00ED38CB"/>
    <w:rsid w:val="00ED3A51"/>
    <w:rsid w:val="00ED3C93"/>
    <w:rsid w:val="00ED3CA8"/>
    <w:rsid w:val="00ED3ECE"/>
    <w:rsid w:val="00ED3F49"/>
    <w:rsid w:val="00ED4253"/>
    <w:rsid w:val="00ED465F"/>
    <w:rsid w:val="00ED46B3"/>
    <w:rsid w:val="00ED56A7"/>
    <w:rsid w:val="00ED56AA"/>
    <w:rsid w:val="00ED662F"/>
    <w:rsid w:val="00ED7179"/>
    <w:rsid w:val="00EE0E75"/>
    <w:rsid w:val="00EE100F"/>
    <w:rsid w:val="00EE145B"/>
    <w:rsid w:val="00EE148D"/>
    <w:rsid w:val="00EE16A3"/>
    <w:rsid w:val="00EE1F32"/>
    <w:rsid w:val="00EE1FCB"/>
    <w:rsid w:val="00EE22AB"/>
    <w:rsid w:val="00EE2468"/>
    <w:rsid w:val="00EE24C8"/>
    <w:rsid w:val="00EE2CAA"/>
    <w:rsid w:val="00EE2DB7"/>
    <w:rsid w:val="00EE2F2D"/>
    <w:rsid w:val="00EE2F33"/>
    <w:rsid w:val="00EE2F77"/>
    <w:rsid w:val="00EE2F89"/>
    <w:rsid w:val="00EE34BF"/>
    <w:rsid w:val="00EE39F6"/>
    <w:rsid w:val="00EE3DD7"/>
    <w:rsid w:val="00EE3FDD"/>
    <w:rsid w:val="00EE41A8"/>
    <w:rsid w:val="00EE43CE"/>
    <w:rsid w:val="00EE4FFC"/>
    <w:rsid w:val="00EE59C2"/>
    <w:rsid w:val="00EE61BD"/>
    <w:rsid w:val="00EE61D2"/>
    <w:rsid w:val="00EE6D97"/>
    <w:rsid w:val="00EE6F89"/>
    <w:rsid w:val="00EE6F99"/>
    <w:rsid w:val="00EE6FC3"/>
    <w:rsid w:val="00EE71B1"/>
    <w:rsid w:val="00EE78C7"/>
    <w:rsid w:val="00EE7B54"/>
    <w:rsid w:val="00EE7C44"/>
    <w:rsid w:val="00EE7DA7"/>
    <w:rsid w:val="00EF0299"/>
    <w:rsid w:val="00EF05DC"/>
    <w:rsid w:val="00EF09C2"/>
    <w:rsid w:val="00EF1603"/>
    <w:rsid w:val="00EF1772"/>
    <w:rsid w:val="00EF1BAE"/>
    <w:rsid w:val="00EF2A0B"/>
    <w:rsid w:val="00EF2B3C"/>
    <w:rsid w:val="00EF2B8B"/>
    <w:rsid w:val="00EF2E7E"/>
    <w:rsid w:val="00EF3121"/>
    <w:rsid w:val="00EF313F"/>
    <w:rsid w:val="00EF35A3"/>
    <w:rsid w:val="00EF3915"/>
    <w:rsid w:val="00EF3B6E"/>
    <w:rsid w:val="00EF3CCB"/>
    <w:rsid w:val="00EF40FD"/>
    <w:rsid w:val="00EF4397"/>
    <w:rsid w:val="00EF4E55"/>
    <w:rsid w:val="00EF514C"/>
    <w:rsid w:val="00EF546B"/>
    <w:rsid w:val="00EF55E9"/>
    <w:rsid w:val="00EF5B4B"/>
    <w:rsid w:val="00EF60C1"/>
    <w:rsid w:val="00EF6280"/>
    <w:rsid w:val="00EF65C9"/>
    <w:rsid w:val="00EF6699"/>
    <w:rsid w:val="00EF67B9"/>
    <w:rsid w:val="00EF7158"/>
    <w:rsid w:val="00EF722E"/>
    <w:rsid w:val="00EF7406"/>
    <w:rsid w:val="00EF7E21"/>
    <w:rsid w:val="00F005A5"/>
    <w:rsid w:val="00F00712"/>
    <w:rsid w:val="00F00DAB"/>
    <w:rsid w:val="00F00FD8"/>
    <w:rsid w:val="00F01BAE"/>
    <w:rsid w:val="00F01BBA"/>
    <w:rsid w:val="00F02485"/>
    <w:rsid w:val="00F028FE"/>
    <w:rsid w:val="00F02F9C"/>
    <w:rsid w:val="00F03144"/>
    <w:rsid w:val="00F036DE"/>
    <w:rsid w:val="00F045F9"/>
    <w:rsid w:val="00F0461A"/>
    <w:rsid w:val="00F0545D"/>
    <w:rsid w:val="00F054B4"/>
    <w:rsid w:val="00F054CE"/>
    <w:rsid w:val="00F054DD"/>
    <w:rsid w:val="00F057C5"/>
    <w:rsid w:val="00F058C1"/>
    <w:rsid w:val="00F05C30"/>
    <w:rsid w:val="00F06272"/>
    <w:rsid w:val="00F0650F"/>
    <w:rsid w:val="00F066CF"/>
    <w:rsid w:val="00F0688C"/>
    <w:rsid w:val="00F06BB4"/>
    <w:rsid w:val="00F06E25"/>
    <w:rsid w:val="00F06E70"/>
    <w:rsid w:val="00F072F0"/>
    <w:rsid w:val="00F0740B"/>
    <w:rsid w:val="00F07AC2"/>
    <w:rsid w:val="00F07CED"/>
    <w:rsid w:val="00F07D58"/>
    <w:rsid w:val="00F103FC"/>
    <w:rsid w:val="00F104D8"/>
    <w:rsid w:val="00F1085F"/>
    <w:rsid w:val="00F10D6F"/>
    <w:rsid w:val="00F1129C"/>
    <w:rsid w:val="00F11366"/>
    <w:rsid w:val="00F1161A"/>
    <w:rsid w:val="00F11701"/>
    <w:rsid w:val="00F117CF"/>
    <w:rsid w:val="00F11AA6"/>
    <w:rsid w:val="00F11C50"/>
    <w:rsid w:val="00F12453"/>
    <w:rsid w:val="00F129E7"/>
    <w:rsid w:val="00F133C0"/>
    <w:rsid w:val="00F134E1"/>
    <w:rsid w:val="00F13526"/>
    <w:rsid w:val="00F13B7A"/>
    <w:rsid w:val="00F13E41"/>
    <w:rsid w:val="00F1462B"/>
    <w:rsid w:val="00F14642"/>
    <w:rsid w:val="00F146C9"/>
    <w:rsid w:val="00F1478D"/>
    <w:rsid w:val="00F1499D"/>
    <w:rsid w:val="00F15136"/>
    <w:rsid w:val="00F15530"/>
    <w:rsid w:val="00F159AD"/>
    <w:rsid w:val="00F164A9"/>
    <w:rsid w:val="00F16972"/>
    <w:rsid w:val="00F170DE"/>
    <w:rsid w:val="00F17793"/>
    <w:rsid w:val="00F202DA"/>
    <w:rsid w:val="00F206E8"/>
    <w:rsid w:val="00F20AC9"/>
    <w:rsid w:val="00F20CFB"/>
    <w:rsid w:val="00F2109E"/>
    <w:rsid w:val="00F213BE"/>
    <w:rsid w:val="00F213D4"/>
    <w:rsid w:val="00F214EC"/>
    <w:rsid w:val="00F216CE"/>
    <w:rsid w:val="00F21A8D"/>
    <w:rsid w:val="00F22F20"/>
    <w:rsid w:val="00F230A4"/>
    <w:rsid w:val="00F23EB6"/>
    <w:rsid w:val="00F24123"/>
    <w:rsid w:val="00F24207"/>
    <w:rsid w:val="00F243C9"/>
    <w:rsid w:val="00F2463D"/>
    <w:rsid w:val="00F24992"/>
    <w:rsid w:val="00F25077"/>
    <w:rsid w:val="00F25877"/>
    <w:rsid w:val="00F25AF5"/>
    <w:rsid w:val="00F25D32"/>
    <w:rsid w:val="00F2608C"/>
    <w:rsid w:val="00F26D16"/>
    <w:rsid w:val="00F26E6F"/>
    <w:rsid w:val="00F27543"/>
    <w:rsid w:val="00F27585"/>
    <w:rsid w:val="00F27662"/>
    <w:rsid w:val="00F30417"/>
    <w:rsid w:val="00F30882"/>
    <w:rsid w:val="00F30B9C"/>
    <w:rsid w:val="00F30C47"/>
    <w:rsid w:val="00F31C7A"/>
    <w:rsid w:val="00F31EA7"/>
    <w:rsid w:val="00F328D7"/>
    <w:rsid w:val="00F32A58"/>
    <w:rsid w:val="00F32D23"/>
    <w:rsid w:val="00F32FC3"/>
    <w:rsid w:val="00F330EF"/>
    <w:rsid w:val="00F339C3"/>
    <w:rsid w:val="00F33E45"/>
    <w:rsid w:val="00F33FED"/>
    <w:rsid w:val="00F34C35"/>
    <w:rsid w:val="00F34CE1"/>
    <w:rsid w:val="00F34D00"/>
    <w:rsid w:val="00F34E92"/>
    <w:rsid w:val="00F3661B"/>
    <w:rsid w:val="00F36C0E"/>
    <w:rsid w:val="00F36CE4"/>
    <w:rsid w:val="00F36D96"/>
    <w:rsid w:val="00F372DA"/>
    <w:rsid w:val="00F376AF"/>
    <w:rsid w:val="00F37854"/>
    <w:rsid w:val="00F37E61"/>
    <w:rsid w:val="00F40377"/>
    <w:rsid w:val="00F40409"/>
    <w:rsid w:val="00F40532"/>
    <w:rsid w:val="00F40826"/>
    <w:rsid w:val="00F40B0C"/>
    <w:rsid w:val="00F40DBB"/>
    <w:rsid w:val="00F414B0"/>
    <w:rsid w:val="00F41E3D"/>
    <w:rsid w:val="00F42310"/>
    <w:rsid w:val="00F42F6B"/>
    <w:rsid w:val="00F436C0"/>
    <w:rsid w:val="00F43AF0"/>
    <w:rsid w:val="00F43DF2"/>
    <w:rsid w:val="00F43E7B"/>
    <w:rsid w:val="00F43FCF"/>
    <w:rsid w:val="00F44010"/>
    <w:rsid w:val="00F44E84"/>
    <w:rsid w:val="00F44F0E"/>
    <w:rsid w:val="00F45130"/>
    <w:rsid w:val="00F45781"/>
    <w:rsid w:val="00F46087"/>
    <w:rsid w:val="00F46118"/>
    <w:rsid w:val="00F46585"/>
    <w:rsid w:val="00F46D1F"/>
    <w:rsid w:val="00F4715C"/>
    <w:rsid w:val="00F47BDD"/>
    <w:rsid w:val="00F47E3E"/>
    <w:rsid w:val="00F47EFF"/>
    <w:rsid w:val="00F500D2"/>
    <w:rsid w:val="00F5030C"/>
    <w:rsid w:val="00F5069E"/>
    <w:rsid w:val="00F50A68"/>
    <w:rsid w:val="00F50ED9"/>
    <w:rsid w:val="00F5108A"/>
    <w:rsid w:val="00F51484"/>
    <w:rsid w:val="00F516A8"/>
    <w:rsid w:val="00F51B93"/>
    <w:rsid w:val="00F51D37"/>
    <w:rsid w:val="00F51D55"/>
    <w:rsid w:val="00F51D5B"/>
    <w:rsid w:val="00F51F45"/>
    <w:rsid w:val="00F5200B"/>
    <w:rsid w:val="00F5250B"/>
    <w:rsid w:val="00F529FC"/>
    <w:rsid w:val="00F5323F"/>
    <w:rsid w:val="00F53813"/>
    <w:rsid w:val="00F53931"/>
    <w:rsid w:val="00F53C1E"/>
    <w:rsid w:val="00F53DDC"/>
    <w:rsid w:val="00F5403C"/>
    <w:rsid w:val="00F54085"/>
    <w:rsid w:val="00F542D5"/>
    <w:rsid w:val="00F543C8"/>
    <w:rsid w:val="00F5443B"/>
    <w:rsid w:val="00F54543"/>
    <w:rsid w:val="00F5500B"/>
    <w:rsid w:val="00F555BE"/>
    <w:rsid w:val="00F55607"/>
    <w:rsid w:val="00F55D31"/>
    <w:rsid w:val="00F55EA9"/>
    <w:rsid w:val="00F560E3"/>
    <w:rsid w:val="00F56520"/>
    <w:rsid w:val="00F56B63"/>
    <w:rsid w:val="00F56BA0"/>
    <w:rsid w:val="00F56CBF"/>
    <w:rsid w:val="00F56D1B"/>
    <w:rsid w:val="00F5757E"/>
    <w:rsid w:val="00F57A25"/>
    <w:rsid w:val="00F6011F"/>
    <w:rsid w:val="00F60473"/>
    <w:rsid w:val="00F60B22"/>
    <w:rsid w:val="00F60CFF"/>
    <w:rsid w:val="00F60ED7"/>
    <w:rsid w:val="00F6141C"/>
    <w:rsid w:val="00F617E5"/>
    <w:rsid w:val="00F61BFB"/>
    <w:rsid w:val="00F61C2A"/>
    <w:rsid w:val="00F61DD6"/>
    <w:rsid w:val="00F623EC"/>
    <w:rsid w:val="00F624F7"/>
    <w:rsid w:val="00F626CF"/>
    <w:rsid w:val="00F62786"/>
    <w:rsid w:val="00F62F68"/>
    <w:rsid w:val="00F63728"/>
    <w:rsid w:val="00F63970"/>
    <w:rsid w:val="00F642C0"/>
    <w:rsid w:val="00F648A4"/>
    <w:rsid w:val="00F65954"/>
    <w:rsid w:val="00F65D1A"/>
    <w:rsid w:val="00F66308"/>
    <w:rsid w:val="00F666B7"/>
    <w:rsid w:val="00F669EE"/>
    <w:rsid w:val="00F66B3D"/>
    <w:rsid w:val="00F67047"/>
    <w:rsid w:val="00F671DB"/>
    <w:rsid w:val="00F6725B"/>
    <w:rsid w:val="00F672C0"/>
    <w:rsid w:val="00F6744A"/>
    <w:rsid w:val="00F67835"/>
    <w:rsid w:val="00F67C5F"/>
    <w:rsid w:val="00F67E1B"/>
    <w:rsid w:val="00F700D1"/>
    <w:rsid w:val="00F718C6"/>
    <w:rsid w:val="00F71F18"/>
    <w:rsid w:val="00F71F73"/>
    <w:rsid w:val="00F720C5"/>
    <w:rsid w:val="00F72157"/>
    <w:rsid w:val="00F7280E"/>
    <w:rsid w:val="00F730A6"/>
    <w:rsid w:val="00F73967"/>
    <w:rsid w:val="00F7397E"/>
    <w:rsid w:val="00F73CC2"/>
    <w:rsid w:val="00F751E9"/>
    <w:rsid w:val="00F757C1"/>
    <w:rsid w:val="00F75C43"/>
    <w:rsid w:val="00F76BAE"/>
    <w:rsid w:val="00F76FEE"/>
    <w:rsid w:val="00F771E5"/>
    <w:rsid w:val="00F77484"/>
    <w:rsid w:val="00F775F1"/>
    <w:rsid w:val="00F77B8F"/>
    <w:rsid w:val="00F77D33"/>
    <w:rsid w:val="00F807B4"/>
    <w:rsid w:val="00F80B89"/>
    <w:rsid w:val="00F820EB"/>
    <w:rsid w:val="00F8296F"/>
    <w:rsid w:val="00F83034"/>
    <w:rsid w:val="00F831FB"/>
    <w:rsid w:val="00F8320F"/>
    <w:rsid w:val="00F854B0"/>
    <w:rsid w:val="00F8551F"/>
    <w:rsid w:val="00F8579D"/>
    <w:rsid w:val="00F858DD"/>
    <w:rsid w:val="00F85B39"/>
    <w:rsid w:val="00F86078"/>
    <w:rsid w:val="00F860D3"/>
    <w:rsid w:val="00F86437"/>
    <w:rsid w:val="00F866E0"/>
    <w:rsid w:val="00F867A7"/>
    <w:rsid w:val="00F867E4"/>
    <w:rsid w:val="00F86CAD"/>
    <w:rsid w:val="00F876D0"/>
    <w:rsid w:val="00F876D8"/>
    <w:rsid w:val="00F90240"/>
    <w:rsid w:val="00F90274"/>
    <w:rsid w:val="00F90337"/>
    <w:rsid w:val="00F908FD"/>
    <w:rsid w:val="00F9120C"/>
    <w:rsid w:val="00F91364"/>
    <w:rsid w:val="00F9181D"/>
    <w:rsid w:val="00F919C3"/>
    <w:rsid w:val="00F91EE2"/>
    <w:rsid w:val="00F92202"/>
    <w:rsid w:val="00F92D96"/>
    <w:rsid w:val="00F92F50"/>
    <w:rsid w:val="00F93213"/>
    <w:rsid w:val="00F937C7"/>
    <w:rsid w:val="00F93AD0"/>
    <w:rsid w:val="00F93F51"/>
    <w:rsid w:val="00F941B9"/>
    <w:rsid w:val="00F942D2"/>
    <w:rsid w:val="00F9452F"/>
    <w:rsid w:val="00F94AFC"/>
    <w:rsid w:val="00F94BEC"/>
    <w:rsid w:val="00F94DC5"/>
    <w:rsid w:val="00F94E28"/>
    <w:rsid w:val="00F95235"/>
    <w:rsid w:val="00F9523E"/>
    <w:rsid w:val="00F95A0F"/>
    <w:rsid w:val="00F95D2E"/>
    <w:rsid w:val="00F960FC"/>
    <w:rsid w:val="00F9678A"/>
    <w:rsid w:val="00F97115"/>
    <w:rsid w:val="00F97257"/>
    <w:rsid w:val="00F9743B"/>
    <w:rsid w:val="00F97B72"/>
    <w:rsid w:val="00F97EC5"/>
    <w:rsid w:val="00FA03F0"/>
    <w:rsid w:val="00FA04E5"/>
    <w:rsid w:val="00FA0526"/>
    <w:rsid w:val="00FA05F4"/>
    <w:rsid w:val="00FA088D"/>
    <w:rsid w:val="00FA08FA"/>
    <w:rsid w:val="00FA1441"/>
    <w:rsid w:val="00FA1573"/>
    <w:rsid w:val="00FA2836"/>
    <w:rsid w:val="00FA3855"/>
    <w:rsid w:val="00FA439B"/>
    <w:rsid w:val="00FA4720"/>
    <w:rsid w:val="00FA4D0A"/>
    <w:rsid w:val="00FA5465"/>
    <w:rsid w:val="00FA60D6"/>
    <w:rsid w:val="00FA616D"/>
    <w:rsid w:val="00FA6E2F"/>
    <w:rsid w:val="00FA6ECD"/>
    <w:rsid w:val="00FA6FFE"/>
    <w:rsid w:val="00FA713A"/>
    <w:rsid w:val="00FA7401"/>
    <w:rsid w:val="00FA74EE"/>
    <w:rsid w:val="00FB061D"/>
    <w:rsid w:val="00FB08E9"/>
    <w:rsid w:val="00FB0DC4"/>
    <w:rsid w:val="00FB0EBA"/>
    <w:rsid w:val="00FB16B4"/>
    <w:rsid w:val="00FB1858"/>
    <w:rsid w:val="00FB19D9"/>
    <w:rsid w:val="00FB1B51"/>
    <w:rsid w:val="00FB234D"/>
    <w:rsid w:val="00FB2885"/>
    <w:rsid w:val="00FB3705"/>
    <w:rsid w:val="00FB380C"/>
    <w:rsid w:val="00FB42B0"/>
    <w:rsid w:val="00FB4843"/>
    <w:rsid w:val="00FB4D24"/>
    <w:rsid w:val="00FB4E3B"/>
    <w:rsid w:val="00FB51C9"/>
    <w:rsid w:val="00FB5849"/>
    <w:rsid w:val="00FC1468"/>
    <w:rsid w:val="00FC1B74"/>
    <w:rsid w:val="00FC2D3D"/>
    <w:rsid w:val="00FC2DC3"/>
    <w:rsid w:val="00FC3622"/>
    <w:rsid w:val="00FC39B3"/>
    <w:rsid w:val="00FC3BC2"/>
    <w:rsid w:val="00FC49A6"/>
    <w:rsid w:val="00FC4D33"/>
    <w:rsid w:val="00FC4DBB"/>
    <w:rsid w:val="00FC54FE"/>
    <w:rsid w:val="00FC55F7"/>
    <w:rsid w:val="00FC5CA3"/>
    <w:rsid w:val="00FC5E54"/>
    <w:rsid w:val="00FC5FD9"/>
    <w:rsid w:val="00FC6024"/>
    <w:rsid w:val="00FC6781"/>
    <w:rsid w:val="00FC6C8F"/>
    <w:rsid w:val="00FC750B"/>
    <w:rsid w:val="00FC7A08"/>
    <w:rsid w:val="00FD0671"/>
    <w:rsid w:val="00FD0767"/>
    <w:rsid w:val="00FD09E6"/>
    <w:rsid w:val="00FD0D29"/>
    <w:rsid w:val="00FD0E9F"/>
    <w:rsid w:val="00FD0F85"/>
    <w:rsid w:val="00FD0FCF"/>
    <w:rsid w:val="00FD1857"/>
    <w:rsid w:val="00FD18C3"/>
    <w:rsid w:val="00FD1C47"/>
    <w:rsid w:val="00FD1DDD"/>
    <w:rsid w:val="00FD1EFF"/>
    <w:rsid w:val="00FD2023"/>
    <w:rsid w:val="00FD3314"/>
    <w:rsid w:val="00FD37C3"/>
    <w:rsid w:val="00FD39BA"/>
    <w:rsid w:val="00FD4ACD"/>
    <w:rsid w:val="00FD504E"/>
    <w:rsid w:val="00FD51C7"/>
    <w:rsid w:val="00FD5E18"/>
    <w:rsid w:val="00FD61BD"/>
    <w:rsid w:val="00FD62E0"/>
    <w:rsid w:val="00FD6603"/>
    <w:rsid w:val="00FD696D"/>
    <w:rsid w:val="00FD6C0F"/>
    <w:rsid w:val="00FD7878"/>
    <w:rsid w:val="00FD7E18"/>
    <w:rsid w:val="00FE00D9"/>
    <w:rsid w:val="00FE07A3"/>
    <w:rsid w:val="00FE0CA3"/>
    <w:rsid w:val="00FE0E09"/>
    <w:rsid w:val="00FE1975"/>
    <w:rsid w:val="00FE1B65"/>
    <w:rsid w:val="00FE1C24"/>
    <w:rsid w:val="00FE1F28"/>
    <w:rsid w:val="00FE2834"/>
    <w:rsid w:val="00FE2C5F"/>
    <w:rsid w:val="00FE2E0C"/>
    <w:rsid w:val="00FE2FE0"/>
    <w:rsid w:val="00FE3563"/>
    <w:rsid w:val="00FE365E"/>
    <w:rsid w:val="00FE3CEC"/>
    <w:rsid w:val="00FE3EF3"/>
    <w:rsid w:val="00FE47CB"/>
    <w:rsid w:val="00FE4B4E"/>
    <w:rsid w:val="00FE4E52"/>
    <w:rsid w:val="00FE5B44"/>
    <w:rsid w:val="00FE5D63"/>
    <w:rsid w:val="00FE6355"/>
    <w:rsid w:val="00FE713F"/>
    <w:rsid w:val="00FE71E0"/>
    <w:rsid w:val="00FE74B5"/>
    <w:rsid w:val="00FE7A41"/>
    <w:rsid w:val="00FF02B2"/>
    <w:rsid w:val="00FF058B"/>
    <w:rsid w:val="00FF0AB5"/>
    <w:rsid w:val="00FF0F1C"/>
    <w:rsid w:val="00FF1015"/>
    <w:rsid w:val="00FF16D0"/>
    <w:rsid w:val="00FF1CB1"/>
    <w:rsid w:val="00FF1F7F"/>
    <w:rsid w:val="00FF26C2"/>
    <w:rsid w:val="00FF2EB2"/>
    <w:rsid w:val="00FF33A2"/>
    <w:rsid w:val="00FF3747"/>
    <w:rsid w:val="00FF3B79"/>
    <w:rsid w:val="00FF44EB"/>
    <w:rsid w:val="00FF4877"/>
    <w:rsid w:val="00FF4DB8"/>
    <w:rsid w:val="00FF4F39"/>
    <w:rsid w:val="00FF5611"/>
    <w:rsid w:val="00FF56EF"/>
    <w:rsid w:val="00FF6AB6"/>
    <w:rsid w:val="00FF6B41"/>
    <w:rsid w:val="00FF72C1"/>
    <w:rsid w:val="00FF76EA"/>
    <w:rsid w:val="00FF7DE8"/>
    <w:rsid w:val="0B8653CE"/>
    <w:rsid w:val="0CBB7EB3"/>
    <w:rsid w:val="0D406215"/>
    <w:rsid w:val="0E375AD3"/>
    <w:rsid w:val="12E85C10"/>
    <w:rsid w:val="145F564B"/>
    <w:rsid w:val="1D3257BA"/>
    <w:rsid w:val="1D4951D2"/>
    <w:rsid w:val="22AA152E"/>
    <w:rsid w:val="24324F5E"/>
    <w:rsid w:val="248C527D"/>
    <w:rsid w:val="261253E8"/>
    <w:rsid w:val="27885BC9"/>
    <w:rsid w:val="37CB61A5"/>
    <w:rsid w:val="3B15281B"/>
    <w:rsid w:val="3FD45640"/>
    <w:rsid w:val="43821597"/>
    <w:rsid w:val="465C05E6"/>
    <w:rsid w:val="499D618E"/>
    <w:rsid w:val="4F714FE0"/>
    <w:rsid w:val="5386149C"/>
    <w:rsid w:val="59464F2E"/>
    <w:rsid w:val="5AF80855"/>
    <w:rsid w:val="5D8B6C11"/>
    <w:rsid w:val="643C3794"/>
    <w:rsid w:val="693453D4"/>
    <w:rsid w:val="72384C8D"/>
    <w:rsid w:val="73252357"/>
    <w:rsid w:val="7D3B2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Unicode MS" w:hAnsi="Arial Unicode MS" w:eastAsia="等线" w:cs="Arial Unicode MS"/>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sdException w:unhideWhenUsed="0" w:uiPriority="0" w:semiHidden="0" w:name="footnote text" w:locked="1"/>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ocked="1"/>
    <w:lsdException w:qFormat="1" w:unhideWhenUsed="0" w:uiPriority="0" w:semiHidden="0" w:name="caption"/>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semiHidden="0" w:name="annotation reference"/>
    <w:lsdException w:unhideWhenUsed="0" w:uiPriority="0" w:semiHidden="0" w:name="line number" w:locked="1"/>
    <w:lsdException w:qFormat="1" w:unhideWhenUsed="0" w:uiPriority="0" w:semiHidden="0" w:name="page number"/>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sdException w:unhideWhenUsed="0" w:uiPriority="0" w:semiHidden="0" w:name="toa heading" w:locked="1"/>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unhideWhenUsed="0" w:uiPriority="0" w:semiHidden="0" w:name="Salutation" w:locked="1"/>
    <w:lsdException w:qFormat="1" w:unhideWhenUsed="0" w:uiPriority="0" w:semiHidden="0" w:name="Date"/>
    <w:lsdException w:unhideWhenUsed="0" w:uiPriority="0" w:semiHidden="0" w:name="Body Text First Indent" w:locked="1"/>
    <w:lsdException w:unhideWhenUsed="0" w:uiPriority="0" w:semiHidden="0" w:name="Body Text First Indent 2" w:locked="1"/>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ocked="1"/>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qFormat="1" w:unhideWhenUsed="0" w:uiPriority="0" w:semiHidden="0" w:name="HTML Preformatted"/>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name="Normal Table"/>
    <w:lsdException w:qFormat="1" w:unhideWhenUsed="0" w:uiPriority="0" w:semiHidden="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qFormat="1" w:unhideWhenUsed="0" w:uiPriority="0" w:semiHidden="0" w:name="Table Elegant"/>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99"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等线" w:cs="Arial Unicode MS"/>
      <w:kern w:val="2"/>
      <w:sz w:val="21"/>
      <w:lang w:val="en-US" w:eastAsia="zh-CN" w:bidi="ar-SA"/>
    </w:rPr>
  </w:style>
  <w:style w:type="paragraph" w:styleId="2">
    <w:name w:val="heading 1"/>
    <w:basedOn w:val="1"/>
    <w:next w:val="1"/>
    <w:link w:val="46"/>
    <w:qFormat/>
    <w:uiPriority w:val="9"/>
    <w:pPr>
      <w:keepNext/>
      <w:spacing w:line="400" w:lineRule="exact"/>
      <w:jc w:val="center"/>
      <w:outlineLvl w:val="0"/>
    </w:pPr>
    <w:rPr>
      <w:rFonts w:ascii="Yu Mincho Light" w:hAnsi="等线" w:eastAsia="Yu Mincho Light"/>
      <w:b/>
      <w:sz w:val="24"/>
    </w:rPr>
  </w:style>
  <w:style w:type="paragraph" w:styleId="3">
    <w:name w:val="heading 2"/>
    <w:basedOn w:val="1"/>
    <w:next w:val="1"/>
    <w:qFormat/>
    <w:uiPriority w:val="0"/>
    <w:pPr>
      <w:keepNext/>
      <w:jc w:val="center"/>
      <w:outlineLvl w:val="1"/>
    </w:pPr>
    <w:rPr>
      <w:spacing w:val="-24"/>
      <w:sz w:val="28"/>
    </w:rPr>
  </w:style>
  <w:style w:type="paragraph" w:styleId="4">
    <w:name w:val="heading 3"/>
    <w:basedOn w:val="1"/>
    <w:next w:val="1"/>
    <w:qFormat/>
    <w:uiPriority w:val="0"/>
    <w:pPr>
      <w:keepNext/>
      <w:keepLines/>
      <w:adjustRightInd w:val="0"/>
      <w:spacing w:before="260" w:after="260"/>
      <w:textAlignment w:val="baseline"/>
      <w:outlineLvl w:val="2"/>
    </w:pPr>
    <w:rPr>
      <w:b/>
      <w:kern w:val="0"/>
      <w:sz w:val="28"/>
      <w:shd w:val="clear" w:color="auto" w:fill="FFFFFF"/>
    </w:rPr>
  </w:style>
  <w:style w:type="character" w:default="1" w:styleId="30">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5">
    <w:name w:val="Note Heading"/>
    <w:basedOn w:val="1"/>
    <w:next w:val="1"/>
    <w:qFormat/>
    <w:uiPriority w:val="0"/>
    <w:pPr>
      <w:jc w:val="center"/>
    </w:pPr>
  </w:style>
  <w:style w:type="paragraph" w:styleId="6">
    <w:name w:val="Normal Indent"/>
    <w:basedOn w:val="1"/>
    <w:link w:val="100"/>
    <w:qFormat/>
    <w:uiPriority w:val="0"/>
    <w:pPr>
      <w:ind w:firstLine="420"/>
    </w:pPr>
  </w:style>
  <w:style w:type="paragraph" w:styleId="7">
    <w:name w:val="caption"/>
    <w:basedOn w:val="1"/>
    <w:next w:val="1"/>
    <w:qFormat/>
    <w:uiPriority w:val="0"/>
    <w:pPr>
      <w:adjustRightInd w:val="0"/>
      <w:snapToGrid w:val="0"/>
      <w:ind w:firstLine="200" w:firstLineChars="200"/>
      <w:jc w:val="center"/>
    </w:pPr>
    <w:rPr>
      <w:rFonts w:eastAsia="Arial" w:cs="楷体_GB2312"/>
    </w:rPr>
  </w:style>
  <w:style w:type="paragraph" w:styleId="8">
    <w:name w:val="Document Map"/>
    <w:basedOn w:val="1"/>
    <w:qFormat/>
    <w:uiPriority w:val="0"/>
    <w:pPr>
      <w:shd w:val="clear" w:color="auto" w:fill="000080"/>
    </w:pPr>
  </w:style>
  <w:style w:type="paragraph" w:styleId="9">
    <w:name w:val="annotation text"/>
    <w:basedOn w:val="1"/>
    <w:link w:val="43"/>
    <w:qFormat/>
    <w:uiPriority w:val="0"/>
    <w:pPr>
      <w:jc w:val="left"/>
    </w:pPr>
  </w:style>
  <w:style w:type="paragraph" w:styleId="10">
    <w:name w:val="Body Text 3"/>
    <w:basedOn w:val="1"/>
    <w:qFormat/>
    <w:uiPriority w:val="0"/>
    <w:pPr>
      <w:spacing w:after="120"/>
    </w:pPr>
    <w:rPr>
      <w:sz w:val="16"/>
    </w:rPr>
  </w:style>
  <w:style w:type="paragraph" w:styleId="11">
    <w:name w:val="Body Text"/>
    <w:basedOn w:val="1"/>
    <w:link w:val="57"/>
    <w:qFormat/>
    <w:uiPriority w:val="0"/>
    <w:pPr>
      <w:jc w:val="center"/>
    </w:pPr>
  </w:style>
  <w:style w:type="paragraph" w:styleId="12">
    <w:name w:val="Body Text Indent"/>
    <w:basedOn w:val="1"/>
    <w:link w:val="176"/>
    <w:qFormat/>
    <w:uiPriority w:val="0"/>
    <w:pPr>
      <w:spacing w:line="360" w:lineRule="auto"/>
      <w:ind w:firstLine="480" w:firstLineChars="200"/>
    </w:pPr>
    <w:rPr>
      <w:sz w:val="24"/>
    </w:rPr>
  </w:style>
  <w:style w:type="paragraph" w:styleId="13">
    <w:name w:val="Block Text"/>
    <w:basedOn w:val="1"/>
    <w:qFormat/>
    <w:uiPriority w:val="0"/>
    <w:pPr>
      <w:spacing w:line="320" w:lineRule="exact"/>
      <w:ind w:left="113" w:right="113"/>
      <w:jc w:val="center"/>
    </w:pPr>
    <w:rPr>
      <w:b/>
      <w:sz w:val="13"/>
    </w:rPr>
  </w:style>
  <w:style w:type="paragraph" w:styleId="14">
    <w:name w:val="Plain Text"/>
    <w:basedOn w:val="1"/>
    <w:link w:val="52"/>
    <w:qFormat/>
    <w:uiPriority w:val="0"/>
    <w:rPr>
      <w:rFonts w:ascii="等线" w:hAnsi="Wingdings 2"/>
    </w:rPr>
  </w:style>
  <w:style w:type="paragraph" w:styleId="15">
    <w:name w:val="Date"/>
    <w:basedOn w:val="1"/>
    <w:next w:val="1"/>
    <w:qFormat/>
    <w:uiPriority w:val="0"/>
    <w:rPr>
      <w:sz w:val="24"/>
    </w:rPr>
  </w:style>
  <w:style w:type="paragraph" w:styleId="16">
    <w:name w:val="Body Text Indent 2"/>
    <w:basedOn w:val="1"/>
    <w:qFormat/>
    <w:uiPriority w:val="0"/>
    <w:pPr>
      <w:spacing w:line="460" w:lineRule="exact"/>
      <w:ind w:left="660"/>
    </w:pPr>
    <w:rPr>
      <w:sz w:val="24"/>
    </w:rPr>
  </w:style>
  <w:style w:type="paragraph" w:styleId="17">
    <w:name w:val="Balloon Text"/>
    <w:basedOn w:val="1"/>
    <w:link w:val="48"/>
    <w:qFormat/>
    <w:uiPriority w:val="99"/>
    <w:rPr>
      <w:sz w:val="18"/>
    </w:rPr>
  </w:style>
  <w:style w:type="paragraph" w:styleId="18">
    <w:name w:val="footer"/>
    <w:basedOn w:val="1"/>
    <w:link w:val="38"/>
    <w:qFormat/>
    <w:uiPriority w:val="99"/>
    <w:pPr>
      <w:tabs>
        <w:tab w:val="center" w:pos="4153"/>
        <w:tab w:val="right" w:pos="8306"/>
      </w:tabs>
      <w:snapToGrid w:val="0"/>
      <w:jc w:val="left"/>
    </w:pPr>
    <w:rPr>
      <w:sz w:val="18"/>
    </w:rPr>
  </w:style>
  <w:style w:type="paragraph" w:styleId="19">
    <w:name w:val="header"/>
    <w:basedOn w:val="1"/>
    <w:link w:val="84"/>
    <w:qFormat/>
    <w:uiPriority w:val="99"/>
    <w:pPr>
      <w:pBdr>
        <w:bottom w:val="single" w:color="auto" w:sz="6" w:space="1"/>
      </w:pBdr>
      <w:tabs>
        <w:tab w:val="center" w:pos="4153"/>
        <w:tab w:val="right" w:pos="8306"/>
      </w:tabs>
      <w:snapToGrid w:val="0"/>
      <w:jc w:val="center"/>
    </w:pPr>
    <w:rPr>
      <w:sz w:val="18"/>
    </w:rPr>
  </w:style>
  <w:style w:type="paragraph" w:styleId="20">
    <w:name w:val="List"/>
    <w:basedOn w:val="1"/>
    <w:link w:val="51"/>
    <w:qFormat/>
    <w:uiPriority w:val="0"/>
    <w:pPr>
      <w:ind w:left="200" w:hanging="200" w:hangingChars="200"/>
    </w:pPr>
  </w:style>
  <w:style w:type="paragraph" w:styleId="21">
    <w:name w:val="Body Text Indent 3"/>
    <w:basedOn w:val="1"/>
    <w:qFormat/>
    <w:uiPriority w:val="0"/>
    <w:pPr>
      <w:spacing w:line="460" w:lineRule="exact"/>
      <w:ind w:left="479" w:leftChars="228" w:firstLine="360" w:firstLineChars="150"/>
    </w:pPr>
    <w:rPr>
      <w:sz w:val="24"/>
    </w:rPr>
  </w:style>
  <w:style w:type="paragraph" w:styleId="22">
    <w:name w:val="Body Text 2"/>
    <w:basedOn w:val="1"/>
    <w:qFormat/>
    <w:uiPriority w:val="0"/>
    <w:pPr>
      <w:spacing w:line="360" w:lineRule="auto"/>
    </w:pPr>
    <w:rPr>
      <w:b/>
      <w:caps/>
      <w:sz w:val="24"/>
    </w:rPr>
  </w:style>
  <w:style w:type="paragraph" w:styleId="23">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楷体_GB2312" w:hAnsi="楷体_GB2312"/>
      <w:kern w:val="0"/>
    </w:rPr>
  </w:style>
  <w:style w:type="paragraph" w:styleId="24">
    <w:name w:val="Normal (Web)"/>
    <w:basedOn w:val="1"/>
    <w:qFormat/>
    <w:uiPriority w:val="0"/>
    <w:pPr>
      <w:widowControl/>
      <w:spacing w:before="100" w:beforeAutospacing="1" w:after="100" w:afterAutospacing="1"/>
      <w:jc w:val="left"/>
    </w:pPr>
    <w:rPr>
      <w:rFonts w:ascii="等线" w:hAnsi="等线"/>
      <w:kern w:val="0"/>
      <w:sz w:val="24"/>
    </w:rPr>
  </w:style>
  <w:style w:type="paragraph" w:styleId="25">
    <w:name w:val="annotation subject"/>
    <w:basedOn w:val="9"/>
    <w:next w:val="9"/>
    <w:qFormat/>
    <w:uiPriority w:val="0"/>
    <w:rPr>
      <w:b/>
    </w:rPr>
  </w:style>
  <w:style w:type="table" w:styleId="27">
    <w:name w:val="Table Grid"/>
    <w:basedOn w:val="2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8">
    <w:name w:val="Table Theme"/>
    <w:basedOn w:val="2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9">
    <w:name w:val="Table Elegant"/>
    <w:basedOn w:val="26"/>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rFonts w:cs="Times New Roman"/>
        <w:caps/>
        <w:color w:val="auto"/>
      </w:rPr>
      <w:tblPr/>
      <w:tcPr>
        <w:tcBorders>
          <w:top w:val="nil"/>
          <w:left w:val="nil"/>
          <w:bottom w:val="nil"/>
          <w:right w:val="nil"/>
          <w:insideH w:val="nil"/>
          <w:insideV w:val="nil"/>
          <w:tl2br w:val="nil"/>
          <w:tr2bl w:val="nil"/>
        </w:tcBorders>
      </w:tcPr>
    </w:tblStylePr>
  </w:style>
  <w:style w:type="character" w:styleId="31">
    <w:name w:val="Strong"/>
    <w:qFormat/>
    <w:uiPriority w:val="0"/>
    <w:rPr>
      <w:b/>
    </w:rPr>
  </w:style>
  <w:style w:type="character" w:styleId="32">
    <w:name w:val="page number"/>
    <w:qFormat/>
    <w:uiPriority w:val="0"/>
    <w:rPr>
      <w:rFonts w:cs="Arial Unicode MS"/>
    </w:rPr>
  </w:style>
  <w:style w:type="character" w:styleId="33">
    <w:name w:val="FollowedHyperlink"/>
    <w:qFormat/>
    <w:locked/>
    <w:uiPriority w:val="0"/>
    <w:rPr>
      <w:color w:val="800080"/>
      <w:u w:val="single"/>
    </w:rPr>
  </w:style>
  <w:style w:type="character" w:styleId="34">
    <w:name w:val="Emphasis"/>
    <w:qFormat/>
    <w:uiPriority w:val="0"/>
    <w:rPr>
      <w:color w:val="CC0000"/>
    </w:rPr>
  </w:style>
  <w:style w:type="character" w:styleId="35">
    <w:name w:val="Hyperlink"/>
    <w:qFormat/>
    <w:uiPriority w:val="0"/>
    <w:rPr>
      <w:color w:val="000000"/>
      <w:u w:val="none"/>
    </w:rPr>
  </w:style>
  <w:style w:type="character" w:styleId="36">
    <w:name w:val="annotation reference"/>
    <w:qFormat/>
    <w:uiPriority w:val="0"/>
    <w:rPr>
      <w:sz w:val="21"/>
    </w:rPr>
  </w:style>
  <w:style w:type="character" w:customStyle="1" w:styleId="37">
    <w:name w:val="15"/>
    <w:qFormat/>
    <w:uiPriority w:val="0"/>
    <w:rPr>
      <w:rFonts w:ascii="永中宋体" w:hAnsi="永中宋体"/>
      <w:sz w:val="24"/>
    </w:rPr>
  </w:style>
  <w:style w:type="character" w:customStyle="1" w:styleId="38">
    <w:name w:val="页脚 字符"/>
    <w:link w:val="18"/>
    <w:qFormat/>
    <w:locked/>
    <w:uiPriority w:val="99"/>
    <w:rPr>
      <w:kern w:val="2"/>
      <w:sz w:val="18"/>
    </w:rPr>
  </w:style>
  <w:style w:type="character" w:customStyle="1" w:styleId="39">
    <w:name w:val="样式5 Char"/>
    <w:link w:val="40"/>
    <w:qFormat/>
    <w:locked/>
    <w:uiPriority w:val="0"/>
    <w:rPr>
      <w:sz w:val="24"/>
    </w:rPr>
  </w:style>
  <w:style w:type="paragraph" w:customStyle="1" w:styleId="40">
    <w:name w:val="样式5"/>
    <w:basedOn w:val="1"/>
    <w:link w:val="39"/>
    <w:qFormat/>
    <w:uiPriority w:val="0"/>
    <w:pPr>
      <w:spacing w:line="360" w:lineRule="auto"/>
      <w:ind w:firstLine="1446" w:firstLineChars="200"/>
    </w:pPr>
    <w:rPr>
      <w:kern w:val="0"/>
      <w:sz w:val="24"/>
    </w:rPr>
  </w:style>
  <w:style w:type="character" w:customStyle="1" w:styleId="41">
    <w:name w:val="表格内容 Char"/>
    <w:link w:val="42"/>
    <w:qFormat/>
    <w:locked/>
    <w:uiPriority w:val="0"/>
    <w:rPr>
      <w:sz w:val="21"/>
    </w:rPr>
  </w:style>
  <w:style w:type="paragraph" w:customStyle="1" w:styleId="42">
    <w:name w:val="表格内容"/>
    <w:basedOn w:val="6"/>
    <w:next w:val="6"/>
    <w:link w:val="41"/>
    <w:qFormat/>
    <w:uiPriority w:val="0"/>
    <w:pPr>
      <w:adjustRightInd w:val="0"/>
      <w:snapToGrid w:val="0"/>
      <w:ind w:firstLine="0"/>
      <w:jc w:val="center"/>
    </w:pPr>
    <w:rPr>
      <w:kern w:val="0"/>
    </w:rPr>
  </w:style>
  <w:style w:type="character" w:customStyle="1" w:styleId="43">
    <w:name w:val="批注文字 字符"/>
    <w:link w:val="9"/>
    <w:qFormat/>
    <w:locked/>
    <w:uiPriority w:val="0"/>
    <w:rPr>
      <w:kern w:val="2"/>
      <w:sz w:val="21"/>
    </w:rPr>
  </w:style>
  <w:style w:type="character" w:customStyle="1" w:styleId="44">
    <w:name w:val="样式 标题 2标题2节标题1.1H2h2第一层条4.1二级标题标题 lxb2二级标题 Char表标题单位... Char"/>
    <w:link w:val="45"/>
    <w:qFormat/>
    <w:locked/>
    <w:uiPriority w:val="0"/>
    <w:rPr>
      <w:rFonts w:eastAsia="等线"/>
      <w:b/>
      <w:sz w:val="28"/>
      <w:lang w:val="en-US" w:eastAsia="zh-CN"/>
    </w:rPr>
  </w:style>
  <w:style w:type="paragraph" w:customStyle="1" w:styleId="45">
    <w:name w:val="样式 标题 2标题2节标题1.1H2h2第一层条4.1二级标题标题 lxb2二级标题 Char表标题单位..."/>
    <w:basedOn w:val="3"/>
    <w:link w:val="44"/>
    <w:qFormat/>
    <w:uiPriority w:val="0"/>
    <w:pPr>
      <w:keepLines/>
      <w:adjustRightInd w:val="0"/>
      <w:spacing w:before="260" w:after="260"/>
      <w:jc w:val="left"/>
      <w:textAlignment w:val="baseline"/>
    </w:pPr>
    <w:rPr>
      <w:rFonts w:cs="等线"/>
      <w:b/>
      <w:bCs/>
      <w:spacing w:val="0"/>
      <w:kern w:val="0"/>
    </w:rPr>
  </w:style>
  <w:style w:type="character" w:customStyle="1" w:styleId="46">
    <w:name w:val="标题 1 字符"/>
    <w:link w:val="2"/>
    <w:qFormat/>
    <w:locked/>
    <w:uiPriority w:val="9"/>
    <w:rPr>
      <w:rFonts w:ascii="Yu Mincho Light" w:hAnsi="等线" w:eastAsia="Yu Mincho Light" w:cs="Arial Unicode MS"/>
      <w:b/>
      <w:kern w:val="2"/>
      <w:sz w:val="24"/>
    </w:rPr>
  </w:style>
  <w:style w:type="character" w:customStyle="1" w:styleId="47">
    <w:name w:val="unnamed31"/>
    <w:qFormat/>
    <w:uiPriority w:val="0"/>
    <w:rPr>
      <w:rFonts w:cs="Arial Unicode MS"/>
    </w:rPr>
  </w:style>
  <w:style w:type="character" w:customStyle="1" w:styleId="48">
    <w:name w:val="批注框文本 字符"/>
    <w:link w:val="17"/>
    <w:qFormat/>
    <w:locked/>
    <w:uiPriority w:val="99"/>
    <w:rPr>
      <w:rFonts w:eastAsia="等线"/>
      <w:kern w:val="2"/>
      <w:sz w:val="18"/>
      <w:lang w:val="en-US" w:eastAsia="zh-CN"/>
    </w:rPr>
  </w:style>
  <w:style w:type="character" w:customStyle="1" w:styleId="49">
    <w:name w:val="报告表格 Char"/>
    <w:link w:val="50"/>
    <w:qFormat/>
    <w:locked/>
    <w:uiPriority w:val="0"/>
    <w:rPr>
      <w:sz w:val="21"/>
    </w:rPr>
  </w:style>
  <w:style w:type="paragraph" w:customStyle="1" w:styleId="50">
    <w:name w:val="报告表格"/>
    <w:basedOn w:val="1"/>
    <w:link w:val="49"/>
    <w:qFormat/>
    <w:uiPriority w:val="0"/>
    <w:pPr>
      <w:autoSpaceDE w:val="0"/>
      <w:autoSpaceDN w:val="0"/>
      <w:adjustRightInd w:val="0"/>
      <w:spacing w:before="40" w:after="40"/>
      <w:jc w:val="center"/>
      <w:textAlignment w:val="bottom"/>
    </w:pPr>
    <w:rPr>
      <w:kern w:val="0"/>
    </w:rPr>
  </w:style>
  <w:style w:type="character" w:customStyle="1" w:styleId="51">
    <w:name w:val="列表 字符"/>
    <w:link w:val="20"/>
    <w:qFormat/>
    <w:locked/>
    <w:uiPriority w:val="0"/>
    <w:rPr>
      <w:kern w:val="2"/>
      <w:sz w:val="21"/>
    </w:rPr>
  </w:style>
  <w:style w:type="character" w:customStyle="1" w:styleId="52">
    <w:name w:val="纯文本 字符"/>
    <w:link w:val="14"/>
    <w:qFormat/>
    <w:locked/>
    <w:uiPriority w:val="0"/>
    <w:rPr>
      <w:rFonts w:ascii="等线" w:hAnsi="Wingdings 2" w:eastAsia="等线"/>
      <w:kern w:val="2"/>
      <w:sz w:val="21"/>
      <w:lang w:val="en-US" w:eastAsia="zh-CN"/>
    </w:rPr>
  </w:style>
  <w:style w:type="character" w:customStyle="1" w:styleId="53">
    <w:name w:val="德胜表格内容 Char"/>
    <w:link w:val="54"/>
    <w:qFormat/>
    <w:locked/>
    <w:uiPriority w:val="0"/>
    <w:rPr>
      <w:snapToGrid w:val="0"/>
      <w:color w:val="0000FF"/>
      <w:sz w:val="21"/>
    </w:rPr>
  </w:style>
  <w:style w:type="paragraph" w:customStyle="1" w:styleId="54">
    <w:name w:val="德胜表格内容"/>
    <w:basedOn w:val="1"/>
    <w:link w:val="53"/>
    <w:qFormat/>
    <w:uiPriority w:val="0"/>
    <w:pPr>
      <w:adjustRightInd w:val="0"/>
      <w:snapToGrid w:val="0"/>
      <w:spacing w:line="360" w:lineRule="auto"/>
      <w:jc w:val="center"/>
    </w:pPr>
    <w:rPr>
      <w:color w:val="0000FF"/>
      <w:kern w:val="0"/>
      <w:sz w:val="24"/>
      <w:szCs w:val="21"/>
    </w:rPr>
  </w:style>
  <w:style w:type="character" w:customStyle="1" w:styleId="55">
    <w:name w:val="表格正文(康健城) Char"/>
    <w:link w:val="56"/>
    <w:qFormat/>
    <w:uiPriority w:val="0"/>
    <w:rPr>
      <w:kern w:val="2"/>
      <w:sz w:val="21"/>
      <w:szCs w:val="21"/>
    </w:rPr>
  </w:style>
  <w:style w:type="paragraph" w:customStyle="1" w:styleId="56">
    <w:name w:val="表格正文(康健城)"/>
    <w:basedOn w:val="1"/>
    <w:link w:val="55"/>
    <w:qFormat/>
    <w:uiPriority w:val="0"/>
    <w:pPr>
      <w:adjustRightInd w:val="0"/>
      <w:snapToGrid w:val="0"/>
      <w:jc w:val="center"/>
    </w:pPr>
    <w:rPr>
      <w:szCs w:val="21"/>
    </w:rPr>
  </w:style>
  <w:style w:type="character" w:customStyle="1" w:styleId="57">
    <w:name w:val="正文文本 字符"/>
    <w:link w:val="11"/>
    <w:qFormat/>
    <w:locked/>
    <w:uiPriority w:val="0"/>
    <w:rPr>
      <w:kern w:val="2"/>
      <w:sz w:val="21"/>
    </w:rPr>
  </w:style>
  <w:style w:type="character" w:customStyle="1" w:styleId="58">
    <w:name w:val="表格左齐 Char"/>
    <w:link w:val="59"/>
    <w:qFormat/>
    <w:locked/>
    <w:uiPriority w:val="0"/>
    <w:rPr>
      <w:rFonts w:ascii="Yu Mincho Light" w:hAnsi="楷体_GB2312" w:eastAsia="Yu Mincho Light"/>
      <w:color w:val="000000"/>
      <w:kern w:val="2"/>
      <w:sz w:val="24"/>
    </w:rPr>
  </w:style>
  <w:style w:type="paragraph" w:customStyle="1" w:styleId="59">
    <w:name w:val="表格左齐"/>
    <w:basedOn w:val="1"/>
    <w:link w:val="58"/>
    <w:qFormat/>
    <w:uiPriority w:val="0"/>
    <w:pPr>
      <w:adjustRightInd w:val="0"/>
      <w:snapToGrid w:val="0"/>
      <w:ind w:left="10" w:leftChars="10"/>
    </w:pPr>
    <w:rPr>
      <w:rFonts w:ascii="Yu Mincho Light" w:hAnsi="楷体_GB2312" w:eastAsia="Yu Mincho Light"/>
      <w:color w:val="000000"/>
      <w:sz w:val="24"/>
      <w:szCs w:val="24"/>
    </w:rPr>
  </w:style>
  <w:style w:type="character" w:customStyle="1" w:styleId="60">
    <w:name w:val="正文-1 Char"/>
    <w:link w:val="61"/>
    <w:qFormat/>
    <w:locked/>
    <w:uiPriority w:val="0"/>
    <w:rPr>
      <w:kern w:val="2"/>
      <w:sz w:val="24"/>
      <w:lang w:val="en-US" w:eastAsia="zh-CN"/>
    </w:rPr>
  </w:style>
  <w:style w:type="paragraph" w:customStyle="1" w:styleId="61">
    <w:name w:val="正文-1"/>
    <w:link w:val="60"/>
    <w:qFormat/>
    <w:uiPriority w:val="0"/>
    <w:pPr>
      <w:spacing w:line="480" w:lineRule="exact"/>
      <w:ind w:firstLine="200" w:firstLineChars="200"/>
      <w:jc w:val="both"/>
    </w:pPr>
    <w:rPr>
      <w:rFonts w:ascii="Arial Unicode MS" w:hAnsi="Arial Unicode MS" w:eastAsia="等线" w:cs="等线"/>
      <w:kern w:val="2"/>
      <w:sz w:val="24"/>
      <w:lang w:val="en-US" w:eastAsia="zh-CN" w:bidi="ar-SA"/>
    </w:rPr>
  </w:style>
  <w:style w:type="character" w:customStyle="1" w:styleId="62">
    <w:name w:val="正文01 Char"/>
    <w:link w:val="63"/>
    <w:qFormat/>
    <w:locked/>
    <w:uiPriority w:val="0"/>
    <w:rPr>
      <w:sz w:val="24"/>
    </w:rPr>
  </w:style>
  <w:style w:type="paragraph" w:customStyle="1" w:styleId="63">
    <w:name w:val="正文01"/>
    <w:basedOn w:val="1"/>
    <w:link w:val="62"/>
    <w:qFormat/>
    <w:uiPriority w:val="0"/>
    <w:pPr>
      <w:widowControl/>
      <w:spacing w:line="460" w:lineRule="exact"/>
      <w:jc w:val="left"/>
    </w:pPr>
    <w:rPr>
      <w:kern w:val="0"/>
      <w:sz w:val="24"/>
      <w:szCs w:val="24"/>
    </w:rPr>
  </w:style>
  <w:style w:type="character" w:customStyle="1" w:styleId="64">
    <w:name w:val="apple-style-span"/>
    <w:qFormat/>
    <w:uiPriority w:val="0"/>
    <w:rPr>
      <w:rFonts w:cs="Arial Unicode MS"/>
    </w:rPr>
  </w:style>
  <w:style w:type="character" w:customStyle="1" w:styleId="65">
    <w:name w:val="正文格式 Char"/>
    <w:link w:val="66"/>
    <w:qFormat/>
    <w:uiPriority w:val="0"/>
    <w:rPr>
      <w:rFonts w:eastAsia="Yu Mincho Light"/>
      <w:kern w:val="2"/>
      <w:sz w:val="28"/>
      <w:szCs w:val="28"/>
    </w:rPr>
  </w:style>
  <w:style w:type="paragraph" w:customStyle="1" w:styleId="66">
    <w:name w:val="正文格式"/>
    <w:next w:val="1"/>
    <w:link w:val="65"/>
    <w:qFormat/>
    <w:uiPriority w:val="0"/>
    <w:pPr>
      <w:spacing w:before="156" w:beforeLines="50" w:line="440" w:lineRule="exact"/>
      <w:ind w:firstLine="560" w:firstLineChars="200"/>
    </w:pPr>
    <w:rPr>
      <w:rFonts w:ascii="Arial Unicode MS" w:hAnsi="Arial Unicode MS" w:eastAsia="Yu Mincho Light" w:cs="Arial Unicode MS"/>
      <w:kern w:val="2"/>
      <w:sz w:val="28"/>
      <w:szCs w:val="28"/>
      <w:lang w:val="en-US" w:eastAsia="zh-CN" w:bidi="ar-SA"/>
    </w:rPr>
  </w:style>
  <w:style w:type="character" w:customStyle="1" w:styleId="67">
    <w:name w:val="样式 宋体 小四 行距: 1.5 倍行距 Char"/>
    <w:link w:val="68"/>
    <w:qFormat/>
    <w:locked/>
    <w:uiPriority w:val="0"/>
    <w:rPr>
      <w:rFonts w:eastAsia="等线"/>
      <w:kern w:val="2"/>
      <w:sz w:val="24"/>
      <w:lang w:val="en-US" w:eastAsia="zh-CN"/>
    </w:rPr>
  </w:style>
  <w:style w:type="paragraph" w:customStyle="1" w:styleId="68">
    <w:name w:val="样式 宋体 小四 行距: 1.5 倍行距"/>
    <w:basedOn w:val="1"/>
    <w:link w:val="67"/>
    <w:qFormat/>
    <w:uiPriority w:val="0"/>
    <w:pPr>
      <w:spacing w:line="360" w:lineRule="auto"/>
      <w:ind w:firstLine="480" w:firstLineChars="200"/>
    </w:pPr>
    <w:rPr>
      <w:rFonts w:cs="等线"/>
      <w:sz w:val="24"/>
    </w:rPr>
  </w:style>
  <w:style w:type="character" w:customStyle="1" w:styleId="69">
    <w:name w:val="表格 Char"/>
    <w:link w:val="70"/>
    <w:qFormat/>
    <w:locked/>
    <w:uiPriority w:val="0"/>
    <w:rPr>
      <w:rFonts w:ascii="等线" w:hAnsi="等线" w:eastAsia="等线"/>
      <w:kern w:val="2"/>
      <w:sz w:val="24"/>
      <w:lang w:val="en-US" w:eastAsia="zh-CN"/>
    </w:rPr>
  </w:style>
  <w:style w:type="paragraph" w:customStyle="1" w:styleId="70">
    <w:name w:val="表格"/>
    <w:basedOn w:val="1"/>
    <w:link w:val="69"/>
    <w:qFormat/>
    <w:uiPriority w:val="0"/>
    <w:pPr>
      <w:jc w:val="center"/>
    </w:pPr>
    <w:rPr>
      <w:rFonts w:ascii="等线" w:hAnsi="等线"/>
      <w:szCs w:val="24"/>
    </w:rPr>
  </w:style>
  <w:style w:type="character" w:customStyle="1" w:styleId="71">
    <w:name w:val="正文(康健城) Char"/>
    <w:link w:val="72"/>
    <w:qFormat/>
    <w:locked/>
    <w:uiPriority w:val="0"/>
    <w:rPr>
      <w:sz w:val="24"/>
    </w:rPr>
  </w:style>
  <w:style w:type="paragraph" w:customStyle="1" w:styleId="72">
    <w:name w:val="正文(康健城)"/>
    <w:basedOn w:val="1"/>
    <w:link w:val="71"/>
    <w:qFormat/>
    <w:uiPriority w:val="0"/>
    <w:pPr>
      <w:adjustRightInd w:val="0"/>
      <w:snapToGrid w:val="0"/>
      <w:spacing w:line="360" w:lineRule="auto"/>
      <w:ind w:firstLine="480" w:firstLineChars="200"/>
      <w:textAlignment w:val="baseline"/>
    </w:pPr>
    <w:rPr>
      <w:kern w:val="0"/>
      <w:sz w:val="24"/>
      <w:szCs w:val="24"/>
    </w:rPr>
  </w:style>
  <w:style w:type="character" w:customStyle="1" w:styleId="73">
    <w:name w:val="样式 标题 3小标题小节标题标题3H3h33rd level第二层条标题4标题 3 Char标题 3 Cha...1 Char"/>
    <w:link w:val="74"/>
    <w:qFormat/>
    <w:locked/>
    <w:uiPriority w:val="0"/>
    <w:rPr>
      <w:rFonts w:eastAsia="等线"/>
      <w:b/>
      <w:sz w:val="24"/>
      <w:lang w:val="en-US" w:eastAsia="zh-CN"/>
    </w:rPr>
  </w:style>
  <w:style w:type="paragraph" w:customStyle="1" w:styleId="74">
    <w:name w:val="样式 标题 3小标题小节标题标题3H3h33rd level第二层条标题4标题 3 Char标题 3 Cha...1"/>
    <w:basedOn w:val="4"/>
    <w:link w:val="73"/>
    <w:qFormat/>
    <w:uiPriority w:val="0"/>
    <w:pPr>
      <w:spacing w:before="60" w:after="60" w:line="360" w:lineRule="auto"/>
      <w:jc w:val="left"/>
    </w:pPr>
    <w:rPr>
      <w:bCs/>
      <w:sz w:val="24"/>
      <w:shd w:val="clear" w:color="auto" w:fill="auto"/>
    </w:rPr>
  </w:style>
  <w:style w:type="character" w:customStyle="1" w:styleId="75">
    <w:name w:val="表内容 Char"/>
    <w:link w:val="76"/>
    <w:qFormat/>
    <w:uiPriority w:val="0"/>
    <w:rPr>
      <w:rFonts w:eastAsia="Arial"/>
      <w:spacing w:val="-10"/>
      <w:kern w:val="2"/>
      <w:sz w:val="21"/>
      <w:szCs w:val="24"/>
    </w:rPr>
  </w:style>
  <w:style w:type="paragraph" w:customStyle="1" w:styleId="76">
    <w:name w:val="表内容"/>
    <w:basedOn w:val="77"/>
    <w:link w:val="75"/>
    <w:qFormat/>
    <w:uiPriority w:val="0"/>
    <w:pPr>
      <w:framePr w:hSpace="0" w:wrap="auto" w:hAnchor="text" w:yAlign="inline"/>
      <w:adjustRightInd/>
      <w:snapToGrid/>
    </w:pPr>
    <w:rPr>
      <w:rFonts w:eastAsia="Arial"/>
      <w:b w:val="0"/>
      <w:spacing w:val="-10"/>
      <w:sz w:val="21"/>
    </w:rPr>
  </w:style>
  <w:style w:type="paragraph" w:customStyle="1" w:styleId="77">
    <w:name w:val="表头"/>
    <w:basedOn w:val="1"/>
    <w:qFormat/>
    <w:uiPriority w:val="0"/>
    <w:pPr>
      <w:framePr w:hSpace="180" w:wrap="around" w:vAnchor="margin" w:hAnchor="margin" w:y="542"/>
      <w:adjustRightInd w:val="0"/>
      <w:snapToGrid w:val="0"/>
      <w:jc w:val="center"/>
    </w:pPr>
    <w:rPr>
      <w:b/>
      <w:sz w:val="24"/>
      <w:szCs w:val="24"/>
    </w:rPr>
  </w:style>
  <w:style w:type="character" w:customStyle="1" w:styleId="78">
    <w:name w:val="表格文字 Char Char"/>
    <w:link w:val="79"/>
    <w:qFormat/>
    <w:locked/>
    <w:uiPriority w:val="0"/>
    <w:rPr>
      <w:sz w:val="21"/>
    </w:rPr>
  </w:style>
  <w:style w:type="paragraph" w:customStyle="1" w:styleId="79">
    <w:name w:val="表格文字"/>
    <w:basedOn w:val="1"/>
    <w:link w:val="78"/>
    <w:qFormat/>
    <w:uiPriority w:val="0"/>
    <w:pPr>
      <w:autoSpaceDE w:val="0"/>
      <w:autoSpaceDN w:val="0"/>
      <w:adjustRightInd w:val="0"/>
      <w:spacing w:before="60" w:after="60"/>
      <w:jc w:val="left"/>
      <w:textAlignment w:val="bottom"/>
    </w:pPr>
    <w:rPr>
      <w:kern w:val="0"/>
    </w:rPr>
  </w:style>
  <w:style w:type="character" w:customStyle="1" w:styleId="80">
    <w:name w:val="报告 Char"/>
    <w:link w:val="81"/>
    <w:qFormat/>
    <w:locked/>
    <w:uiPriority w:val="0"/>
    <w:rPr>
      <w:rFonts w:ascii="仿宋_GB2312" w:hAnsi="仿宋_GB2312"/>
      <w:sz w:val="24"/>
    </w:rPr>
  </w:style>
  <w:style w:type="paragraph" w:customStyle="1" w:styleId="81">
    <w:name w:val="报告"/>
    <w:basedOn w:val="1"/>
    <w:link w:val="80"/>
    <w:qFormat/>
    <w:uiPriority w:val="0"/>
    <w:pPr>
      <w:adjustRightInd w:val="0"/>
      <w:spacing w:line="360" w:lineRule="auto"/>
      <w:ind w:firstLine="505"/>
      <w:textAlignment w:val="center"/>
    </w:pPr>
    <w:rPr>
      <w:rFonts w:ascii="仿宋_GB2312" w:hAnsi="仿宋_GB2312"/>
      <w:kern w:val="0"/>
      <w:sz w:val="24"/>
    </w:rPr>
  </w:style>
  <w:style w:type="character" w:customStyle="1" w:styleId="82">
    <w:name w:val="tit031"/>
    <w:qFormat/>
    <w:uiPriority w:val="0"/>
    <w:rPr>
      <w:b/>
      <w:color w:val="990000"/>
      <w:spacing w:val="15"/>
      <w:sz w:val="24"/>
    </w:rPr>
  </w:style>
  <w:style w:type="character" w:customStyle="1" w:styleId="83">
    <w:name w:val="unnamed11"/>
    <w:qFormat/>
    <w:uiPriority w:val="0"/>
    <w:rPr>
      <w:rFonts w:cs="Arial Unicode MS"/>
    </w:rPr>
  </w:style>
  <w:style w:type="character" w:customStyle="1" w:styleId="84">
    <w:name w:val="页眉 字符"/>
    <w:link w:val="19"/>
    <w:qFormat/>
    <w:locked/>
    <w:uiPriority w:val="99"/>
    <w:rPr>
      <w:rFonts w:eastAsia="等线"/>
      <w:kern w:val="2"/>
      <w:sz w:val="18"/>
      <w:lang w:val="en-US" w:eastAsia="zh-CN"/>
    </w:rPr>
  </w:style>
  <w:style w:type="character" w:customStyle="1" w:styleId="85">
    <w:name w:val="表题 Char"/>
    <w:link w:val="86"/>
    <w:qFormat/>
    <w:locked/>
    <w:uiPriority w:val="0"/>
    <w:rPr>
      <w:rFonts w:hAnsi="等线"/>
      <w:b/>
      <w:kern w:val="2"/>
      <w:sz w:val="24"/>
      <w:lang w:val="en-US" w:eastAsia="zh-CN"/>
    </w:rPr>
  </w:style>
  <w:style w:type="paragraph" w:customStyle="1" w:styleId="86">
    <w:name w:val="表题"/>
    <w:link w:val="85"/>
    <w:qFormat/>
    <w:uiPriority w:val="0"/>
    <w:pPr>
      <w:spacing w:line="480" w:lineRule="exact"/>
      <w:jc w:val="center"/>
    </w:pPr>
    <w:rPr>
      <w:rFonts w:ascii="Arial Unicode MS" w:hAnsi="等线" w:eastAsia="等线" w:cs="Arial Unicode MS"/>
      <w:b/>
      <w:kern w:val="2"/>
      <w:sz w:val="21"/>
      <w:szCs w:val="24"/>
      <w:lang w:val="en-US" w:eastAsia="zh-CN" w:bidi="ar-SA"/>
    </w:rPr>
  </w:style>
  <w:style w:type="character" w:customStyle="1" w:styleId="87">
    <w:name w:val="p141"/>
    <w:qFormat/>
    <w:uiPriority w:val="0"/>
    <w:rPr>
      <w:rFonts w:ascii="等线" w:hAnsi="等线" w:eastAsia="等线"/>
      <w:sz w:val="21"/>
    </w:rPr>
  </w:style>
  <w:style w:type="character" w:customStyle="1" w:styleId="88">
    <w:name w:val="样式 样式 样式 首行缩进:  2 字符1 + 首行缩进:  2 字符 + 首行缩进:  2 字符 Char"/>
    <w:link w:val="89"/>
    <w:qFormat/>
    <w:locked/>
    <w:uiPriority w:val="0"/>
    <w:rPr>
      <w:rFonts w:eastAsia="等线"/>
      <w:sz w:val="24"/>
      <w:lang w:val="en-US" w:eastAsia="zh-CN"/>
    </w:rPr>
  </w:style>
  <w:style w:type="paragraph" w:customStyle="1" w:styleId="89">
    <w:name w:val="样式 样式 样式 首行缩进:  2 字符1 + 首行缩进:  2 字符 + 首行缩进:  2 字符"/>
    <w:basedOn w:val="1"/>
    <w:link w:val="88"/>
    <w:qFormat/>
    <w:uiPriority w:val="0"/>
    <w:pPr>
      <w:widowControl/>
      <w:spacing w:line="360" w:lineRule="auto"/>
      <w:ind w:firstLine="480" w:firstLineChars="200"/>
    </w:pPr>
    <w:rPr>
      <w:rFonts w:cs="等线"/>
      <w:kern w:val="0"/>
      <w:sz w:val="24"/>
    </w:rPr>
  </w:style>
  <w:style w:type="character" w:customStyle="1" w:styleId="90">
    <w:name w:val="表格文字1 Char"/>
    <w:link w:val="91"/>
    <w:qFormat/>
    <w:locked/>
    <w:uiPriority w:val="0"/>
    <w:rPr>
      <w:rFonts w:eastAsia="等线"/>
      <w:kern w:val="2"/>
      <w:sz w:val="24"/>
      <w:lang w:val="zh-CN" w:eastAsia="zh-CN"/>
    </w:rPr>
  </w:style>
  <w:style w:type="paragraph" w:customStyle="1" w:styleId="91">
    <w:name w:val="表格文字1"/>
    <w:basedOn w:val="1"/>
    <w:link w:val="90"/>
    <w:qFormat/>
    <w:uiPriority w:val="0"/>
    <w:pPr>
      <w:spacing w:line="400" w:lineRule="atLeast"/>
      <w:jc w:val="center"/>
    </w:pPr>
    <w:rPr>
      <w:sz w:val="24"/>
      <w:lang w:val="zh-CN"/>
    </w:rPr>
  </w:style>
  <w:style w:type="character" w:customStyle="1" w:styleId="92">
    <w:name w:val="占位符文本1"/>
    <w:semiHidden/>
    <w:qFormat/>
    <w:uiPriority w:val="0"/>
    <w:rPr>
      <w:rFonts w:cs="Arial Unicode MS"/>
      <w:color w:val="808080"/>
    </w:rPr>
  </w:style>
  <w:style w:type="character" w:customStyle="1" w:styleId="93">
    <w:name w:val="No Spacing Char"/>
    <w:link w:val="94"/>
    <w:qFormat/>
    <w:locked/>
    <w:uiPriority w:val="0"/>
    <w:rPr>
      <w:rFonts w:ascii="Verdana" w:hAnsi="Verdana" w:eastAsia="Verdana" w:cs="Arial Unicode MS"/>
      <w:sz w:val="22"/>
      <w:szCs w:val="22"/>
      <w:lang w:val="en-US" w:eastAsia="zh-CN" w:bidi="ar-SA"/>
    </w:rPr>
  </w:style>
  <w:style w:type="paragraph" w:customStyle="1" w:styleId="94">
    <w:name w:val="无间隔1"/>
    <w:link w:val="93"/>
    <w:qFormat/>
    <w:uiPriority w:val="0"/>
    <w:rPr>
      <w:rFonts w:ascii="Verdana" w:hAnsi="Verdana" w:eastAsia="Verdana" w:cs="Arial Unicode MS"/>
      <w:sz w:val="22"/>
      <w:szCs w:val="22"/>
      <w:lang w:val="en-US" w:eastAsia="zh-CN" w:bidi="ar-SA"/>
    </w:rPr>
  </w:style>
  <w:style w:type="character" w:customStyle="1" w:styleId="95">
    <w:name w:val="p Char"/>
    <w:link w:val="96"/>
    <w:qFormat/>
    <w:locked/>
    <w:uiPriority w:val="0"/>
  </w:style>
  <w:style w:type="paragraph" w:customStyle="1" w:styleId="96">
    <w:name w:val="p"/>
    <w:basedOn w:val="97"/>
    <w:link w:val="95"/>
    <w:qFormat/>
    <w:uiPriority w:val="0"/>
    <w:pPr>
      <w:adjustRightInd w:val="0"/>
      <w:snapToGrid w:val="0"/>
      <w:ind w:firstLine="1446" w:firstLineChars="200"/>
      <w:jc w:val="left"/>
    </w:pPr>
    <w:rPr>
      <w:kern w:val="0"/>
      <w:sz w:val="20"/>
    </w:rPr>
  </w:style>
  <w:style w:type="paragraph" w:customStyle="1" w:styleId="97">
    <w:name w:val="样式1"/>
    <w:basedOn w:val="1"/>
    <w:qFormat/>
    <w:uiPriority w:val="0"/>
    <w:pPr>
      <w:spacing w:line="360" w:lineRule="auto"/>
      <w:ind w:firstLine="510"/>
    </w:pPr>
    <w:rPr>
      <w:sz w:val="24"/>
    </w:rPr>
  </w:style>
  <w:style w:type="character" w:customStyle="1" w:styleId="98">
    <w:name w:val="-表格 Char"/>
    <w:link w:val="99"/>
    <w:qFormat/>
    <w:locked/>
    <w:uiPriority w:val="0"/>
    <w:rPr>
      <w:rFonts w:ascii="等线" w:eastAsia="等线"/>
      <w:snapToGrid w:val="0"/>
      <w:kern w:val="2"/>
      <w:sz w:val="21"/>
    </w:rPr>
  </w:style>
  <w:style w:type="paragraph" w:customStyle="1" w:styleId="99">
    <w:name w:val="-表格"/>
    <w:basedOn w:val="70"/>
    <w:next w:val="1"/>
    <w:link w:val="98"/>
    <w:qFormat/>
    <w:uiPriority w:val="0"/>
    <w:pPr>
      <w:widowControl/>
      <w:tabs>
        <w:tab w:val="left" w:pos="3696"/>
      </w:tabs>
    </w:pPr>
    <w:rPr>
      <w:szCs w:val="20"/>
    </w:rPr>
  </w:style>
  <w:style w:type="character" w:customStyle="1" w:styleId="100">
    <w:name w:val="正文缩进 字符1"/>
    <w:link w:val="6"/>
    <w:qFormat/>
    <w:locked/>
    <w:uiPriority w:val="0"/>
    <w:rPr>
      <w:kern w:val="2"/>
      <w:sz w:val="21"/>
    </w:rPr>
  </w:style>
  <w:style w:type="character" w:customStyle="1" w:styleId="101">
    <w:name w:val="bumpedfont15"/>
    <w:qFormat/>
    <w:uiPriority w:val="0"/>
  </w:style>
  <w:style w:type="character" w:customStyle="1" w:styleId="102">
    <w:name w:val="报告 Char Char"/>
    <w:qFormat/>
    <w:uiPriority w:val="0"/>
    <w:rPr>
      <w:rFonts w:eastAsia="等线"/>
      <w:sz w:val="24"/>
      <w:lang w:val="en-US" w:eastAsia="zh-CN" w:bidi="ar-SA"/>
    </w:rPr>
  </w:style>
  <w:style w:type="character" w:customStyle="1" w:styleId="103">
    <w:name w:val="纯文本 Char1"/>
    <w:qFormat/>
    <w:uiPriority w:val="0"/>
    <w:rPr>
      <w:rFonts w:ascii="等线" w:hAnsi="Wingdings 2"/>
      <w:kern w:val="2"/>
      <w:sz w:val="21"/>
    </w:rPr>
  </w:style>
  <w:style w:type="paragraph" w:customStyle="1" w:styleId="104">
    <w:name w:val="正文文本缩进1"/>
    <w:basedOn w:val="1"/>
    <w:qFormat/>
    <w:uiPriority w:val="0"/>
    <w:pPr>
      <w:spacing w:line="336" w:lineRule="auto"/>
      <w:ind w:firstLine="540"/>
    </w:pPr>
    <w:rPr>
      <w:spacing w:val="10"/>
      <w:sz w:val="24"/>
    </w:rPr>
  </w:style>
  <w:style w:type="paragraph" w:customStyle="1" w:styleId="105">
    <w:name w:val="表格样式"/>
    <w:basedOn w:val="1"/>
    <w:qFormat/>
    <w:uiPriority w:val="0"/>
    <w:pPr>
      <w:adjustRightInd w:val="0"/>
      <w:snapToGrid w:val="0"/>
      <w:jc w:val="center"/>
      <w:textAlignment w:val="center"/>
    </w:pPr>
    <w:rPr>
      <w:sz w:val="28"/>
    </w:rPr>
  </w:style>
  <w:style w:type="paragraph" w:customStyle="1" w:styleId="106">
    <w:name w:val="报告表正文"/>
    <w:basedOn w:val="1"/>
    <w:qFormat/>
    <w:uiPriority w:val="0"/>
    <w:pPr>
      <w:adjustRightInd w:val="0"/>
      <w:spacing w:line="312" w:lineRule="auto"/>
      <w:ind w:left="113" w:right="113" w:firstLine="482"/>
      <w:jc w:val="left"/>
      <w:textAlignment w:val="baseline"/>
    </w:pPr>
    <w:rPr>
      <w:kern w:val="0"/>
      <w:sz w:val="24"/>
    </w:rPr>
  </w:style>
  <w:style w:type="paragraph" w:customStyle="1" w:styleId="107">
    <w:name w:val="Char Char Char"/>
    <w:basedOn w:val="1"/>
    <w:qFormat/>
    <w:uiPriority w:val="0"/>
    <w:pPr>
      <w:spacing w:line="360" w:lineRule="auto"/>
    </w:pPr>
    <w:rPr>
      <w:sz w:val="24"/>
      <w:szCs w:val="24"/>
    </w:rPr>
  </w:style>
  <w:style w:type="paragraph" w:customStyle="1" w:styleId="108">
    <w:name w:val="Char Char Char Char"/>
    <w:basedOn w:val="1"/>
    <w:qFormat/>
    <w:uiPriority w:val="0"/>
    <w:rPr>
      <w:sz w:val="24"/>
    </w:rPr>
  </w:style>
  <w:style w:type="paragraph" w:customStyle="1" w:styleId="109">
    <w:name w:val="标题1"/>
    <w:basedOn w:val="1"/>
    <w:next w:val="1"/>
    <w:qFormat/>
    <w:uiPriority w:val="0"/>
    <w:pPr>
      <w:numPr>
        <w:ilvl w:val="0"/>
        <w:numId w:val="1"/>
      </w:numPr>
      <w:spacing w:line="440" w:lineRule="exact"/>
    </w:pPr>
    <w:rPr>
      <w:sz w:val="24"/>
    </w:rPr>
  </w:style>
  <w:style w:type="paragraph" w:customStyle="1" w:styleId="110">
    <w:name w:val="正文(首缩进)"/>
    <w:basedOn w:val="1"/>
    <w:qFormat/>
    <w:uiPriority w:val="0"/>
    <w:pPr>
      <w:adjustRightInd w:val="0"/>
      <w:snapToGrid w:val="0"/>
      <w:spacing w:line="360" w:lineRule="auto"/>
      <w:ind w:firstLine="200" w:firstLineChars="200"/>
    </w:pPr>
    <w:rPr>
      <w:rFonts w:ascii="楷体_GB2312" w:hAnsi="楷体_GB2312" w:cs="楷体_GB2312"/>
      <w:sz w:val="24"/>
      <w:szCs w:val="28"/>
    </w:rPr>
  </w:style>
  <w:style w:type="paragraph" w:customStyle="1" w:styleId="111">
    <w:name w:val="xl31"/>
    <w:basedOn w:val="1"/>
    <w:qFormat/>
    <w:uiPriority w:val="0"/>
    <w:pPr>
      <w:widowControl/>
      <w:spacing w:before="100" w:beforeAutospacing="1" w:after="100" w:afterAutospacing="1"/>
      <w:jc w:val="center"/>
      <w:textAlignment w:val="center"/>
    </w:pPr>
    <w:rPr>
      <w:rFonts w:ascii="Courier New" w:hAnsi="Courier New" w:eastAsia="Arial Unicode MS"/>
      <w:kern w:val="0"/>
      <w:sz w:val="24"/>
      <w:szCs w:val="24"/>
    </w:rPr>
  </w:style>
  <w:style w:type="paragraph" w:customStyle="1" w:styleId="112">
    <w:name w:val="1文章"/>
    <w:basedOn w:val="1"/>
    <w:qFormat/>
    <w:uiPriority w:val="0"/>
    <w:pPr>
      <w:spacing w:line="360" w:lineRule="auto"/>
      <w:ind w:firstLine="573"/>
    </w:pPr>
    <w:rPr>
      <w:rFonts w:eastAsia="Cambria Math"/>
      <w:sz w:val="28"/>
    </w:rPr>
  </w:style>
  <w:style w:type="paragraph" w:customStyle="1" w:styleId="113">
    <w:name w:val="报告书表格"/>
    <w:basedOn w:val="1"/>
    <w:qFormat/>
    <w:uiPriority w:val="0"/>
    <w:pPr>
      <w:adjustRightInd w:val="0"/>
      <w:spacing w:before="60" w:after="60" w:line="240" w:lineRule="atLeast"/>
      <w:jc w:val="center"/>
      <w:textAlignment w:val="baseline"/>
    </w:pPr>
    <w:rPr>
      <w:kern w:val="0"/>
    </w:rPr>
  </w:style>
  <w:style w:type="paragraph" w:customStyle="1" w:styleId="114">
    <w:name w:val="xl2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115">
    <w:name w:val="样式 正文"/>
    <w:basedOn w:val="1"/>
    <w:next w:val="1"/>
    <w:qFormat/>
    <w:uiPriority w:val="0"/>
    <w:pPr>
      <w:spacing w:line="360" w:lineRule="auto"/>
      <w:ind w:firstLine="200" w:firstLineChars="200"/>
    </w:pPr>
    <w:rPr>
      <w:sz w:val="24"/>
      <w:szCs w:val="32"/>
    </w:rPr>
  </w:style>
  <w:style w:type="paragraph" w:customStyle="1" w:styleId="116">
    <w:name w:val="01表格"/>
    <w:basedOn w:val="1"/>
    <w:next w:val="1"/>
    <w:qFormat/>
    <w:uiPriority w:val="0"/>
    <w:pPr>
      <w:overflowPunct w:val="0"/>
      <w:topLinePunct/>
      <w:adjustRightInd w:val="0"/>
      <w:snapToGrid w:val="0"/>
      <w:jc w:val="center"/>
    </w:pPr>
    <w:rPr>
      <w:kern w:val="0"/>
      <w:szCs w:val="21"/>
    </w:rPr>
  </w:style>
  <w:style w:type="paragraph" w:customStyle="1" w:styleId="117">
    <w:name w:val="标题-3"/>
    <w:basedOn w:val="1"/>
    <w:qFormat/>
    <w:uiPriority w:val="0"/>
    <w:pPr>
      <w:spacing w:line="480" w:lineRule="exact"/>
      <w:ind w:firstLine="482" w:firstLineChars="200"/>
    </w:pPr>
    <w:rPr>
      <w:rFonts w:cs="等线"/>
      <w:b/>
      <w:bCs/>
      <w:sz w:val="24"/>
    </w:rPr>
  </w:style>
  <w:style w:type="paragraph" w:customStyle="1" w:styleId="118">
    <w:name w:val="表格正文"/>
    <w:basedOn w:val="1"/>
    <w:qFormat/>
    <w:uiPriority w:val="0"/>
    <w:pPr>
      <w:adjustRightInd w:val="0"/>
      <w:spacing w:line="240" w:lineRule="atLeast"/>
      <w:textAlignment w:val="baseline"/>
    </w:pPr>
  </w:style>
  <w:style w:type="paragraph" w:customStyle="1" w:styleId="119">
    <w:name w:val="中文报告书样式"/>
    <w:basedOn w:val="1"/>
    <w:qFormat/>
    <w:uiPriority w:val="0"/>
    <w:pPr>
      <w:adjustRightInd w:val="0"/>
      <w:spacing w:line="480" w:lineRule="atLeast"/>
      <w:ind w:firstLine="482"/>
      <w:textAlignment w:val="baseline"/>
    </w:pPr>
    <w:rPr>
      <w:kern w:val="24"/>
      <w:sz w:val="24"/>
    </w:rPr>
  </w:style>
  <w:style w:type="paragraph" w:customStyle="1" w:styleId="120">
    <w:name w:val="Char Char Char Char Char Char Char Char Char"/>
    <w:basedOn w:val="1"/>
    <w:qFormat/>
    <w:uiPriority w:val="0"/>
    <w:rPr>
      <w:sz w:val="24"/>
    </w:rPr>
  </w:style>
  <w:style w:type="paragraph" w:customStyle="1" w:styleId="121">
    <w:name w:val="样式 小四 行距: 1.5 倍行距 首行缩进:  2 字符"/>
    <w:basedOn w:val="1"/>
    <w:qFormat/>
    <w:uiPriority w:val="0"/>
    <w:pPr>
      <w:spacing w:line="360" w:lineRule="auto"/>
      <w:ind w:firstLine="200" w:firstLineChars="200"/>
    </w:pPr>
    <w:rPr>
      <w:rFonts w:cs="等线"/>
      <w:sz w:val="24"/>
    </w:rPr>
  </w:style>
  <w:style w:type="paragraph" w:customStyle="1" w:styleId="122">
    <w:name w:val="Char Char Char Char Char Char Char Char Char1 Char"/>
    <w:basedOn w:val="1"/>
    <w:qFormat/>
    <w:uiPriority w:val="0"/>
  </w:style>
  <w:style w:type="paragraph" w:customStyle="1" w:styleId="123">
    <w:name w:val="流程图"/>
    <w:basedOn w:val="1"/>
    <w:qFormat/>
    <w:uiPriority w:val="0"/>
    <w:pPr>
      <w:tabs>
        <w:tab w:val="center" w:pos="0"/>
      </w:tabs>
    </w:pPr>
    <w:rPr>
      <w:rFonts w:eastAsia="Cambria Math"/>
      <w:sz w:val="24"/>
    </w:rPr>
  </w:style>
  <w:style w:type="paragraph" w:customStyle="1" w:styleId="124">
    <w:name w:val="默认段落字体 Para Char Char"/>
    <w:basedOn w:val="1"/>
    <w:qFormat/>
    <w:uiPriority w:val="0"/>
    <w:rPr>
      <w:rFonts w:ascii="Yu Mincho Light" w:hAnsi="等线" w:eastAsia="Yu Mincho Light"/>
      <w:sz w:val="24"/>
    </w:rPr>
  </w:style>
  <w:style w:type="paragraph" w:customStyle="1" w:styleId="125">
    <w:name w:val="正文首行缩进1"/>
    <w:basedOn w:val="11"/>
    <w:qFormat/>
    <w:uiPriority w:val="0"/>
    <w:pPr>
      <w:spacing w:after="120"/>
      <w:ind w:firstLine="420"/>
      <w:jc w:val="both"/>
    </w:pPr>
  </w:style>
  <w:style w:type="paragraph" w:customStyle="1" w:styleId="126">
    <w:name w:val="居中正文"/>
    <w:basedOn w:val="125"/>
    <w:qFormat/>
    <w:uiPriority w:val="0"/>
    <w:pPr>
      <w:adjustRightInd w:val="0"/>
      <w:spacing w:before="120" w:after="0" w:line="360" w:lineRule="auto"/>
      <w:ind w:firstLine="0"/>
      <w:jc w:val="center"/>
      <w:textAlignment w:val="baseline"/>
    </w:pPr>
    <w:rPr>
      <w:rFonts w:ascii="等线"/>
      <w:kern w:val="28"/>
      <w:sz w:val="24"/>
    </w:rPr>
  </w:style>
  <w:style w:type="paragraph" w:customStyle="1" w:styleId="127">
    <w:name w:val="Char Char Char1 Char Char Char Char Char Char Char Char Char Char Char Char Char"/>
    <w:basedOn w:val="1"/>
    <w:qFormat/>
    <w:uiPriority w:val="0"/>
  </w:style>
  <w:style w:type="paragraph" w:customStyle="1" w:styleId="128">
    <w:name w:val="Char Char Char Char Char Char Char Char Char Char"/>
    <w:basedOn w:val="1"/>
    <w:qFormat/>
    <w:uiPriority w:val="0"/>
    <w:pPr>
      <w:spacing w:line="240" w:lineRule="exact"/>
      <w:ind w:firstLine="200" w:firstLineChars="200"/>
    </w:pPr>
  </w:style>
  <w:style w:type="paragraph" w:customStyle="1" w:styleId="129">
    <w:name w:val="样式 正文缩进正文（首行缩进两字） + 宋体 行距: 1.5 倍行距"/>
    <w:basedOn w:val="6"/>
    <w:qFormat/>
    <w:uiPriority w:val="0"/>
    <w:pPr>
      <w:adjustRightInd w:val="0"/>
      <w:spacing w:line="300" w:lineRule="auto"/>
      <w:ind w:firstLine="482"/>
      <w:jc w:val="left"/>
      <w:textAlignment w:val="baseline"/>
    </w:pPr>
    <w:rPr>
      <w:rFonts w:ascii="等线" w:hAnsi="等线"/>
      <w:sz w:val="24"/>
    </w:rPr>
  </w:style>
  <w:style w:type="paragraph" w:customStyle="1" w:styleId="130">
    <w:name w:val="Char1"/>
    <w:basedOn w:val="1"/>
    <w:qFormat/>
    <w:uiPriority w:val="0"/>
    <w:rPr>
      <w:sz w:val="24"/>
    </w:rPr>
  </w:style>
  <w:style w:type="paragraph" w:customStyle="1" w:styleId="131">
    <w:name w:val="表"/>
    <w:basedOn w:val="1"/>
    <w:qFormat/>
    <w:uiPriority w:val="0"/>
    <w:pPr>
      <w:spacing w:line="240" w:lineRule="exact"/>
    </w:pPr>
    <w:rPr>
      <w:rFonts w:ascii="Yu Mincho Light" w:hAnsi="等线" w:eastAsia="Yu Mincho Light"/>
      <w:sz w:val="18"/>
    </w:rPr>
  </w:style>
  <w:style w:type="paragraph" w:customStyle="1" w:styleId="132">
    <w:name w:val="xl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Courier New" w:hAnsi="Courier New" w:eastAsia="Arial Unicode MS"/>
      <w:kern w:val="0"/>
      <w:sz w:val="24"/>
    </w:rPr>
  </w:style>
  <w:style w:type="paragraph" w:customStyle="1" w:styleId="133">
    <w:name w:val="Char"/>
    <w:basedOn w:val="1"/>
    <w:qFormat/>
    <w:uiPriority w:val="0"/>
    <w:rPr>
      <w:sz w:val="18"/>
    </w:rPr>
  </w:style>
  <w:style w:type="paragraph" w:customStyle="1" w:styleId="134">
    <w:name w:val="zhang正文"/>
    <w:basedOn w:val="12"/>
    <w:qFormat/>
    <w:uiPriority w:val="0"/>
    <w:pPr>
      <w:autoSpaceDE w:val="0"/>
      <w:autoSpaceDN w:val="0"/>
      <w:adjustRightInd w:val="0"/>
      <w:snapToGrid w:val="0"/>
      <w:spacing w:line="500" w:lineRule="exact"/>
      <w:ind w:firstLine="539" w:firstLineChars="0"/>
      <w:textAlignment w:val="baseline"/>
    </w:pPr>
    <w:rPr>
      <w:rFonts w:eastAsia="Cambria Math"/>
      <w:kern w:val="0"/>
      <w:sz w:val="28"/>
    </w:rPr>
  </w:style>
  <w:style w:type="paragraph" w:customStyle="1" w:styleId="135">
    <w:name w:val="表格标题"/>
    <w:basedOn w:val="1"/>
    <w:qFormat/>
    <w:uiPriority w:val="0"/>
    <w:pPr>
      <w:spacing w:line="540" w:lineRule="exact"/>
      <w:jc w:val="center"/>
    </w:pPr>
    <w:rPr>
      <w:rFonts w:ascii="等线" w:hAnsi="等线"/>
      <w:b/>
      <w:sz w:val="24"/>
    </w:rPr>
  </w:style>
  <w:style w:type="paragraph" w:customStyle="1" w:styleId="136">
    <w:name w:val="段落"/>
    <w:basedOn w:val="1"/>
    <w:qFormat/>
    <w:uiPriority w:val="0"/>
    <w:pPr>
      <w:tabs>
        <w:tab w:val="left" w:pos="1021"/>
      </w:tabs>
      <w:adjustRightInd w:val="0"/>
      <w:snapToGrid w:val="0"/>
      <w:spacing w:line="360" w:lineRule="auto"/>
      <w:ind w:firstLine="560" w:firstLineChars="200"/>
    </w:pPr>
    <w:rPr>
      <w:color w:val="0000FF"/>
      <w:kern w:val="0"/>
      <w:sz w:val="28"/>
    </w:rPr>
  </w:style>
  <w:style w:type="paragraph" w:customStyle="1" w:styleId="137">
    <w:name w:val="Char2"/>
    <w:basedOn w:val="1"/>
    <w:qFormat/>
    <w:uiPriority w:val="0"/>
    <w:rPr>
      <w:szCs w:val="24"/>
    </w:rPr>
  </w:style>
  <w:style w:type="paragraph" w:customStyle="1" w:styleId="138">
    <w:name w:val="简单回函地址"/>
    <w:basedOn w:val="1"/>
    <w:qFormat/>
    <w:uiPriority w:val="0"/>
  </w:style>
  <w:style w:type="paragraph" w:customStyle="1" w:styleId="139">
    <w:name w:val="列表段落1"/>
    <w:basedOn w:val="1"/>
    <w:qFormat/>
    <w:uiPriority w:val="0"/>
    <w:pPr>
      <w:ind w:firstLine="420" w:firstLineChars="200"/>
    </w:pPr>
    <w:rPr>
      <w:rFonts w:ascii="Verdana" w:hAnsi="Verdana" w:eastAsia="Verdana"/>
      <w:szCs w:val="22"/>
    </w:rPr>
  </w:style>
  <w:style w:type="paragraph" w:customStyle="1" w:styleId="140">
    <w:name w:val="目录 31"/>
    <w:basedOn w:val="1"/>
    <w:next w:val="1"/>
    <w:qFormat/>
    <w:uiPriority w:val="0"/>
    <w:pPr>
      <w:spacing w:line="360" w:lineRule="auto"/>
    </w:pPr>
    <w:rPr>
      <w:spacing w:val="-6"/>
      <w:sz w:val="24"/>
    </w:rPr>
  </w:style>
  <w:style w:type="paragraph" w:customStyle="1" w:styleId="141">
    <w:name w:val="样式 报告表正文 + 首行缩进:  2 字符 行距: 1.5 倍行距"/>
    <w:basedOn w:val="1"/>
    <w:qFormat/>
    <w:uiPriority w:val="0"/>
    <w:pPr>
      <w:adjustRightInd w:val="0"/>
      <w:spacing w:line="360" w:lineRule="auto"/>
      <w:ind w:left="113" w:right="113" w:firstLine="480" w:firstLineChars="200"/>
    </w:pPr>
    <w:rPr>
      <w:rFonts w:cs="等线"/>
      <w:kern w:val="0"/>
      <w:sz w:val="24"/>
      <w:szCs w:val="24"/>
    </w:rPr>
  </w:style>
  <w:style w:type="paragraph" w:customStyle="1" w:styleId="142">
    <w:name w:val="样式 规划正文 + 仿宋_GB2312 三号 首行缩进:  2 字符 行距: 单倍行距"/>
    <w:basedOn w:val="1"/>
    <w:qFormat/>
    <w:uiPriority w:val="0"/>
    <w:pPr>
      <w:ind w:firstLine="560" w:firstLineChars="200"/>
    </w:pPr>
    <w:rPr>
      <w:rFonts w:ascii="Yu Mincho Light" w:eastAsia="Yu Mincho Light" w:cs="等线"/>
      <w:sz w:val="28"/>
      <w:szCs w:val="28"/>
    </w:rPr>
  </w:style>
  <w:style w:type="paragraph" w:customStyle="1" w:styleId="143">
    <w:name w:val="样式 样式4 + 首行缩进:  1.92 字符"/>
    <w:basedOn w:val="1"/>
    <w:qFormat/>
    <w:uiPriority w:val="0"/>
    <w:pPr>
      <w:snapToGrid w:val="0"/>
      <w:spacing w:line="300" w:lineRule="auto"/>
      <w:ind w:firstLine="538" w:firstLineChars="192"/>
    </w:pPr>
    <w:rPr>
      <w:sz w:val="28"/>
    </w:rPr>
  </w:style>
  <w:style w:type="paragraph" w:customStyle="1" w:styleId="144">
    <w:name w:val="xl30"/>
    <w:basedOn w:val="1"/>
    <w:qFormat/>
    <w:uiPriority w:val="0"/>
    <w:pPr>
      <w:widowControl/>
      <w:pBdr>
        <w:left w:val="single" w:color="auto" w:sz="12" w:space="0"/>
        <w:right w:val="single" w:color="auto" w:sz="4" w:space="0"/>
      </w:pBdr>
      <w:spacing w:before="100" w:after="100"/>
      <w:jc w:val="center"/>
    </w:pPr>
    <w:rPr>
      <w:rFonts w:ascii="等线" w:hAnsi="等线"/>
      <w:kern w:val="0"/>
      <w:sz w:val="24"/>
    </w:rPr>
  </w:style>
  <w:style w:type="paragraph" w:customStyle="1" w:styleId="145">
    <w:name w:val="_Style 12"/>
    <w:basedOn w:val="1"/>
    <w:next w:val="22"/>
    <w:qFormat/>
    <w:uiPriority w:val="0"/>
    <w:pPr>
      <w:spacing w:line="360" w:lineRule="auto"/>
    </w:pPr>
    <w:rPr>
      <w:rFonts w:eastAsia="Arial"/>
      <w:sz w:val="28"/>
    </w:rPr>
  </w:style>
  <w:style w:type="paragraph" w:customStyle="1" w:styleId="146">
    <w:name w:val="修订1"/>
    <w:semiHidden/>
    <w:qFormat/>
    <w:uiPriority w:val="0"/>
    <w:rPr>
      <w:rFonts w:ascii="Arial Unicode MS" w:hAnsi="Arial Unicode MS" w:eastAsia="等线" w:cs="Arial Unicode MS"/>
      <w:kern w:val="2"/>
      <w:sz w:val="21"/>
      <w:lang w:val="en-US" w:eastAsia="zh-CN" w:bidi="ar-SA"/>
    </w:rPr>
  </w:style>
  <w:style w:type="paragraph" w:customStyle="1" w:styleId="147">
    <w:name w:val="p0"/>
    <w:basedOn w:val="1"/>
    <w:qFormat/>
    <w:uiPriority w:val="0"/>
    <w:pPr>
      <w:widowControl/>
    </w:pPr>
    <w:rPr>
      <w:kern w:val="0"/>
      <w:szCs w:val="21"/>
    </w:rPr>
  </w:style>
  <w:style w:type="paragraph" w:customStyle="1" w:styleId="148">
    <w:name w:val="默认段落字体 Para Char Char Char Char"/>
    <w:basedOn w:val="1"/>
    <w:qFormat/>
    <w:uiPriority w:val="0"/>
    <w:rPr>
      <w:sz w:val="24"/>
    </w:rPr>
  </w:style>
  <w:style w:type="paragraph" w:customStyle="1" w:styleId="149">
    <w:name w:val="Table Paragraph"/>
    <w:basedOn w:val="1"/>
    <w:qFormat/>
    <w:uiPriority w:val="1"/>
    <w:pPr>
      <w:jc w:val="left"/>
    </w:pPr>
    <w:rPr>
      <w:rFonts w:ascii="Arial" w:hAnsi="Arial"/>
      <w:kern w:val="0"/>
      <w:sz w:val="22"/>
      <w:szCs w:val="22"/>
      <w:lang w:eastAsia="en-US"/>
    </w:rPr>
  </w:style>
  <w:style w:type="paragraph" w:customStyle="1" w:styleId="150">
    <w:name w:val="xl22"/>
    <w:basedOn w:val="1"/>
    <w:qFormat/>
    <w:uiPriority w:val="0"/>
    <w:pPr>
      <w:widowControl/>
      <w:spacing w:before="100" w:beforeAutospacing="1" w:after="100" w:afterAutospacing="1"/>
      <w:jc w:val="center"/>
    </w:pPr>
    <w:rPr>
      <w:rFonts w:ascii="等线" w:hAnsi="等线"/>
      <w:kern w:val="0"/>
      <w:sz w:val="24"/>
    </w:rPr>
  </w:style>
  <w:style w:type="paragraph" w:customStyle="1" w:styleId="151">
    <w:name w:val="Char Char Char Char Char Char Char"/>
    <w:basedOn w:val="1"/>
    <w:qFormat/>
    <w:uiPriority w:val="0"/>
    <w:pPr>
      <w:widowControl/>
      <w:spacing w:after="160" w:line="240" w:lineRule="exact"/>
      <w:jc w:val="left"/>
    </w:pPr>
    <w:rPr>
      <w:rFonts w:ascii="永中宋体" w:hAnsi="永中宋体" w:eastAsia="Yu Mincho Light"/>
      <w:kern w:val="0"/>
      <w:sz w:val="30"/>
      <w:szCs w:val="30"/>
      <w:lang w:eastAsia="en-US"/>
    </w:rPr>
  </w:style>
  <w:style w:type="paragraph" w:customStyle="1" w:styleId="152">
    <w:name w:val="Char Char Char3 Char Char Char Char Char Char Char"/>
    <w:basedOn w:val="1"/>
    <w:qFormat/>
    <w:uiPriority w:val="0"/>
    <w:rPr>
      <w:sz w:val="24"/>
    </w:rPr>
  </w:style>
  <w:style w:type="paragraph" w:customStyle="1" w:styleId="153">
    <w:name w:val="2"/>
    <w:basedOn w:val="1"/>
    <w:next w:val="16"/>
    <w:qFormat/>
    <w:uiPriority w:val="0"/>
    <w:pPr>
      <w:spacing w:after="120" w:line="480" w:lineRule="auto"/>
      <w:ind w:left="420" w:leftChars="200"/>
    </w:pPr>
    <w:rPr>
      <w:szCs w:val="24"/>
    </w:rPr>
  </w:style>
  <w:style w:type="paragraph" w:customStyle="1" w:styleId="154">
    <w:name w:val="标题2"/>
    <w:unhideWhenUsed/>
    <w:qFormat/>
    <w:uiPriority w:val="2"/>
    <w:pPr>
      <w:outlineLvl w:val="2"/>
    </w:pPr>
    <w:rPr>
      <w:rFonts w:ascii="Arial" w:hAnsi="Arial" w:eastAsia="等线" w:cs="Arial Unicode MS"/>
      <w:kern w:val="2"/>
      <w:sz w:val="21"/>
      <w:szCs w:val="22"/>
      <w:lang w:val="en-US" w:eastAsia="zh-CN" w:bidi="ar-SA"/>
    </w:rPr>
  </w:style>
  <w:style w:type="paragraph" w:customStyle="1" w:styleId="155">
    <w:name w:val="目录 21"/>
    <w:basedOn w:val="1"/>
    <w:next w:val="1"/>
    <w:semiHidden/>
    <w:qFormat/>
    <w:uiPriority w:val="0"/>
    <w:pPr>
      <w:ind w:left="420" w:leftChars="200"/>
    </w:pPr>
  </w:style>
  <w:style w:type="paragraph" w:customStyle="1" w:styleId="156">
    <w:name w:val="正文标准样式"/>
    <w:basedOn w:val="1"/>
    <w:qFormat/>
    <w:uiPriority w:val="0"/>
    <w:pPr>
      <w:adjustRightInd w:val="0"/>
      <w:spacing w:line="300" w:lineRule="auto"/>
      <w:ind w:firstLine="482"/>
      <w:textAlignment w:val="baseline"/>
    </w:pPr>
    <w:rPr>
      <w:kern w:val="0"/>
      <w:sz w:val="24"/>
    </w:rPr>
  </w:style>
  <w:style w:type="paragraph" w:customStyle="1" w:styleId="157">
    <w:name w:val="1表格"/>
    <w:basedOn w:val="1"/>
    <w:qFormat/>
    <w:uiPriority w:val="0"/>
    <w:pPr>
      <w:snapToGrid w:val="0"/>
      <w:spacing w:line="160" w:lineRule="atLeast"/>
      <w:jc w:val="center"/>
    </w:pPr>
    <w:rPr>
      <w:rFonts w:eastAsia="Yu Mincho Light"/>
    </w:rPr>
  </w:style>
  <w:style w:type="paragraph" w:customStyle="1" w:styleId="158">
    <w:name w:val="表格文字2"/>
    <w:basedOn w:val="79"/>
    <w:qFormat/>
    <w:uiPriority w:val="0"/>
    <w:pPr>
      <w:autoSpaceDE/>
      <w:autoSpaceDN/>
      <w:spacing w:after="0"/>
      <w:jc w:val="center"/>
      <w:textAlignment w:val="baseline"/>
    </w:pPr>
    <w:rPr>
      <w:rFonts w:ascii="等线"/>
      <w:sz w:val="24"/>
    </w:rPr>
  </w:style>
  <w:style w:type="paragraph" w:customStyle="1" w:styleId="159">
    <w:name w:val="01正文"/>
    <w:basedOn w:val="1"/>
    <w:qFormat/>
    <w:uiPriority w:val="0"/>
    <w:pPr>
      <w:adjustRightInd w:val="0"/>
      <w:snapToGrid w:val="0"/>
      <w:spacing w:line="480" w:lineRule="exact"/>
      <w:ind w:firstLine="200" w:firstLineChars="200"/>
    </w:pPr>
    <w:rPr>
      <w:color w:val="000000"/>
      <w:sz w:val="24"/>
      <w:szCs w:val="21"/>
    </w:rPr>
  </w:style>
  <w:style w:type="paragraph" w:customStyle="1" w:styleId="160">
    <w:name w:val="标题4"/>
    <w:basedOn w:val="1"/>
    <w:qFormat/>
    <w:uiPriority w:val="0"/>
    <w:pPr>
      <w:spacing w:line="360" w:lineRule="auto"/>
      <w:ind w:left="-7" w:leftChars="-3" w:firstLine="554" w:firstLineChars="230"/>
      <w:jc w:val="left"/>
    </w:pPr>
    <w:rPr>
      <w:b/>
      <w:bCs/>
      <w:sz w:val="24"/>
      <w:szCs w:val="24"/>
    </w:rPr>
  </w:style>
  <w:style w:type="paragraph" w:customStyle="1" w:styleId="161">
    <w:name w:val="样式2"/>
    <w:basedOn w:val="1"/>
    <w:qFormat/>
    <w:uiPriority w:val="0"/>
    <w:pPr>
      <w:adjustRightInd w:val="0"/>
      <w:spacing w:line="288" w:lineRule="auto"/>
      <w:ind w:left="170"/>
      <w:jc w:val="left"/>
    </w:pPr>
    <w:rPr>
      <w:b/>
      <w:kern w:val="0"/>
      <w:sz w:val="24"/>
    </w:rPr>
  </w:style>
  <w:style w:type="paragraph" w:customStyle="1" w:styleId="162">
    <w:name w:val="Char Char2"/>
    <w:basedOn w:val="1"/>
    <w:qFormat/>
    <w:uiPriority w:val="0"/>
  </w:style>
  <w:style w:type="paragraph" w:customStyle="1" w:styleId="163">
    <w:name w:val="目录 11"/>
    <w:basedOn w:val="1"/>
    <w:next w:val="1"/>
    <w:qFormat/>
    <w:uiPriority w:val="0"/>
  </w:style>
  <w:style w:type="paragraph" w:customStyle="1" w:styleId="164">
    <w:name w:val="正文缩进2"/>
    <w:basedOn w:val="1"/>
    <w:qFormat/>
    <w:uiPriority w:val="0"/>
    <w:pPr>
      <w:ind w:firstLine="420"/>
    </w:pPr>
  </w:style>
  <w:style w:type="paragraph" w:customStyle="1" w:styleId="165">
    <w:name w:val="样式 正文首行缩进:  2 字符 + 首行缩进:  2 字符"/>
    <w:basedOn w:val="1"/>
    <w:qFormat/>
    <w:uiPriority w:val="0"/>
    <w:pPr>
      <w:spacing w:line="360" w:lineRule="auto"/>
      <w:ind w:firstLine="480" w:firstLineChars="200"/>
    </w:pPr>
    <w:rPr>
      <w:rFonts w:cs="等线"/>
      <w:sz w:val="24"/>
    </w:rPr>
  </w:style>
  <w:style w:type="paragraph" w:customStyle="1" w:styleId="166">
    <w:name w:val="样式4"/>
    <w:basedOn w:val="1"/>
    <w:next w:val="1"/>
    <w:qFormat/>
    <w:uiPriority w:val="0"/>
    <w:pPr>
      <w:spacing w:line="440" w:lineRule="exact"/>
    </w:pPr>
    <w:rPr>
      <w:sz w:val="24"/>
    </w:rPr>
  </w:style>
  <w:style w:type="paragraph" w:customStyle="1" w:styleId="167">
    <w:name w:val="表格1"/>
    <w:basedOn w:val="1"/>
    <w:qFormat/>
    <w:uiPriority w:val="0"/>
    <w:pPr>
      <w:adjustRightInd w:val="0"/>
      <w:spacing w:line="20" w:lineRule="atLeast"/>
      <w:jc w:val="center"/>
      <w:textAlignment w:val="center"/>
    </w:pPr>
    <w:rPr>
      <w:kern w:val="0"/>
    </w:rPr>
  </w:style>
  <w:style w:type="paragraph" w:customStyle="1" w:styleId="168">
    <w:name w:val="目录 41"/>
    <w:basedOn w:val="1"/>
    <w:next w:val="1"/>
    <w:qFormat/>
    <w:uiPriority w:val="0"/>
    <w:pPr>
      <w:widowControl/>
      <w:ind w:left="1260" w:leftChars="600"/>
      <w:jc w:val="left"/>
    </w:pPr>
    <w:rPr>
      <w:rFonts w:ascii="Arial" w:hAnsi="Arial"/>
      <w:sz w:val="24"/>
      <w:szCs w:val="24"/>
    </w:rPr>
  </w:style>
  <w:style w:type="paragraph" w:customStyle="1" w:styleId="169">
    <w:name w:val="Default"/>
    <w:qFormat/>
    <w:uiPriority w:val="0"/>
    <w:pPr>
      <w:widowControl w:val="0"/>
      <w:autoSpaceDE w:val="0"/>
      <w:autoSpaceDN w:val="0"/>
      <w:adjustRightInd w:val="0"/>
    </w:pPr>
    <w:rPr>
      <w:rFonts w:ascii="等线" w:hAnsi="Arial Unicode MS" w:eastAsia="等线" w:cs="等线"/>
      <w:color w:val="000000"/>
      <w:sz w:val="24"/>
      <w:szCs w:val="24"/>
      <w:lang w:val="en-US" w:eastAsia="zh-CN" w:bidi="ar-SA"/>
    </w:rPr>
  </w:style>
  <w:style w:type="paragraph" w:customStyle="1" w:styleId="170">
    <w:name w:val="xl2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71">
    <w:name w:val="0正文"/>
    <w:basedOn w:val="12"/>
    <w:qFormat/>
    <w:uiPriority w:val="0"/>
    <w:pPr>
      <w:ind w:firstLine="720"/>
    </w:pPr>
    <w:rPr>
      <w:szCs w:val="22"/>
    </w:rPr>
  </w:style>
  <w:style w:type="paragraph" w:customStyle="1" w:styleId="172">
    <w:name w:val="p16"/>
    <w:basedOn w:val="1"/>
    <w:qFormat/>
    <w:uiPriority w:val="0"/>
    <w:pPr>
      <w:widowControl/>
      <w:spacing w:before="60" w:after="60" w:line="300" w:lineRule="auto"/>
      <w:ind w:firstLine="420"/>
    </w:pPr>
    <w:rPr>
      <w:kern w:val="0"/>
      <w:sz w:val="24"/>
      <w:szCs w:val="24"/>
    </w:rPr>
  </w:style>
  <w:style w:type="paragraph" w:customStyle="1" w:styleId="173">
    <w:name w:val="xl26"/>
    <w:basedOn w:val="1"/>
    <w:qFormat/>
    <w:uiPriority w:val="0"/>
    <w:pPr>
      <w:widowControl/>
      <w:spacing w:before="100" w:beforeAutospacing="1" w:after="100" w:afterAutospacing="1"/>
      <w:jc w:val="center"/>
    </w:pPr>
    <w:rPr>
      <w:rFonts w:ascii="Courier New" w:hAnsi="Courier New" w:eastAsia="Arial Unicode MS"/>
      <w:kern w:val="0"/>
      <w:sz w:val="24"/>
      <w:szCs w:val="24"/>
    </w:rPr>
  </w:style>
  <w:style w:type="paragraph" w:customStyle="1" w:styleId="174">
    <w:name w:val="表格内部"/>
    <w:basedOn w:val="1"/>
    <w:qFormat/>
    <w:uiPriority w:val="0"/>
    <w:pPr>
      <w:adjustRightInd w:val="0"/>
      <w:snapToGrid w:val="0"/>
      <w:spacing w:line="300" w:lineRule="auto"/>
      <w:jc w:val="center"/>
    </w:pPr>
    <w:rPr>
      <w:rFonts w:ascii="楷体_GB2312" w:hAnsi="楷体_GB2312" w:eastAsia="Yu Mincho Light"/>
      <w:szCs w:val="24"/>
    </w:rPr>
  </w:style>
  <w:style w:type="paragraph" w:customStyle="1" w:styleId="175">
    <w:name w:val="_Style 2"/>
    <w:basedOn w:val="1"/>
    <w:qFormat/>
    <w:uiPriority w:val="0"/>
    <w:pPr>
      <w:ind w:firstLine="420" w:firstLineChars="200"/>
    </w:pPr>
    <w:rPr>
      <w:sz w:val="28"/>
      <w:szCs w:val="24"/>
    </w:rPr>
  </w:style>
  <w:style w:type="character" w:customStyle="1" w:styleId="176">
    <w:name w:val="正文文本缩进 字符"/>
    <w:link w:val="12"/>
    <w:qFormat/>
    <w:uiPriority w:val="0"/>
    <w:rPr>
      <w:kern w:val="2"/>
      <w:sz w:val="24"/>
    </w:rPr>
  </w:style>
  <w:style w:type="paragraph" w:customStyle="1" w:styleId="177">
    <w:name w:val="Char Char1 Char Char Char Char"/>
    <w:basedOn w:val="1"/>
    <w:semiHidden/>
    <w:qFormat/>
    <w:uiPriority w:val="0"/>
    <w:pPr>
      <w:adjustRightInd w:val="0"/>
      <w:snapToGrid w:val="0"/>
      <w:spacing w:line="360" w:lineRule="auto"/>
      <w:ind w:firstLine="200" w:firstLineChars="200"/>
    </w:pPr>
    <w:rPr>
      <w:rFonts w:ascii="等线"/>
      <w:sz w:val="24"/>
      <w:szCs w:val="24"/>
    </w:rPr>
  </w:style>
  <w:style w:type="paragraph" w:customStyle="1" w:styleId="178">
    <w:name w:val="正文首行缩进 21"/>
    <w:basedOn w:val="12"/>
    <w:link w:val="179"/>
    <w:qFormat/>
    <w:locked/>
    <w:uiPriority w:val="0"/>
    <w:pPr>
      <w:spacing w:after="120" w:line="240" w:lineRule="auto"/>
      <w:ind w:left="420" w:leftChars="200" w:firstLine="420"/>
    </w:pPr>
    <w:rPr>
      <w:sz w:val="21"/>
    </w:rPr>
  </w:style>
  <w:style w:type="character" w:customStyle="1" w:styleId="179">
    <w:name w:val="正文首行缩进 2 Char"/>
    <w:link w:val="178"/>
    <w:qFormat/>
    <w:uiPriority w:val="0"/>
    <w:rPr>
      <w:kern w:val="2"/>
      <w:sz w:val="21"/>
    </w:rPr>
  </w:style>
  <w:style w:type="character" w:customStyle="1" w:styleId="180">
    <w:name w:val="Unresolved Mention"/>
    <w:semiHidden/>
    <w:unhideWhenUsed/>
    <w:qFormat/>
    <w:uiPriority w:val="99"/>
    <w:rPr>
      <w:color w:val="605E5C"/>
      <w:shd w:val="clear" w:color="auto" w:fill="E1DFDD"/>
    </w:rPr>
  </w:style>
  <w:style w:type="character" w:customStyle="1" w:styleId="181">
    <w:name w:val="正文缩进 字符"/>
    <w:qFormat/>
    <w:locked/>
    <w:uiPriority w:val="0"/>
    <w:rPr>
      <w:kern w:val="2"/>
      <w:sz w:val="21"/>
    </w:rPr>
  </w:style>
  <w:style w:type="table" w:customStyle="1" w:styleId="182">
    <w:name w:val="Table Normal"/>
    <w:semiHidden/>
    <w:unhideWhenUsed/>
    <w:qFormat/>
    <w:uiPriority w:val="2"/>
    <w:pPr>
      <w:widowControl w:val="0"/>
    </w:pPr>
    <w:rPr>
      <w:rFonts w:ascii="Calibri" w:hAnsi="Calibri" w:eastAsia="宋体" w:cs="Times New Roman"/>
      <w:sz w:val="22"/>
      <w:szCs w:val="22"/>
      <w:lang w:eastAsia="en-US"/>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emf"/><Relationship Id="rId14" Type="http://schemas.openxmlformats.org/officeDocument/2006/relationships/package" Target="embeddings/Microsoft_Visio___2.vsdx"/><Relationship Id="rId13" Type="http://schemas.openxmlformats.org/officeDocument/2006/relationships/image" Target="media/image5.emf"/><Relationship Id="rId12" Type="http://schemas.openxmlformats.org/officeDocument/2006/relationships/oleObject" Target="embeddings/Microsoft_Visio_2003-2010___1.vsd"/><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020&#24180;\&#29615;&#35780;&#25253;&#21578;\8&#26519;&#27827;&#30789;&#31881;&#39033;&#30446;\&#20048;&#23665;&#33402;&#28304;&#26377;&#26426;&#30789;&#26448;&#26009;&#26377;&#38480;&#20844;&#21496;&#30789;&#31881;&#21152;&#24037;&#25216;&#25913;&#39033;&#30446;+&#25253;&#21578;&#34920;+&#23784;&#36793;&#24413;&#26063;&#33258;&#27835;&#21439;&#29983;&#24577;&#29615;&#22659;&#23616;7.6\1&#27491;&#25991;&#21450;&#23457;&#25209;&#30331;&#35760;&#34920;\&#65288;&#29615;&#35780;&#65289;&#20048;&#23665;&#33402;&#28304;&#26377;&#26426;&#30789;&#26448;&#26009;&#26377;&#38480;&#20844;&#21496;&#30789;&#31881;&#21152;&#24037;&#25216;&#25913;&#39033;&#30446;&#65288;&#36865;&#23457;&#29256;&#65289;8.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013586-96ED-4EE2-9779-3ED5317007CE}">
  <ds:schemaRefs/>
</ds:datastoreItem>
</file>

<file path=docProps/app.xml><?xml version="1.0" encoding="utf-8"?>
<Properties xmlns="http://schemas.openxmlformats.org/officeDocument/2006/extended-properties" xmlns:vt="http://schemas.openxmlformats.org/officeDocument/2006/docPropsVTypes">
  <Template>（环评）乐山艺源有机硅材料有限公司硅粉加工技改项目（送审版）8.5</Template>
  <Company>corp</Company>
  <Pages>77</Pages>
  <Words>533</Words>
  <Characters>534</Characters>
  <Lines>405</Lines>
  <Paragraphs>114</Paragraphs>
  <TotalTime>10</TotalTime>
  <ScaleCrop>false</ScaleCrop>
  <LinksUpToDate>false</LinksUpToDate>
  <CharactersWithSpaces>582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2020-10-15T01:17:00Z</dcterms:created>
  <dc:creator>10606</dc:creator>
  <cp:lastModifiedBy>碧云天</cp:lastModifiedBy>
  <cp:lastPrinted>2020-04-06T10:26:00Z</cp:lastPrinted>
  <dcterms:modified xsi:type="dcterms:W3CDTF">2025-02-15T03:22:58Z</dcterms:modified>
  <dc:title>建设项目基本情况</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KSOTemplateDocerSaveRecord">
    <vt:lpwstr>eyJoZGlkIjoiNzI2ZGI0OGUzMDAzMzk0YmE1OTYyMDVlZGMwMmYyODYiLCJ1c2VySWQiOiIzNjIzMDEzMzQifQ==</vt:lpwstr>
  </property>
  <property fmtid="{D5CDD505-2E9C-101B-9397-08002B2CF9AE}" pid="4" name="ICV">
    <vt:lpwstr>B6C0782E43304F40800B30B00139B050_12</vt:lpwstr>
  </property>
</Properties>
</file>