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b/>
          <w:sz w:val="52"/>
        </w:rPr>
      </w:pPr>
    </w:p>
    <w:p>
      <w:pPr>
        <w:spacing w:before="2400"/>
        <w:jc w:val="center"/>
        <w:rPr>
          <w:b/>
          <w:sz w:val="72"/>
        </w:rPr>
      </w:pPr>
      <w:r>
        <w:rPr>
          <w:rFonts w:hint="eastAsia"/>
          <w:b/>
          <w:sz w:val="72"/>
        </w:rPr>
        <w:t>建设项目环境影响报告表</w:t>
      </w:r>
    </w:p>
    <w:p>
      <w:pPr>
        <w:jc w:val="center"/>
        <w:outlineLvl w:val="1"/>
        <w:rPr>
          <w:b/>
          <w:sz w:val="32"/>
          <w:szCs w:val="32"/>
        </w:rPr>
      </w:pPr>
      <w:r>
        <w:rPr>
          <w:rFonts w:hint="eastAsia"/>
          <w:b/>
          <w:sz w:val="32"/>
          <w:szCs w:val="32"/>
        </w:rPr>
        <w:t>（</w:t>
      </w:r>
      <w:r>
        <w:rPr>
          <w:rFonts w:hint="eastAsia"/>
          <w:b/>
          <w:sz w:val="32"/>
          <w:szCs w:val="32"/>
          <w:lang w:eastAsia="zh-CN"/>
        </w:rPr>
        <w:t>报批版</w:t>
      </w:r>
      <w:r>
        <w:rPr>
          <w:rFonts w:hint="eastAsia"/>
          <w:b/>
          <w:sz w:val="32"/>
          <w:szCs w:val="32"/>
        </w:rPr>
        <w:t>）</w:t>
      </w:r>
    </w:p>
    <w:p>
      <w:pPr>
        <w:spacing w:line="360" w:lineRule="auto"/>
        <w:rPr>
          <w:sz w:val="36"/>
          <w:u w:val="single"/>
        </w:rPr>
      </w:pPr>
      <w:bookmarkStart w:id="20" w:name="_GoBack"/>
      <w:bookmarkEnd w:id="20"/>
    </w:p>
    <w:p>
      <w:pPr>
        <w:spacing w:line="360" w:lineRule="auto"/>
        <w:rPr>
          <w:sz w:val="36"/>
          <w:u w:val="single"/>
        </w:rPr>
      </w:pPr>
    </w:p>
    <w:p>
      <w:pPr>
        <w:spacing w:line="360" w:lineRule="auto"/>
        <w:rPr>
          <w:sz w:val="36"/>
          <w:u w:val="single"/>
        </w:rPr>
      </w:pPr>
    </w:p>
    <w:p>
      <w:pPr>
        <w:jc w:val="center"/>
        <w:rPr>
          <w:b/>
          <w:sz w:val="72"/>
        </w:rPr>
      </w:pPr>
    </w:p>
    <w:p>
      <w:pPr>
        <w:spacing w:line="360" w:lineRule="auto"/>
        <w:jc w:val="center"/>
        <w:rPr>
          <w:b/>
          <w:sz w:val="32"/>
          <w:szCs w:val="32"/>
        </w:rPr>
      </w:pPr>
      <w:r>
        <w:rPr>
          <w:rFonts w:hint="eastAsia"/>
          <w:b/>
          <w:sz w:val="32"/>
          <w:szCs w:val="32"/>
        </w:rPr>
        <w:t>项目名称</w:t>
      </w:r>
      <w:r>
        <w:rPr>
          <w:b/>
          <w:sz w:val="32"/>
          <w:szCs w:val="32"/>
        </w:rPr>
        <w:t>:</w:t>
      </w:r>
      <w:r>
        <w:rPr>
          <w:rFonts w:hint="eastAsia"/>
          <w:b/>
          <w:sz w:val="32"/>
          <w:szCs w:val="32"/>
          <w:u w:val="single"/>
        </w:rPr>
        <w:t>年产5万吨高端电磁选钾长石生产线</w:t>
      </w:r>
    </w:p>
    <w:p>
      <w:pPr>
        <w:spacing w:line="360" w:lineRule="auto"/>
        <w:jc w:val="center"/>
        <w:rPr>
          <w:b/>
          <w:sz w:val="32"/>
          <w:szCs w:val="32"/>
        </w:rPr>
      </w:pPr>
      <w:r>
        <w:rPr>
          <w:rFonts w:hint="eastAsia"/>
          <w:b/>
          <w:sz w:val="32"/>
          <w:szCs w:val="32"/>
        </w:rPr>
        <w:t>建设单位</w:t>
      </w:r>
      <w:r>
        <w:rPr>
          <w:b/>
          <w:sz w:val="32"/>
          <w:szCs w:val="32"/>
        </w:rPr>
        <w:t>(</w:t>
      </w:r>
      <w:r>
        <w:rPr>
          <w:rFonts w:hint="eastAsia"/>
          <w:b/>
          <w:sz w:val="32"/>
          <w:szCs w:val="32"/>
        </w:rPr>
        <w:t>盖章</w:t>
      </w:r>
      <w:r>
        <w:rPr>
          <w:b/>
          <w:sz w:val="32"/>
          <w:szCs w:val="32"/>
        </w:rPr>
        <w:t>):</w:t>
      </w:r>
      <w:r>
        <w:rPr>
          <w:rFonts w:hint="eastAsia"/>
          <w:b/>
          <w:sz w:val="32"/>
          <w:szCs w:val="32"/>
          <w:u w:val="single"/>
        </w:rPr>
        <w:t>乐山市峨边盛和矿业有限公司</w:t>
      </w:r>
    </w:p>
    <w:p>
      <w:pPr>
        <w:spacing w:line="360" w:lineRule="auto"/>
        <w:rPr>
          <w:sz w:val="32"/>
          <w:u w:val="single"/>
        </w:rPr>
      </w:pPr>
    </w:p>
    <w:p>
      <w:pPr>
        <w:spacing w:line="360" w:lineRule="auto"/>
        <w:rPr>
          <w:sz w:val="32"/>
          <w:u w:val="single"/>
        </w:rPr>
      </w:pPr>
    </w:p>
    <w:p>
      <w:pPr>
        <w:spacing w:line="360" w:lineRule="auto"/>
        <w:rPr>
          <w:sz w:val="32"/>
          <w:u w:val="single"/>
        </w:rPr>
      </w:pPr>
    </w:p>
    <w:p>
      <w:pPr>
        <w:spacing w:line="360" w:lineRule="auto"/>
        <w:rPr>
          <w:sz w:val="32"/>
          <w:u w:val="single"/>
        </w:rPr>
      </w:pPr>
    </w:p>
    <w:p>
      <w:pPr>
        <w:spacing w:line="360" w:lineRule="auto"/>
        <w:jc w:val="center"/>
        <w:rPr>
          <w:b/>
          <w:color w:val="FF0000"/>
          <w:sz w:val="32"/>
          <w:szCs w:val="32"/>
        </w:rPr>
      </w:pPr>
      <w:r>
        <w:rPr>
          <w:rFonts w:hint="eastAsia"/>
          <w:b/>
          <w:color w:val="FF0000"/>
          <w:sz w:val="32"/>
          <w:szCs w:val="32"/>
        </w:rPr>
        <w:t>编制单位：湖北周德福科技有限公司</w:t>
      </w:r>
    </w:p>
    <w:p>
      <w:pPr>
        <w:spacing w:line="360" w:lineRule="auto"/>
        <w:jc w:val="center"/>
        <w:rPr>
          <w:b/>
          <w:sz w:val="32"/>
          <w:szCs w:val="32"/>
        </w:rPr>
      </w:pPr>
      <w:r>
        <w:rPr>
          <w:rFonts w:hint="eastAsia"/>
          <w:b/>
          <w:sz w:val="32"/>
          <w:szCs w:val="32"/>
        </w:rPr>
        <w:t>编制时间： 2020年2月</w:t>
      </w:r>
    </w:p>
    <w:p>
      <w:pPr>
        <w:spacing w:line="360" w:lineRule="auto"/>
        <w:jc w:val="center"/>
        <w:rPr>
          <w:b/>
          <w:sz w:val="32"/>
          <w:szCs w:val="32"/>
        </w:rPr>
      </w:pPr>
    </w:p>
    <w:p>
      <w:pPr>
        <w:spacing w:line="360" w:lineRule="auto"/>
        <w:jc w:val="center"/>
        <w:rPr>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871" w:left="1418" w:header="851" w:footer="992" w:gutter="0"/>
          <w:pgNumType w:start="0"/>
          <w:cols w:space="425" w:num="1"/>
          <w:titlePg/>
          <w:docGrid w:type="lines" w:linePitch="312" w:charSpace="0"/>
        </w:sectPr>
      </w:pPr>
    </w:p>
    <w:p>
      <w:pPr>
        <w:spacing w:line="456" w:lineRule="auto"/>
        <w:jc w:val="center"/>
        <w:rPr>
          <w:rFonts w:ascii="SimSun"/>
          <w:b/>
          <w:sz w:val="30"/>
        </w:rPr>
      </w:pPr>
      <w:r>
        <w:rPr>
          <w:rFonts w:hint="eastAsia" w:ascii="SimSun"/>
          <w:b/>
          <w:sz w:val="30"/>
        </w:rPr>
        <w:t>《建设项目环境影响报告表》编制说明</w:t>
      </w:r>
    </w:p>
    <w:p>
      <w:pPr>
        <w:spacing w:line="456" w:lineRule="auto"/>
      </w:pPr>
    </w:p>
    <w:p>
      <w:pPr>
        <w:spacing w:line="456" w:lineRule="auto"/>
        <w:ind w:firstLine="482"/>
        <w:rPr>
          <w:rFonts w:ascii="SimSun"/>
          <w:spacing w:val="12"/>
          <w:sz w:val="24"/>
        </w:rPr>
      </w:pPr>
      <w:r>
        <w:rPr>
          <w:rFonts w:hint="eastAsia" w:ascii="SimSun"/>
          <w:spacing w:val="12"/>
          <w:sz w:val="24"/>
        </w:rPr>
        <w:t>《建设项目环境影响报告表》由具有从事环境影响评价工作资质的单位编制。</w:t>
      </w:r>
    </w:p>
    <w:p>
      <w:pPr>
        <w:spacing w:line="456" w:lineRule="auto"/>
        <w:ind w:firstLine="482"/>
        <w:rPr>
          <w:rFonts w:ascii="SimSun"/>
          <w:spacing w:val="12"/>
          <w:sz w:val="24"/>
        </w:rPr>
      </w:pPr>
      <w:r>
        <w:rPr>
          <w:rFonts w:ascii="SimSun"/>
          <w:spacing w:val="12"/>
          <w:sz w:val="24"/>
        </w:rPr>
        <w:t xml:space="preserve">1. </w:t>
      </w:r>
      <w:r>
        <w:rPr>
          <w:rFonts w:hint="eastAsia" w:ascii="SimSun"/>
          <w:spacing w:val="12"/>
          <w:sz w:val="24"/>
        </w:rPr>
        <w:t>项目名称</w:t>
      </w:r>
      <w:r>
        <w:rPr>
          <w:rFonts w:ascii="SimSun"/>
          <w:spacing w:val="12"/>
          <w:sz w:val="24"/>
        </w:rPr>
        <w:t>——</w:t>
      </w:r>
      <w:r>
        <w:rPr>
          <w:rFonts w:hint="eastAsia" w:ascii="SimSun"/>
          <w:spacing w:val="12"/>
          <w:sz w:val="24"/>
        </w:rPr>
        <w:t>指项目立项批复时的名称，应不超过</w:t>
      </w:r>
      <w:r>
        <w:rPr>
          <w:rFonts w:ascii="SimSun"/>
          <w:spacing w:val="12"/>
          <w:sz w:val="24"/>
        </w:rPr>
        <w:t>30</w:t>
      </w:r>
      <w:r>
        <w:rPr>
          <w:rFonts w:hint="eastAsia" w:ascii="SimSun"/>
          <w:spacing w:val="12"/>
          <w:sz w:val="24"/>
        </w:rPr>
        <w:t>个字</w:t>
      </w:r>
      <w:r>
        <w:rPr>
          <w:rFonts w:ascii="SimSun"/>
          <w:spacing w:val="12"/>
          <w:sz w:val="24"/>
        </w:rPr>
        <w:t>(</w:t>
      </w:r>
      <w:r>
        <w:rPr>
          <w:rFonts w:hint="eastAsia" w:ascii="SimSun"/>
          <w:spacing w:val="12"/>
          <w:sz w:val="24"/>
        </w:rPr>
        <w:t>两个英文字段作一个汉字</w:t>
      </w:r>
      <w:r>
        <w:rPr>
          <w:rFonts w:ascii="SimSun"/>
          <w:spacing w:val="12"/>
          <w:sz w:val="24"/>
        </w:rPr>
        <w:t>)</w:t>
      </w:r>
      <w:r>
        <w:rPr>
          <w:rFonts w:hint="eastAsia" w:ascii="SimSun"/>
          <w:spacing w:val="12"/>
          <w:sz w:val="24"/>
        </w:rPr>
        <w:t>。</w:t>
      </w:r>
    </w:p>
    <w:p>
      <w:pPr>
        <w:spacing w:line="456" w:lineRule="auto"/>
        <w:ind w:firstLine="482"/>
        <w:rPr>
          <w:rFonts w:ascii="SimSun"/>
          <w:spacing w:val="12"/>
          <w:sz w:val="24"/>
        </w:rPr>
      </w:pPr>
      <w:r>
        <w:rPr>
          <w:rFonts w:ascii="SimSun"/>
          <w:spacing w:val="12"/>
          <w:sz w:val="24"/>
        </w:rPr>
        <w:t xml:space="preserve">2. </w:t>
      </w:r>
      <w:r>
        <w:rPr>
          <w:rFonts w:hint="eastAsia" w:ascii="SimSun"/>
          <w:spacing w:val="12"/>
          <w:sz w:val="24"/>
        </w:rPr>
        <w:t>建设地点</w:t>
      </w:r>
      <w:r>
        <w:rPr>
          <w:rFonts w:ascii="SimSun"/>
          <w:spacing w:val="12"/>
          <w:sz w:val="24"/>
        </w:rPr>
        <w:t>——</w:t>
      </w:r>
      <w:r>
        <w:rPr>
          <w:rFonts w:hint="eastAsia" w:ascii="SimSun"/>
          <w:spacing w:val="12"/>
          <w:sz w:val="24"/>
        </w:rPr>
        <w:t>指项目所在地的名称，公路、铁路应填写起止地点。</w:t>
      </w:r>
    </w:p>
    <w:p>
      <w:pPr>
        <w:spacing w:line="456" w:lineRule="auto"/>
        <w:ind w:firstLine="482"/>
        <w:rPr>
          <w:rFonts w:ascii="SimSun"/>
          <w:spacing w:val="12"/>
          <w:sz w:val="24"/>
        </w:rPr>
      </w:pPr>
      <w:r>
        <w:rPr>
          <w:rFonts w:ascii="SimSun"/>
          <w:spacing w:val="12"/>
          <w:sz w:val="24"/>
        </w:rPr>
        <w:t xml:space="preserve">3. </w:t>
      </w:r>
      <w:r>
        <w:rPr>
          <w:rFonts w:hint="eastAsia" w:ascii="SimSun"/>
          <w:spacing w:val="12"/>
          <w:sz w:val="24"/>
        </w:rPr>
        <w:t>行业类别</w:t>
      </w:r>
      <w:r>
        <w:rPr>
          <w:rFonts w:ascii="SimSun"/>
          <w:spacing w:val="12"/>
          <w:sz w:val="24"/>
        </w:rPr>
        <w:t>——</w:t>
      </w:r>
      <w:r>
        <w:rPr>
          <w:rFonts w:hint="eastAsia" w:ascii="SimSun"/>
          <w:spacing w:val="12"/>
          <w:sz w:val="24"/>
        </w:rPr>
        <w:t>按国标填写</w:t>
      </w:r>
    </w:p>
    <w:p>
      <w:pPr>
        <w:spacing w:line="456" w:lineRule="auto"/>
        <w:ind w:firstLine="482"/>
        <w:rPr>
          <w:rFonts w:ascii="SimSun"/>
          <w:spacing w:val="12"/>
          <w:sz w:val="24"/>
        </w:rPr>
      </w:pPr>
      <w:r>
        <w:rPr>
          <w:rFonts w:ascii="SimSun"/>
          <w:spacing w:val="12"/>
          <w:sz w:val="24"/>
        </w:rPr>
        <w:t xml:space="preserve">4. </w:t>
      </w:r>
      <w:r>
        <w:rPr>
          <w:rFonts w:hint="eastAsia" w:ascii="SimSun"/>
          <w:spacing w:val="12"/>
          <w:sz w:val="24"/>
        </w:rPr>
        <w:t>总投资</w:t>
      </w:r>
      <w:r>
        <w:rPr>
          <w:rFonts w:ascii="SimSun"/>
          <w:spacing w:val="12"/>
          <w:sz w:val="24"/>
        </w:rPr>
        <w:t>——</w:t>
      </w:r>
      <w:r>
        <w:rPr>
          <w:rFonts w:hint="eastAsia" w:ascii="SimSun"/>
          <w:spacing w:val="12"/>
          <w:sz w:val="24"/>
        </w:rPr>
        <w:t>指项目投资总额。</w:t>
      </w:r>
    </w:p>
    <w:p>
      <w:pPr>
        <w:spacing w:line="456" w:lineRule="auto"/>
        <w:ind w:firstLine="482"/>
        <w:rPr>
          <w:rFonts w:ascii="SimSun"/>
          <w:spacing w:val="12"/>
          <w:sz w:val="24"/>
        </w:rPr>
      </w:pPr>
      <w:r>
        <w:rPr>
          <w:rFonts w:ascii="SimSun"/>
          <w:spacing w:val="12"/>
          <w:sz w:val="24"/>
        </w:rPr>
        <w:t xml:space="preserve">5. </w:t>
      </w:r>
      <w:r>
        <w:rPr>
          <w:rFonts w:hint="eastAsia" w:ascii="SimSun"/>
          <w:spacing w:val="12"/>
          <w:sz w:val="24"/>
        </w:rPr>
        <w:t>主要环境保护目标</w:t>
      </w:r>
      <w:r>
        <w:rPr>
          <w:rFonts w:ascii="SimSun"/>
          <w:spacing w:val="12"/>
          <w:sz w:val="24"/>
        </w:rPr>
        <w:t>——</w:t>
      </w:r>
      <w:r>
        <w:rPr>
          <w:rFonts w:hint="eastAsia" w:ascii="SimSun"/>
          <w:spacing w:val="12"/>
          <w:sz w:val="24"/>
        </w:rPr>
        <w:t>指项目区周围一定范围内集中居民住宅区、学校、医院、保护文物、风景名胜区、水源地和生态敏感点等，应尽可能给出保护目标、性质、规模和距厂界距离等。</w:t>
      </w:r>
    </w:p>
    <w:p>
      <w:pPr>
        <w:spacing w:line="456" w:lineRule="auto"/>
        <w:ind w:firstLine="482"/>
        <w:rPr>
          <w:rFonts w:ascii="SimSun"/>
          <w:spacing w:val="12"/>
          <w:sz w:val="24"/>
        </w:rPr>
      </w:pPr>
      <w:r>
        <w:rPr>
          <w:rFonts w:ascii="SimSun"/>
          <w:spacing w:val="12"/>
          <w:sz w:val="24"/>
        </w:rPr>
        <w:t xml:space="preserve">6. </w:t>
      </w:r>
      <w:r>
        <w:rPr>
          <w:rFonts w:hint="eastAsia" w:ascii="SimSun"/>
          <w:spacing w:val="12"/>
          <w:sz w:val="24"/>
        </w:rPr>
        <w:t>结论与建议</w:t>
      </w:r>
      <w:r>
        <w:rPr>
          <w:rFonts w:ascii="SimSun"/>
          <w:spacing w:val="12"/>
          <w:sz w:val="24"/>
        </w:rPr>
        <w:t>——</w:t>
      </w:r>
      <w:r>
        <w:rPr>
          <w:rFonts w:hint="eastAsia" w:ascii="SimSun"/>
          <w:spacing w:val="12"/>
          <w:sz w:val="24"/>
        </w:rPr>
        <w:t>给出本项目清洁生产、达标排放和总量控制的分析结论，确定污染防治措施的有效性，说明本项目对环境造成的影响，给出建设项目环境可行性的明确结论。同时提出减少环境影响的其他建议。</w:t>
      </w:r>
    </w:p>
    <w:p>
      <w:pPr>
        <w:spacing w:line="456" w:lineRule="auto"/>
        <w:ind w:firstLine="482"/>
        <w:rPr>
          <w:rFonts w:ascii="SimSun"/>
          <w:spacing w:val="12"/>
          <w:sz w:val="24"/>
        </w:rPr>
      </w:pPr>
      <w:r>
        <w:rPr>
          <w:rFonts w:ascii="SimSun"/>
          <w:spacing w:val="12"/>
          <w:sz w:val="24"/>
        </w:rPr>
        <w:t xml:space="preserve">7. </w:t>
      </w:r>
      <w:r>
        <w:rPr>
          <w:rFonts w:hint="eastAsia" w:ascii="SimSun"/>
          <w:spacing w:val="12"/>
          <w:sz w:val="24"/>
        </w:rPr>
        <w:t>预审意见</w:t>
      </w:r>
      <w:r>
        <w:rPr>
          <w:rFonts w:ascii="SimSun"/>
          <w:spacing w:val="12"/>
          <w:sz w:val="24"/>
        </w:rPr>
        <w:t>——</w:t>
      </w:r>
      <w:r>
        <w:rPr>
          <w:rFonts w:hint="eastAsia" w:ascii="SimSun"/>
          <w:spacing w:val="12"/>
          <w:sz w:val="24"/>
        </w:rPr>
        <w:t>由行业主管部门填写答复意见，无主管部门项目，可不填。</w:t>
      </w:r>
    </w:p>
    <w:p>
      <w:pPr>
        <w:spacing w:line="456" w:lineRule="auto"/>
        <w:ind w:firstLine="482"/>
        <w:rPr>
          <w:rFonts w:ascii="SimSun"/>
          <w:spacing w:val="12"/>
          <w:sz w:val="24"/>
        </w:rPr>
        <w:sectPr>
          <w:pgSz w:w="11906" w:h="16838"/>
          <w:pgMar w:top="1418" w:right="1418" w:bottom="1871" w:left="1418" w:header="851" w:footer="992" w:gutter="0"/>
          <w:pgNumType w:start="0"/>
          <w:cols w:space="425" w:num="1"/>
          <w:titlePg/>
          <w:docGrid w:type="lines" w:linePitch="312" w:charSpace="0"/>
        </w:sectPr>
      </w:pPr>
      <w:r>
        <w:rPr>
          <w:rFonts w:ascii="SimSun"/>
          <w:spacing w:val="12"/>
          <w:sz w:val="24"/>
        </w:rPr>
        <w:t xml:space="preserve">8. </w:t>
      </w:r>
      <w:r>
        <w:rPr>
          <w:rFonts w:hint="eastAsia" w:ascii="SimSun"/>
          <w:spacing w:val="12"/>
          <w:sz w:val="24"/>
        </w:rPr>
        <w:t>审批意见</w:t>
      </w:r>
      <w:r>
        <w:rPr>
          <w:rFonts w:ascii="SimSun"/>
          <w:spacing w:val="12"/>
          <w:sz w:val="24"/>
        </w:rPr>
        <w:t>——</w:t>
      </w:r>
      <w:r>
        <w:rPr>
          <w:rFonts w:hint="eastAsia" w:ascii="SimSun"/>
          <w:spacing w:val="12"/>
          <w:sz w:val="24"/>
        </w:rPr>
        <w:t>由负责审批该项目的环境保护行政主管部门批复。</w:t>
      </w:r>
    </w:p>
    <w:p>
      <w:pPr>
        <w:pStyle w:val="23"/>
      </w:pPr>
      <w:bookmarkStart w:id="0" w:name="_Toc34472020"/>
      <w:r>
        <w:rPr>
          <w:rFonts w:hint="eastAsia"/>
        </w:rPr>
        <w:t>目录</w:t>
      </w:r>
      <w:bookmarkEnd w:id="0"/>
    </w:p>
    <w:p>
      <w:pPr>
        <w:pStyle w:val="18"/>
        <w:tabs>
          <w:tab w:val="right" w:leader="dot" w:pos="9060"/>
        </w:tabs>
        <w:rPr>
          <w:rFonts w:asciiTheme="minorHAnsi" w:hAnsiTheme="minorHAnsi" w:eastAsiaTheme="minorEastAsia" w:cstheme="minorBidi"/>
          <w:b w:val="0"/>
          <w:kern w:val="2"/>
          <w:sz w:val="21"/>
          <w:szCs w:val="22"/>
        </w:rPr>
      </w:pPr>
      <w:r>
        <w:rPr>
          <w:rFonts w:eastAsia="SimHei"/>
          <w:b w:val="0"/>
          <w:sz w:val="30"/>
        </w:rPr>
        <w:fldChar w:fldCharType="begin"/>
      </w:r>
      <w:r>
        <w:rPr>
          <w:rFonts w:eastAsia="SimHei"/>
          <w:b w:val="0"/>
          <w:sz w:val="30"/>
        </w:rPr>
        <w:instrText xml:space="preserve"> TOC \o "1-1" \h \z \u </w:instrText>
      </w:r>
      <w:r>
        <w:rPr>
          <w:rFonts w:eastAsia="SimHei"/>
          <w:b w:val="0"/>
          <w:sz w:val="30"/>
        </w:rPr>
        <w:fldChar w:fldCharType="separate"/>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"_Toc34472021" </w:instrText>
      </w:r>
      <w:r>
        <w:fldChar w:fldCharType="separate"/>
      </w:r>
      <w:r>
        <w:rPr>
          <w:rStyle w:val="29"/>
          <w:rFonts w:hint="eastAsia"/>
        </w:rPr>
        <w:t>表一建设项目基本情况</w:t>
      </w:r>
      <w:r>
        <w:tab/>
      </w:r>
      <w:r>
        <w:fldChar w:fldCharType="begin"/>
      </w:r>
      <w:r>
        <w:instrText xml:space="preserve"> PAGEREF _Toc34472021 \h </w:instrText>
      </w:r>
      <w:r>
        <w:fldChar w:fldCharType="separate"/>
      </w:r>
      <w:r>
        <w:t>1</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"_Toc34472022" </w:instrText>
      </w:r>
      <w:r>
        <w:fldChar w:fldCharType="separate"/>
      </w:r>
      <w:r>
        <w:rPr>
          <w:rStyle w:val="29"/>
          <w:rFonts w:hint="eastAsia"/>
        </w:rPr>
        <w:t>表二建设项目所在地自然环境社会环境简况</w:t>
      </w:r>
      <w:r>
        <w:tab/>
      </w:r>
      <w:r>
        <w:fldChar w:fldCharType="begin"/>
      </w:r>
      <w:r>
        <w:instrText xml:space="preserve"> PAGEREF _Toc34472022 \h </w:instrText>
      </w:r>
      <w:r>
        <w:fldChar w:fldCharType="separate"/>
      </w:r>
      <w:r>
        <w:t>21</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"_Toc34472023" </w:instrText>
      </w:r>
      <w:r>
        <w:fldChar w:fldCharType="separate"/>
      </w:r>
      <w:r>
        <w:rPr>
          <w:rStyle w:val="29"/>
          <w:rFonts w:hint="eastAsia"/>
        </w:rPr>
        <w:t>表三环境质量状况</w:t>
      </w:r>
      <w:r>
        <w:tab/>
      </w:r>
      <w:r>
        <w:fldChar w:fldCharType="begin"/>
      </w:r>
      <w:r>
        <w:instrText xml:space="preserve"> PAGEREF _Toc34472023 \h </w:instrText>
      </w:r>
      <w:r>
        <w:fldChar w:fldCharType="separate"/>
      </w:r>
      <w:r>
        <w:t>24</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"_Toc34472024" </w:instrText>
      </w:r>
      <w:r>
        <w:fldChar w:fldCharType="separate"/>
      </w:r>
      <w:r>
        <w:rPr>
          <w:rStyle w:val="29"/>
          <w:rFonts w:hint="eastAsia"/>
        </w:rPr>
        <w:t>表四评价适用标准</w:t>
      </w:r>
      <w:r>
        <w:tab/>
      </w:r>
      <w:r>
        <w:fldChar w:fldCharType="begin"/>
      </w:r>
      <w:r>
        <w:instrText xml:space="preserve"> PAGEREF _Toc34472024 \h </w:instrText>
      </w:r>
      <w:r>
        <w:fldChar w:fldCharType="separate"/>
      </w:r>
      <w:r>
        <w:t>27</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"_Toc34472025" </w:instrText>
      </w:r>
      <w:r>
        <w:fldChar w:fldCharType="separate"/>
      </w:r>
      <w:r>
        <w:rPr>
          <w:rStyle w:val="29"/>
          <w:rFonts w:hint="eastAsia"/>
        </w:rPr>
        <w:t>表五建设项目工程分析</w:t>
      </w:r>
      <w:r>
        <w:tab/>
      </w:r>
      <w:r>
        <w:fldChar w:fldCharType="begin"/>
      </w:r>
      <w:r>
        <w:instrText xml:space="preserve"> PAGEREF _Toc34472025 \h </w:instrText>
      </w:r>
      <w:r>
        <w:fldChar w:fldCharType="separate"/>
      </w:r>
      <w:r>
        <w:t>29</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"_Toc34472026" </w:instrText>
      </w:r>
      <w:r>
        <w:fldChar w:fldCharType="separate"/>
      </w:r>
      <w:r>
        <w:rPr>
          <w:rStyle w:val="29"/>
          <w:rFonts w:hint="eastAsia"/>
        </w:rPr>
        <w:t>表六项目主要污染物产生及预计排放情况</w:t>
      </w:r>
      <w:r>
        <w:tab/>
      </w:r>
      <w:r>
        <w:fldChar w:fldCharType="begin"/>
      </w:r>
      <w:r>
        <w:instrText xml:space="preserve"> PAGEREF _Toc34472026 \h </w:instrText>
      </w:r>
      <w:r>
        <w:fldChar w:fldCharType="separate"/>
      </w:r>
      <w:r>
        <w:t>39</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"_Toc34472027" </w:instrText>
      </w:r>
      <w:r>
        <w:fldChar w:fldCharType="separate"/>
      </w:r>
      <w:r>
        <w:rPr>
          <w:rStyle w:val="29"/>
          <w:rFonts w:hint="eastAsia"/>
        </w:rPr>
        <w:t>表七环境影响分析</w:t>
      </w:r>
      <w:r>
        <w:tab/>
      </w:r>
      <w:r>
        <w:fldChar w:fldCharType="begin"/>
      </w:r>
      <w:r>
        <w:instrText xml:space="preserve"> PAGEREF _Toc34472027 \h </w:instrText>
      </w:r>
      <w:r>
        <w:fldChar w:fldCharType="separate"/>
      </w:r>
      <w:r>
        <w:t>40</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"_Toc34472028" </w:instrText>
      </w:r>
      <w:r>
        <w:fldChar w:fldCharType="separate"/>
      </w:r>
      <w:r>
        <w:rPr>
          <w:rStyle w:val="29"/>
          <w:rFonts w:hint="eastAsia"/>
        </w:rPr>
        <w:t>表八建设项目拟采取的防治措施及预期治理效果</w:t>
      </w:r>
      <w:r>
        <w:tab/>
      </w:r>
      <w:r>
        <w:fldChar w:fldCharType="begin"/>
      </w:r>
      <w:r>
        <w:instrText xml:space="preserve"> PAGEREF _Toc34472028 \h </w:instrText>
      </w:r>
      <w:r>
        <w:fldChar w:fldCharType="separate"/>
      </w:r>
      <w:r>
        <w:t>58</w:t>
      </w:r>
      <w:r>
        <w:fldChar w:fldCharType="end"/>
      </w:r>
      <w:r>
        <w:fldChar w:fldCharType="end"/>
      </w:r>
    </w:p>
    <w:p>
      <w:pPr>
        <w:pStyle w:val="18"/>
        <w:tabs>
          <w:tab w:val="right" w:leader="dot" w:pos="9060"/>
        </w:tabs>
        <w:rPr>
          <w:rFonts w:asciiTheme="minorHAnsi" w:hAnsiTheme="minorHAnsi" w:eastAsiaTheme="minorEastAsia" w:cstheme="minorBidi"/>
          <w:b w:val="0"/>
          <w:kern w:val="2"/>
          <w:sz w:val="21"/>
          <w:szCs w:val="22"/>
        </w:rPr>
      </w:pPr>
      <w:r>
        <w:fldChar w:fldCharType="begin"/>
      </w:r>
      <w:r>
        <w:instrText xml:space="preserve"> HYPERLINK \l "_Toc34472029" </w:instrText>
      </w:r>
      <w:r>
        <w:fldChar w:fldCharType="separate"/>
      </w:r>
      <w:r>
        <w:rPr>
          <w:rStyle w:val="29"/>
          <w:rFonts w:hint="eastAsia"/>
        </w:rPr>
        <w:t>表九结论与建议</w:t>
      </w:r>
      <w:r>
        <w:tab/>
      </w:r>
      <w:r>
        <w:fldChar w:fldCharType="begin"/>
      </w:r>
      <w:r>
        <w:instrText xml:space="preserve"> PAGEREF _Toc34472029 \h </w:instrText>
      </w:r>
      <w:r>
        <w:fldChar w:fldCharType="separate"/>
      </w:r>
      <w:r>
        <w:t>59</w:t>
      </w:r>
      <w:r>
        <w:fldChar w:fldCharType="end"/>
      </w:r>
      <w:r>
        <w:fldChar w:fldCharType="end"/>
      </w:r>
    </w:p>
    <w:p>
      <w:pPr>
        <w:spacing w:line="456" w:lineRule="auto"/>
        <w:ind w:firstLine="482"/>
        <w:rPr>
          <w:rFonts w:ascii="SimSun"/>
          <w:spacing w:val="12"/>
          <w:sz w:val="24"/>
        </w:rPr>
      </w:pPr>
      <w:r>
        <w:rPr>
          <w:rFonts w:eastAsia="SimHei"/>
          <w:b/>
          <w:sz w:val="30"/>
        </w:rPr>
        <w:fldChar w:fldCharType="end"/>
      </w:r>
    </w:p>
    <w:p>
      <w:pPr>
        <w:spacing w:line="456" w:lineRule="auto"/>
        <w:rPr>
          <w:sz w:val="24"/>
        </w:rPr>
      </w:pPr>
    </w:p>
    <w:p>
      <w:pPr>
        <w:spacing w:line="456" w:lineRule="auto"/>
        <w:rPr>
          <w:rFonts w:eastAsia="SimHei"/>
          <w:b/>
          <w:sz w:val="30"/>
        </w:rPr>
        <w:sectPr>
          <w:pgSz w:w="11906" w:h="16838"/>
          <w:pgMar w:top="1418" w:right="1418" w:bottom="1871" w:left="1418" w:header="851" w:footer="992" w:gutter="0"/>
          <w:pgNumType w:start="0"/>
          <w:cols w:space="425" w:num="1"/>
          <w:titlePg/>
          <w:docGrid w:type="lines" w:linePitch="312" w:charSpace="0"/>
        </w:sectPr>
      </w:pPr>
    </w:p>
    <w:p>
      <w:pPr>
        <w:pStyle w:val="2"/>
      </w:pPr>
      <w:bookmarkStart w:id="1" w:name="_Toc34472021"/>
      <w:bookmarkStart w:id="2" w:name="_Toc496518913"/>
      <w:r>
        <w:rPr>
          <w:rFonts w:hint="eastAsia"/>
        </w:rPr>
        <w:t>表一建设项目基本情况</w:t>
      </w:r>
      <w:bookmarkEnd w:id="1"/>
      <w:bookmarkEnd w:id="2"/>
    </w:p>
    <w:tbl>
      <w:tblPr>
        <w:tblStyle w:val="25"/>
        <w:tblW w:w="500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09"/>
        <w:gridCol w:w="843"/>
        <w:gridCol w:w="693"/>
        <w:gridCol w:w="724"/>
        <w:gridCol w:w="750"/>
        <w:gridCol w:w="284"/>
        <w:gridCol w:w="849"/>
        <w:gridCol w:w="516"/>
        <w:gridCol w:w="620"/>
        <w:gridCol w:w="367"/>
        <w:gridCol w:w="24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项目名称</w:t>
            </w:r>
          </w:p>
        </w:tc>
        <w:tc>
          <w:tcPr>
            <w:tcW w:w="4349" w:type="pct"/>
            <w:gridSpan w:val="10"/>
            <w:vAlign w:val="center"/>
          </w:tcPr>
          <w:p>
            <w:pPr>
              <w:spacing w:line="240" w:lineRule="atLeast"/>
              <w:jc w:val="center"/>
              <w:rPr>
                <w:sz w:val="24"/>
              </w:rPr>
            </w:pPr>
            <w:r>
              <w:rPr>
                <w:rFonts w:hint="eastAsia"/>
                <w:sz w:val="24"/>
              </w:rPr>
              <w:t>年产5万吨高端电磁选钾长石生产线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建设单位</w:t>
            </w:r>
          </w:p>
        </w:tc>
        <w:tc>
          <w:tcPr>
            <w:tcW w:w="4349" w:type="pct"/>
            <w:gridSpan w:val="10"/>
            <w:vAlign w:val="center"/>
          </w:tcPr>
          <w:p>
            <w:pPr>
              <w:pStyle w:val="31"/>
              <w:spacing w:line="240" w:lineRule="atLeast"/>
              <w:jc w:val="center"/>
              <w:rPr>
                <w:szCs w:val="24"/>
              </w:rPr>
            </w:pPr>
            <w:r>
              <w:rPr>
                <w:rFonts w:hint="eastAsia"/>
                <w:szCs w:val="24"/>
              </w:rPr>
              <w:t>乐山市峨边盛和矿业有限公司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法人代表</w:t>
            </w:r>
          </w:p>
        </w:tc>
        <w:tc>
          <w:tcPr>
            <w:tcW w:w="1217" w:type="pct"/>
            <w:gridSpan w:val="3"/>
            <w:vAlign w:val="center"/>
          </w:tcPr>
          <w:p>
            <w:pPr>
              <w:spacing w:line="240" w:lineRule="atLeast"/>
              <w:jc w:val="center"/>
              <w:rPr>
                <w:sz w:val="24"/>
              </w:rPr>
            </w:pPr>
            <w:r>
              <w:rPr>
                <w:rFonts w:hint="eastAsia"/>
                <w:sz w:val="24"/>
              </w:rPr>
              <w:t>杜永堂</w:t>
            </w:r>
          </w:p>
        </w:tc>
        <w:tc>
          <w:tcPr>
            <w:tcW w:w="556" w:type="pct"/>
            <w:gridSpan w:val="2"/>
            <w:vAlign w:val="center"/>
          </w:tcPr>
          <w:p>
            <w:pPr>
              <w:spacing w:line="240" w:lineRule="atLeast"/>
              <w:jc w:val="center"/>
              <w:rPr>
                <w:sz w:val="24"/>
              </w:rPr>
            </w:pPr>
            <w:r>
              <w:rPr>
                <w:rFonts w:hint="eastAsia"/>
                <w:sz w:val="24"/>
              </w:rPr>
              <w:t>联系人</w:t>
            </w:r>
          </w:p>
        </w:tc>
        <w:tc>
          <w:tcPr>
            <w:tcW w:w="2576" w:type="pct"/>
            <w:gridSpan w:val="5"/>
            <w:vAlign w:val="center"/>
          </w:tcPr>
          <w:p>
            <w:pPr>
              <w:spacing w:line="240" w:lineRule="atLeast"/>
              <w:jc w:val="center"/>
              <w:rPr>
                <w:sz w:val="24"/>
              </w:rPr>
            </w:pPr>
            <w:r>
              <w:rPr>
                <w:rFonts w:hint="eastAsia"/>
                <w:sz w:val="24"/>
              </w:rPr>
              <w:t>陈石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通讯地址</w:t>
            </w:r>
          </w:p>
        </w:tc>
        <w:tc>
          <w:tcPr>
            <w:tcW w:w="4349" w:type="pct"/>
            <w:gridSpan w:val="10"/>
            <w:vAlign w:val="center"/>
          </w:tcPr>
          <w:p>
            <w:pPr>
              <w:spacing w:line="240" w:lineRule="atLeast"/>
              <w:jc w:val="center"/>
              <w:rPr>
                <w:sz w:val="24"/>
              </w:rPr>
            </w:pPr>
            <w:r>
              <w:rPr>
                <w:rFonts w:hint="eastAsia"/>
                <w:sz w:val="24"/>
              </w:rPr>
              <w:t>乐山市峨边彝族自治县五渡镇工农村2组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联系电话</w:t>
            </w:r>
          </w:p>
        </w:tc>
        <w:tc>
          <w:tcPr>
            <w:tcW w:w="827" w:type="pct"/>
            <w:gridSpan w:val="2"/>
            <w:vAlign w:val="center"/>
          </w:tcPr>
          <w:p>
            <w:pPr>
              <w:spacing w:line="240" w:lineRule="atLeast"/>
              <w:jc w:val="center"/>
              <w:rPr>
                <w:sz w:val="24"/>
              </w:rPr>
            </w:pPr>
            <w:r>
              <w:rPr>
                <w:rFonts w:hint="eastAsia"/>
                <w:sz w:val="24"/>
              </w:rPr>
              <w:t>13508158276</w:t>
            </w:r>
          </w:p>
        </w:tc>
        <w:tc>
          <w:tcPr>
            <w:tcW w:w="390" w:type="pct"/>
            <w:vAlign w:val="center"/>
          </w:tcPr>
          <w:p>
            <w:pPr>
              <w:spacing w:line="240" w:lineRule="atLeast"/>
              <w:jc w:val="center"/>
              <w:rPr>
                <w:sz w:val="24"/>
              </w:rPr>
            </w:pPr>
            <w:r>
              <w:rPr>
                <w:rFonts w:hint="eastAsia"/>
                <w:sz w:val="24"/>
              </w:rPr>
              <w:t>传真</w:t>
            </w:r>
          </w:p>
        </w:tc>
        <w:tc>
          <w:tcPr>
            <w:tcW w:w="556" w:type="pct"/>
            <w:gridSpan w:val="2"/>
            <w:vAlign w:val="center"/>
          </w:tcPr>
          <w:p>
            <w:pPr>
              <w:spacing w:line="240" w:lineRule="atLeast"/>
              <w:jc w:val="center"/>
              <w:rPr>
                <w:sz w:val="24"/>
              </w:rPr>
            </w:pPr>
            <w:r>
              <w:rPr>
                <w:rFonts w:hint="eastAsia"/>
                <w:sz w:val="24"/>
              </w:rPr>
              <w:t>/</w:t>
            </w:r>
          </w:p>
        </w:tc>
        <w:tc>
          <w:tcPr>
            <w:tcW w:w="735" w:type="pct"/>
            <w:gridSpan w:val="2"/>
            <w:vAlign w:val="center"/>
          </w:tcPr>
          <w:p>
            <w:pPr>
              <w:spacing w:line="240" w:lineRule="atLeast"/>
              <w:jc w:val="center"/>
              <w:rPr>
                <w:sz w:val="24"/>
              </w:rPr>
            </w:pPr>
            <w:r>
              <w:rPr>
                <w:rFonts w:hint="eastAsia"/>
                <w:sz w:val="24"/>
              </w:rPr>
              <w:t>邮政编码</w:t>
            </w:r>
          </w:p>
        </w:tc>
        <w:tc>
          <w:tcPr>
            <w:tcW w:w="1841" w:type="pct"/>
            <w:gridSpan w:val="3"/>
            <w:vAlign w:val="center"/>
          </w:tcPr>
          <w:p>
            <w:pPr>
              <w:spacing w:line="240" w:lineRule="atLeast"/>
              <w:jc w:val="center"/>
              <w:rPr>
                <w:sz w:val="24"/>
              </w:rPr>
            </w:pPr>
            <w:r>
              <w:rPr>
                <w:sz w:val="24"/>
              </w:rPr>
              <w:t>614308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建设地点</w:t>
            </w:r>
          </w:p>
        </w:tc>
        <w:tc>
          <w:tcPr>
            <w:tcW w:w="4349" w:type="pct"/>
            <w:gridSpan w:val="10"/>
            <w:vAlign w:val="center"/>
          </w:tcPr>
          <w:p>
            <w:pPr>
              <w:spacing w:line="240" w:lineRule="atLeast"/>
              <w:jc w:val="center"/>
              <w:rPr>
                <w:sz w:val="24"/>
              </w:rPr>
            </w:pPr>
            <w:r>
              <w:rPr>
                <w:rFonts w:hint="eastAsia"/>
                <w:sz w:val="24"/>
              </w:rPr>
              <w:t>乐山市峨边彝族自治县五渡镇工农村2组（</w:t>
            </w:r>
            <w:r>
              <w:rPr>
                <w:sz w:val="24"/>
              </w:rPr>
              <w:t>29.279235</w:t>
            </w:r>
            <w:r>
              <w:rPr>
                <w:rFonts w:hint="eastAsia"/>
                <w:sz w:val="24"/>
              </w:rPr>
              <w:t>°N；</w:t>
            </w:r>
            <w:r>
              <w:rPr>
                <w:sz w:val="24"/>
              </w:rPr>
              <w:t>103.490109</w:t>
            </w:r>
            <w:r>
              <w:rPr>
                <w:rFonts w:hint="eastAsia"/>
                <w:sz w:val="24"/>
              </w:rPr>
              <w:t>°E）</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备案审批部门</w:t>
            </w:r>
          </w:p>
        </w:tc>
        <w:tc>
          <w:tcPr>
            <w:tcW w:w="1620" w:type="pct"/>
            <w:gridSpan w:val="4"/>
            <w:vAlign w:val="center"/>
          </w:tcPr>
          <w:p>
            <w:pPr>
              <w:spacing w:line="240" w:lineRule="atLeast"/>
              <w:jc w:val="center"/>
              <w:rPr>
                <w:sz w:val="24"/>
              </w:rPr>
            </w:pPr>
            <w:r>
              <w:rPr>
                <w:rFonts w:hint="eastAsia"/>
                <w:sz w:val="24"/>
              </w:rPr>
              <w:t>峨边彝族自治县经济和信息化局</w:t>
            </w:r>
          </w:p>
        </w:tc>
        <w:tc>
          <w:tcPr>
            <w:tcW w:w="610" w:type="pct"/>
            <w:gridSpan w:val="2"/>
            <w:vAlign w:val="center"/>
          </w:tcPr>
          <w:p>
            <w:pPr>
              <w:spacing w:line="240" w:lineRule="atLeast"/>
              <w:jc w:val="center"/>
              <w:rPr>
                <w:sz w:val="24"/>
              </w:rPr>
            </w:pPr>
            <w:r>
              <w:rPr>
                <w:rFonts w:hint="eastAsia"/>
                <w:sz w:val="24"/>
              </w:rPr>
              <w:t>备案号</w:t>
            </w:r>
          </w:p>
        </w:tc>
        <w:tc>
          <w:tcPr>
            <w:tcW w:w="2118" w:type="pct"/>
            <w:gridSpan w:val="4"/>
            <w:vAlign w:val="center"/>
          </w:tcPr>
          <w:p>
            <w:pPr>
              <w:spacing w:line="240" w:lineRule="atLeast"/>
              <w:jc w:val="center"/>
              <w:rPr>
                <w:sz w:val="24"/>
              </w:rPr>
            </w:pPr>
            <w:r>
              <w:rPr>
                <w:sz w:val="24"/>
              </w:rPr>
              <w:t>2019-511132-10-03-358619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651" w:type="pct"/>
            <w:vAlign w:val="center"/>
          </w:tcPr>
          <w:p>
            <w:pPr>
              <w:spacing w:line="240" w:lineRule="atLeast"/>
              <w:jc w:val="center"/>
              <w:rPr>
                <w:sz w:val="24"/>
              </w:rPr>
            </w:pPr>
            <w:r>
              <w:rPr>
                <w:rFonts w:hint="eastAsia"/>
                <w:sz w:val="24"/>
              </w:rPr>
              <w:t>建设性质</w:t>
            </w:r>
          </w:p>
        </w:tc>
        <w:tc>
          <w:tcPr>
            <w:tcW w:w="1773" w:type="pct"/>
            <w:gridSpan w:val="5"/>
            <w:vAlign w:val="center"/>
          </w:tcPr>
          <w:p>
            <w:pPr>
              <w:rPr>
                <w:sz w:val="24"/>
              </w:rPr>
            </w:pPr>
            <w:r>
              <w:rPr>
                <w:rFonts w:hint="eastAsia"/>
                <w:sz w:val="24"/>
              </w:rPr>
              <w:t>新建</w:t>
            </w:r>
            <w:r>
              <w:rPr>
                <w:rFonts w:hint="eastAsia" w:ascii="Adobe 仿宋 Std R" w:hAnsi="Adobe 仿宋 Std R" w:eastAsia="Adobe 仿宋 Std R"/>
                <w:sz w:val="24"/>
              </w:rPr>
              <w:t>□</w:t>
            </w:r>
            <w:r>
              <w:rPr>
                <w:rFonts w:hint="eastAsia"/>
                <w:sz w:val="24"/>
              </w:rPr>
              <w:t>改扩建</w:t>
            </w:r>
            <w:r>
              <w:rPr>
                <w:rFonts w:hint="eastAsia" w:ascii="Adobe 仿宋 Std R" w:hAnsi="Adobe 仿宋 Std R" w:eastAsia="Adobe 仿宋 Std R"/>
                <w:sz w:val="24"/>
              </w:rPr>
              <w:t>■</w:t>
            </w:r>
            <w:r>
              <w:rPr>
                <w:rFonts w:hint="eastAsia"/>
                <w:sz w:val="24"/>
              </w:rPr>
              <w:t>技改</w:t>
            </w:r>
            <w:r>
              <w:rPr>
                <w:rFonts w:hint="eastAsia" w:ascii="Adobe 仿宋 Std R" w:hAnsi="Adobe 仿宋 Std R" w:eastAsia="Adobe 仿宋 Std R"/>
                <w:sz w:val="24"/>
              </w:rPr>
              <w:t>□</w:t>
            </w:r>
          </w:p>
        </w:tc>
        <w:tc>
          <w:tcPr>
            <w:tcW w:w="1069" w:type="pct"/>
            <w:gridSpan w:val="3"/>
            <w:vAlign w:val="center"/>
          </w:tcPr>
          <w:p>
            <w:pPr>
              <w:rPr>
                <w:sz w:val="24"/>
              </w:rPr>
            </w:pPr>
            <w:r>
              <w:rPr>
                <w:rFonts w:hint="eastAsia"/>
                <w:sz w:val="24"/>
              </w:rPr>
              <w:t>行业类别及代码</w:t>
            </w:r>
          </w:p>
        </w:tc>
        <w:tc>
          <w:tcPr>
            <w:tcW w:w="1507" w:type="pct"/>
            <w:gridSpan w:val="2"/>
            <w:vAlign w:val="center"/>
          </w:tcPr>
          <w:p>
            <w:pPr>
              <w:jc w:val="center"/>
              <w:rPr>
                <w:sz w:val="24"/>
              </w:rPr>
            </w:pPr>
            <w:r>
              <w:rPr>
                <w:rFonts w:hint="eastAsia"/>
                <w:sz w:val="24"/>
              </w:rPr>
              <w:t>其他未列明非金属矿采选（N1099）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651" w:type="pct"/>
            <w:vAlign w:val="center"/>
          </w:tcPr>
          <w:p>
            <w:pPr>
              <w:spacing w:line="240" w:lineRule="atLeast"/>
              <w:jc w:val="center"/>
              <w:rPr>
                <w:sz w:val="24"/>
              </w:rPr>
            </w:pPr>
            <w:r>
              <w:rPr>
                <w:rFonts w:hint="eastAsia"/>
                <w:sz w:val="24"/>
              </w:rPr>
              <w:t>占地面积</w:t>
            </w:r>
          </w:p>
          <w:p>
            <w:pPr>
              <w:spacing w:line="240" w:lineRule="atLeast"/>
              <w:jc w:val="center"/>
              <w:rPr>
                <w:sz w:val="24"/>
              </w:rPr>
            </w:pPr>
            <w:r>
              <w:rPr>
                <w:sz w:val="24"/>
              </w:rPr>
              <w:t>(</w:t>
            </w:r>
            <w:r>
              <w:rPr>
                <w:rFonts w:hint="eastAsia"/>
                <w:sz w:val="24"/>
              </w:rPr>
              <w:t>m</w:t>
            </w:r>
            <w:r>
              <w:rPr>
                <w:rFonts w:hint="eastAsia"/>
                <w:sz w:val="24"/>
                <w:vertAlign w:val="superscript"/>
              </w:rPr>
              <w:t>2</w:t>
            </w:r>
            <w:r>
              <w:rPr>
                <w:sz w:val="24"/>
              </w:rPr>
              <w:t>)</w:t>
            </w:r>
          </w:p>
        </w:tc>
        <w:tc>
          <w:tcPr>
            <w:tcW w:w="1620" w:type="pct"/>
            <w:gridSpan w:val="4"/>
            <w:vAlign w:val="center"/>
          </w:tcPr>
          <w:p>
            <w:pPr>
              <w:spacing w:line="240" w:lineRule="atLeast"/>
              <w:jc w:val="center"/>
              <w:rPr>
                <w:color w:val="FF0000"/>
                <w:sz w:val="24"/>
              </w:rPr>
            </w:pPr>
            <w:r>
              <w:rPr>
                <w:rFonts w:hint="eastAsia"/>
                <w:color w:val="FF0000"/>
                <w:sz w:val="24"/>
              </w:rPr>
              <w:t>300（本项目在厂区范围内建设，不新增占地）</w:t>
            </w:r>
          </w:p>
        </w:tc>
        <w:tc>
          <w:tcPr>
            <w:tcW w:w="610" w:type="pct"/>
            <w:gridSpan w:val="2"/>
            <w:vAlign w:val="center"/>
          </w:tcPr>
          <w:p>
            <w:pPr>
              <w:spacing w:line="240" w:lineRule="atLeast"/>
              <w:jc w:val="center"/>
              <w:rPr>
                <w:sz w:val="24"/>
              </w:rPr>
            </w:pPr>
            <w:r>
              <w:rPr>
                <w:rFonts w:hint="eastAsia"/>
                <w:sz w:val="24"/>
              </w:rPr>
              <w:t>绿化面积</w:t>
            </w:r>
            <w:r>
              <w:rPr>
                <w:sz w:val="24"/>
              </w:rPr>
              <w:t>(</w:t>
            </w:r>
            <w:r>
              <w:rPr>
                <w:rFonts w:hint="eastAsia"/>
                <w:sz w:val="24"/>
              </w:rPr>
              <w:t>m</w:t>
            </w:r>
            <w:r>
              <w:rPr>
                <w:rFonts w:hint="eastAsia"/>
                <w:sz w:val="24"/>
                <w:vertAlign w:val="superscript"/>
              </w:rPr>
              <w:t>2</w:t>
            </w:r>
            <w:r>
              <w:rPr>
                <w:sz w:val="24"/>
              </w:rPr>
              <w:t>)</w:t>
            </w:r>
          </w:p>
        </w:tc>
        <w:tc>
          <w:tcPr>
            <w:tcW w:w="2118" w:type="pct"/>
            <w:gridSpan w:val="4"/>
            <w:vAlign w:val="center"/>
          </w:tcPr>
          <w:p>
            <w:pPr>
              <w:spacing w:line="240" w:lineRule="atLeast"/>
              <w:jc w:val="center"/>
              <w:rPr>
                <w:sz w:val="24"/>
              </w:rPr>
            </w:pPr>
            <w:r>
              <w:rPr>
                <w:rFonts w:hint="eastAsia"/>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51" w:type="pct"/>
            <w:vAlign w:val="center"/>
          </w:tcPr>
          <w:p>
            <w:pPr>
              <w:spacing w:line="240" w:lineRule="atLeast"/>
              <w:jc w:val="center"/>
              <w:rPr>
                <w:sz w:val="24"/>
              </w:rPr>
            </w:pPr>
            <w:r>
              <w:rPr>
                <w:rFonts w:hint="eastAsia"/>
                <w:sz w:val="24"/>
              </w:rPr>
              <w:t>总投资</w:t>
            </w:r>
          </w:p>
          <w:p>
            <w:pPr>
              <w:spacing w:line="240" w:lineRule="atLeast"/>
              <w:jc w:val="center"/>
              <w:rPr>
                <w:sz w:val="24"/>
              </w:rPr>
            </w:pPr>
            <w:r>
              <w:rPr>
                <w:sz w:val="24"/>
              </w:rPr>
              <w:t>(</w:t>
            </w:r>
            <w:r>
              <w:rPr>
                <w:rFonts w:hint="eastAsia"/>
                <w:sz w:val="24"/>
              </w:rPr>
              <w:t>万元</w:t>
            </w:r>
            <w:r>
              <w:rPr>
                <w:sz w:val="24"/>
              </w:rPr>
              <w:t>)</w:t>
            </w:r>
          </w:p>
        </w:tc>
        <w:tc>
          <w:tcPr>
            <w:tcW w:w="454" w:type="pct"/>
            <w:vAlign w:val="center"/>
          </w:tcPr>
          <w:p>
            <w:pPr>
              <w:spacing w:line="240" w:lineRule="atLeast"/>
              <w:jc w:val="center"/>
              <w:rPr>
                <w:sz w:val="24"/>
              </w:rPr>
            </w:pPr>
            <w:r>
              <w:rPr>
                <w:rFonts w:hint="eastAsia"/>
                <w:sz w:val="24"/>
              </w:rPr>
              <w:t>1950</w:t>
            </w:r>
          </w:p>
        </w:tc>
        <w:tc>
          <w:tcPr>
            <w:tcW w:w="1167" w:type="pct"/>
            <w:gridSpan w:val="3"/>
            <w:vAlign w:val="center"/>
          </w:tcPr>
          <w:p>
            <w:pPr>
              <w:spacing w:line="240" w:lineRule="atLeast"/>
              <w:jc w:val="center"/>
              <w:rPr>
                <w:sz w:val="24"/>
              </w:rPr>
            </w:pPr>
            <w:r>
              <w:rPr>
                <w:rFonts w:hint="eastAsia"/>
                <w:sz w:val="24"/>
              </w:rPr>
              <w:t>其中：环保投资</w:t>
            </w:r>
            <w:r>
              <w:rPr>
                <w:sz w:val="24"/>
              </w:rPr>
              <w:t>(</w:t>
            </w:r>
            <w:r>
              <w:rPr>
                <w:rFonts w:hint="eastAsia"/>
                <w:sz w:val="24"/>
              </w:rPr>
              <w:t>万元</w:t>
            </w:r>
            <w:r>
              <w:rPr>
                <w:sz w:val="24"/>
              </w:rPr>
              <w:t>)</w:t>
            </w:r>
          </w:p>
        </w:tc>
        <w:tc>
          <w:tcPr>
            <w:tcW w:w="610" w:type="pct"/>
            <w:gridSpan w:val="2"/>
            <w:vAlign w:val="center"/>
          </w:tcPr>
          <w:p>
            <w:pPr>
              <w:pStyle w:val="31"/>
              <w:spacing w:line="240" w:lineRule="atLeast"/>
              <w:jc w:val="center"/>
              <w:rPr>
                <w:szCs w:val="21"/>
              </w:rPr>
            </w:pPr>
            <w:r>
              <w:t>205.6</w:t>
            </w:r>
          </w:p>
        </w:tc>
        <w:tc>
          <w:tcPr>
            <w:tcW w:w="809" w:type="pct"/>
            <w:gridSpan w:val="3"/>
            <w:vAlign w:val="center"/>
          </w:tcPr>
          <w:p>
            <w:pPr>
              <w:spacing w:line="240" w:lineRule="atLeast"/>
              <w:jc w:val="center"/>
              <w:rPr>
                <w:sz w:val="24"/>
              </w:rPr>
            </w:pPr>
            <w:r>
              <w:rPr>
                <w:rFonts w:hint="eastAsia"/>
                <w:sz w:val="24"/>
              </w:rPr>
              <w:t>环保投资占总投资比例</w:t>
            </w:r>
          </w:p>
        </w:tc>
        <w:tc>
          <w:tcPr>
            <w:tcW w:w="1309" w:type="pct"/>
            <w:vAlign w:val="center"/>
          </w:tcPr>
          <w:p>
            <w:pPr>
              <w:spacing w:line="240" w:lineRule="atLeast"/>
              <w:jc w:val="center"/>
              <w:rPr>
                <w:sz w:val="24"/>
              </w:rPr>
            </w:pPr>
            <w:r>
              <w:rPr>
                <w:sz w:val="24"/>
              </w:rPr>
              <w:t>10.5</w:t>
            </w:r>
            <w:r>
              <w:rPr>
                <w:rFonts w:hint="eastAsia"/>
                <w:sz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651" w:type="pct"/>
            <w:vAlign w:val="center"/>
          </w:tcPr>
          <w:p>
            <w:pPr>
              <w:spacing w:line="240" w:lineRule="atLeast"/>
              <w:jc w:val="center"/>
              <w:rPr>
                <w:sz w:val="24"/>
              </w:rPr>
            </w:pPr>
            <w:r>
              <w:rPr>
                <w:rFonts w:hint="eastAsia"/>
                <w:sz w:val="24"/>
              </w:rPr>
              <w:t>评价经费</w:t>
            </w:r>
          </w:p>
          <w:p>
            <w:pPr>
              <w:spacing w:line="240" w:lineRule="atLeast"/>
              <w:jc w:val="center"/>
              <w:rPr>
                <w:sz w:val="24"/>
              </w:rPr>
            </w:pPr>
            <w:r>
              <w:rPr>
                <w:sz w:val="24"/>
              </w:rPr>
              <w:t>(</w:t>
            </w:r>
            <w:r>
              <w:rPr>
                <w:rFonts w:hint="eastAsia"/>
                <w:sz w:val="24"/>
              </w:rPr>
              <w:t>万元</w:t>
            </w:r>
            <w:r>
              <w:rPr>
                <w:sz w:val="24"/>
              </w:rPr>
              <w:t>)</w:t>
            </w:r>
          </w:p>
        </w:tc>
        <w:tc>
          <w:tcPr>
            <w:tcW w:w="454" w:type="pct"/>
            <w:vAlign w:val="center"/>
          </w:tcPr>
          <w:p>
            <w:pPr>
              <w:spacing w:line="240" w:lineRule="atLeast"/>
              <w:jc w:val="center"/>
              <w:rPr>
                <w:sz w:val="24"/>
              </w:rPr>
            </w:pPr>
            <w:r>
              <w:rPr>
                <w:rFonts w:hint="eastAsia"/>
                <w:sz w:val="24"/>
              </w:rPr>
              <w:t>/</w:t>
            </w:r>
          </w:p>
        </w:tc>
        <w:tc>
          <w:tcPr>
            <w:tcW w:w="1167" w:type="pct"/>
            <w:gridSpan w:val="3"/>
            <w:vAlign w:val="center"/>
          </w:tcPr>
          <w:p>
            <w:pPr>
              <w:spacing w:line="240" w:lineRule="atLeast"/>
              <w:jc w:val="center"/>
              <w:rPr>
                <w:sz w:val="24"/>
              </w:rPr>
            </w:pPr>
            <w:r>
              <w:rPr>
                <w:rFonts w:hint="eastAsia"/>
                <w:sz w:val="24"/>
              </w:rPr>
              <w:t>预期投产日期</w:t>
            </w:r>
          </w:p>
        </w:tc>
        <w:tc>
          <w:tcPr>
            <w:tcW w:w="610" w:type="pct"/>
            <w:gridSpan w:val="2"/>
            <w:tcBorders>
              <w:right w:val="single" w:color="auto" w:sz="4" w:space="0"/>
            </w:tcBorders>
            <w:vAlign w:val="center"/>
          </w:tcPr>
          <w:p>
            <w:pPr>
              <w:spacing w:line="240" w:lineRule="atLeast"/>
              <w:jc w:val="center"/>
              <w:rPr>
                <w:sz w:val="24"/>
              </w:rPr>
            </w:pPr>
            <w:r>
              <w:rPr>
                <w:rFonts w:hint="eastAsia"/>
                <w:sz w:val="24"/>
              </w:rPr>
              <w:t>2020年</w:t>
            </w:r>
          </w:p>
        </w:tc>
        <w:tc>
          <w:tcPr>
            <w:tcW w:w="809" w:type="pct"/>
            <w:gridSpan w:val="3"/>
            <w:tcBorders>
              <w:left w:val="single" w:color="auto" w:sz="4" w:space="0"/>
              <w:right w:val="single" w:color="auto" w:sz="4" w:space="0"/>
            </w:tcBorders>
            <w:vAlign w:val="center"/>
          </w:tcPr>
          <w:p>
            <w:pPr>
              <w:spacing w:line="240" w:lineRule="atLeast"/>
              <w:jc w:val="center"/>
              <w:rPr>
                <w:sz w:val="24"/>
              </w:rPr>
            </w:pPr>
            <w:r>
              <w:rPr>
                <w:rFonts w:hint="eastAsia"/>
                <w:sz w:val="24"/>
              </w:rPr>
              <w:t>统一社会信用代码</w:t>
            </w:r>
          </w:p>
        </w:tc>
        <w:tc>
          <w:tcPr>
            <w:tcW w:w="1309" w:type="pct"/>
            <w:tcBorders>
              <w:left w:val="single" w:color="auto" w:sz="4" w:space="0"/>
            </w:tcBorders>
            <w:vAlign w:val="center"/>
          </w:tcPr>
          <w:p>
            <w:pPr>
              <w:spacing w:line="240" w:lineRule="atLeast"/>
              <w:jc w:val="center"/>
              <w:rPr>
                <w:sz w:val="24"/>
              </w:rPr>
            </w:pPr>
            <w:r>
              <w:rPr>
                <w:sz w:val="24"/>
              </w:rPr>
              <w:t>91511132309385957P</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11"/>
            <w:vAlign w:val="center"/>
          </w:tcPr>
          <w:p>
            <w:pPr>
              <w:spacing w:before="240" w:line="360" w:lineRule="auto"/>
              <w:rPr>
                <w:rFonts w:ascii="SimSun" w:hAnsi="SimSun"/>
                <w:b/>
                <w:bCs/>
                <w:sz w:val="28"/>
              </w:rPr>
            </w:pPr>
            <w:r>
              <w:rPr>
                <w:rFonts w:hint="eastAsia" w:ascii="SimSun" w:hAnsi="SimSun"/>
                <w:b/>
                <w:bCs/>
                <w:sz w:val="28"/>
              </w:rPr>
              <w:t>工程内容及概要：</w:t>
            </w:r>
          </w:p>
          <w:p>
            <w:pPr>
              <w:pStyle w:val="4"/>
              <w:ind w:firstLine="482"/>
            </w:pPr>
            <w:r>
              <w:rPr>
                <w:rFonts w:hint="eastAsia"/>
              </w:rPr>
              <w:t>一、项目的由来</w:t>
            </w:r>
          </w:p>
          <w:p>
            <w:pPr>
              <w:pStyle w:val="37"/>
              <w:ind w:firstLine="480"/>
            </w:pPr>
            <w:r>
              <w:rPr>
                <w:rFonts w:hint="eastAsia"/>
              </w:rPr>
              <w:t>乐山市峨边盛和矿业有限公司成立于2001年，位于峨边彝族自治县五渡镇工农村二组，公司内现有员工人数为23人，主要从事钾长石矿产品加工。公司于2015年实施技改，拆除了公司内原有25万吨/年酸洗生产工序，淘汰4t/h燃煤蒸汽锅炉，改为电磁法生产工艺生产高端陶瓷用钾长石，年产高端陶瓷用钾长石15万吨（其中釉料钾长石7.5万吨，胚料钾长石7.5万吨）。公司于2015年委托重庆智力环境开发策划咨询有限公司编制了《改扩建年产15万吨电磁选钾长石生产线技改项目环境影响报告书》并取得批复（峨边环建[2015]13号），于2017年3月委托乐山市沙湾区环境监测站编制了《改扩建年产15万吨电磁选钾长石生产线技改项目竣工环境保护验收监测报告》，并通过竣工环保验收（峨边环验[2017]6号）。</w:t>
            </w:r>
          </w:p>
          <w:p>
            <w:pPr>
              <w:pStyle w:val="37"/>
              <w:ind w:firstLine="480"/>
            </w:pPr>
            <w:r>
              <w:rPr>
                <w:rFonts w:hint="eastAsia"/>
              </w:rPr>
              <w:t>钾长石是一种重要的工业原料，其广泛使用于陶瓷工业、玻璃工业等领域，随着市场经济不断发展，市场对钾长石需求量逐渐增大和钾长石品质要求的深入细化，在此背景下，为满足市场需求，促进行业经济发展，乐山市峨边盛和矿业有限公司建设“年产5万吨高端电磁选钾长石生产线”，该项目为原址改扩建，本项目占地面积约300m</w:t>
            </w:r>
            <w:r>
              <w:rPr>
                <w:rFonts w:hint="eastAsia"/>
                <w:vertAlign w:val="superscript"/>
              </w:rPr>
              <w:t>2</w:t>
            </w:r>
            <w:r>
              <w:rPr>
                <w:rFonts w:hint="eastAsia"/>
              </w:rPr>
              <w:t>，总投资1950万元，建设内容主要为：在原年产15万吨电磁选钾长石生产线的基础上，实行技术改造升级，购置立环式磁选机、浓密机、过滤机等设备，将原水洗生产线改建一条年产5万吨高端电磁选钾长石生产线，生产玻璃级钾长石粉料、釉用钾长石粉料两种高端产品。目前，该项目已取得峨边彝族自治县经济和信息化局备案，备案号为：川投资备【2019-511132-10-03-358619】JXQB-0028号。</w:t>
            </w:r>
          </w:p>
          <w:p>
            <w:pPr>
              <w:pStyle w:val="37"/>
              <w:ind w:firstLine="480"/>
            </w:pPr>
            <w:r>
              <w:rPr>
                <w:rFonts w:hint="eastAsia"/>
              </w:rPr>
              <w:t>根据国家发展改革委令2013年第21号《产业结构调整指导目录（2011年本）（修正）》，本项目不属于其中的鼓励类、限制类、淘汰类；根据已批复的《峨边彝族自治县工业集中区B区规划环境影响报告书》审查意见的函（川环建函[2013]297号），本项目建设符合园区产业定位及园区规划。</w:t>
            </w:r>
          </w:p>
          <w:p>
            <w:pPr>
              <w:pStyle w:val="37"/>
              <w:ind w:firstLine="480"/>
              <w:rPr>
                <w:color w:val="FF0000"/>
              </w:rPr>
            </w:pPr>
            <w:r>
              <w:rPr>
                <w:rFonts w:hint="eastAsia"/>
              </w:rPr>
              <w:t>项目于2019年9月开工建设，于2019年11月建成投运，乐山市生态环境局于2019年12月23日出具了《行政处罚决定书》（乐市环罚〔2019〕8号），存在的违法行为为“未</w:t>
            </w:r>
            <w:r>
              <w:rPr>
                <w:rFonts w:hint="eastAsia"/>
                <w:color w:val="FF0000"/>
              </w:rPr>
              <w:t>依法报批年产5万吨高端电磁选钾长石生产线建设项目环境影响评价文件（环境影响报告表）擅自开工建设”。目前，乐山市峨边盛和矿业有限公司已履行了《行政处罚决定书》中的处罚决定，缴纳了罚款。根据《中华人民共和国环境影响评价法》，项目应依法补办环评手续。</w:t>
            </w:r>
          </w:p>
          <w:p>
            <w:pPr>
              <w:pStyle w:val="37"/>
              <w:ind w:firstLine="480"/>
            </w:pPr>
            <w:r>
              <w:rPr>
                <w:rFonts w:hint="eastAsia"/>
              </w:rPr>
              <w:t>按照《中华人民共和国环境保护法》、《中华人民共和国环境影响评价法》和《建设项目环境保护管理条例》的要求，该项目建设应进行环境影响评价。根据环境保护部第44号令《建设项目环境影响评价分类管理名录》及《关于修改&lt;建设项目环境影响评价分类管理名录&gt;部分内容的决定》（生态环境部第1号令），本项目属于“四十五、非金属矿采选业”中“137土砂石、石材开采加工”，根据《四川省水利厅关于印发&lt;关于四川省省级水土流失重点防治区和重点治理区划分成果&gt;的通知》（川水函[2017]482号），本项目位于峨边彝族自治县五渡镇工农村2组，不属于水土流失重点防治区和重点治理区，不涉及其他环境敏感区。由此，确认该项目补办环境影响报告表。为此，乐山市峨边盛和矿业有限公司将其投资建设的“年产5万吨高端电磁选钾长石生产线”的环境影响评价工作委托</w:t>
            </w:r>
            <w:r>
              <w:rPr>
                <w:rFonts w:hint="eastAsia"/>
                <w:color w:val="FF0000"/>
              </w:rPr>
              <w:t>湖北周德福科技有限公司</w:t>
            </w:r>
            <w:r>
              <w:rPr>
                <w:rFonts w:hint="eastAsia"/>
              </w:rPr>
              <w:t>完成。我公司受托后，派工程技术人员到现场进行调查和资料收集，按照国家建设项目环境影响报告表的有关技术规范要求，编制完成该项目环境影响报告表。</w:t>
            </w:r>
          </w:p>
          <w:p>
            <w:pPr>
              <w:pStyle w:val="4"/>
              <w:ind w:firstLine="482"/>
            </w:pPr>
            <w:r>
              <w:rPr>
                <w:rFonts w:hint="eastAsia"/>
              </w:rPr>
              <w:t>二、相关政策符合性分析</w:t>
            </w:r>
          </w:p>
          <w:p>
            <w:pPr>
              <w:pStyle w:val="37"/>
              <w:ind w:firstLine="480"/>
              <w:rPr>
                <w:rFonts w:ascii="SimSun" w:hAnsi="SimSun"/>
              </w:rPr>
            </w:pPr>
            <w:r>
              <w:rPr>
                <w:rFonts w:hint="eastAsia" w:ascii="SimSun" w:hAnsi="SimSun"/>
              </w:rPr>
              <w:t>1、产业政策符合性分析</w:t>
            </w:r>
          </w:p>
          <w:p>
            <w:pPr>
              <w:pStyle w:val="37"/>
              <w:ind w:firstLine="480"/>
            </w:pPr>
            <w:r>
              <w:rPr>
                <w:rFonts w:hint="eastAsia" w:ascii="SimSun" w:hAnsi="SimSun"/>
              </w:rPr>
              <w:t>本项目为年产5万吨高端电磁选钾长石生产线，</w:t>
            </w:r>
            <w:r>
              <w:t>属于</w:t>
            </w:r>
            <w:r>
              <w:rPr>
                <w:rFonts w:hint="eastAsia"/>
              </w:rPr>
              <w:t>N1099其他未列明非金属矿采选，主要设备包括立环式磁选机、过滤机、脱水机等。根据国家发展改革委令2013年第21号《产业结构调整指导目录（2011年本）（修正）》</w:t>
            </w:r>
            <w:r>
              <w:t>，</w:t>
            </w:r>
            <w:r>
              <w:rPr>
                <w:rFonts w:hint="eastAsia"/>
              </w:rPr>
              <w:t>本项目生产工艺、产品、主要设备等均不属于其中的鼓励类、淘汰类、限制类。根据《促进产业结构调整暂行规定》，本项目属于允许类。同时，项目已在峨边彝族自治县经济和信息化局备案，备案号：川投资备【2019-511132-10-03-358619】JXQB-0028号。</w:t>
            </w:r>
          </w:p>
          <w:p>
            <w:pPr>
              <w:pStyle w:val="37"/>
              <w:ind w:firstLine="480"/>
            </w:pPr>
            <w:r>
              <w:t>因此，</w:t>
            </w:r>
            <w:r>
              <w:rPr>
                <w:rFonts w:hint="eastAsia"/>
              </w:rPr>
              <w:t>评价认为</w:t>
            </w:r>
            <w:r>
              <w:t>本项目符合国家产业政策要求</w:t>
            </w:r>
            <w:r>
              <w:rPr>
                <w:rFonts w:hint="eastAsia"/>
              </w:rPr>
              <w:t>，符合地方产业政策要求</w:t>
            </w:r>
            <w:r>
              <w:t>。</w:t>
            </w:r>
          </w:p>
          <w:p>
            <w:pPr>
              <w:pStyle w:val="37"/>
              <w:ind w:firstLine="480"/>
            </w:pPr>
            <w:r>
              <w:rPr>
                <w:rFonts w:hint="eastAsia"/>
              </w:rPr>
              <w:t>2、规划符合性分析</w:t>
            </w:r>
          </w:p>
          <w:p>
            <w:pPr>
              <w:pStyle w:val="37"/>
              <w:ind w:firstLine="480"/>
            </w:pPr>
            <w:r>
              <w:rPr>
                <w:rFonts w:hint="eastAsia"/>
              </w:rPr>
              <w:t>本项目位于峨边彝族自治县五渡镇工农村2组，属于乐山市峨边彝族自治县工业集中区B区内，为原址改扩建。根据已批复的《峨边彝族自治县工业集中区B区规划环境影响报告书》审查意见的函（川环建函[2013]297号），园区规划范围为：总面积2.5km</w:t>
            </w:r>
            <w:r>
              <w:rPr>
                <w:rFonts w:hint="eastAsia"/>
                <w:vertAlign w:val="superscript"/>
              </w:rPr>
              <w:t>2</w:t>
            </w:r>
            <w:r>
              <w:rPr>
                <w:rFonts w:hint="eastAsia"/>
              </w:rPr>
              <w:t>，包括庞沟村0.2km</w:t>
            </w:r>
            <w:r>
              <w:rPr>
                <w:rFonts w:hint="eastAsia"/>
                <w:vertAlign w:val="superscript"/>
              </w:rPr>
              <w:t>2</w:t>
            </w:r>
            <w:r>
              <w:rPr>
                <w:rFonts w:hint="eastAsia"/>
              </w:rPr>
              <w:t>、毛坪片区1.2km</w:t>
            </w:r>
            <w:r>
              <w:rPr>
                <w:rFonts w:hint="eastAsia"/>
                <w:vertAlign w:val="superscript"/>
              </w:rPr>
              <w:t>2</w:t>
            </w:r>
            <w:r>
              <w:rPr>
                <w:rFonts w:hint="eastAsia"/>
              </w:rPr>
              <w:t>（中心村、恒心村、建华村）、五渡片区1.1km</w:t>
            </w:r>
            <w:r>
              <w:rPr>
                <w:rFonts w:hint="eastAsia"/>
                <w:vertAlign w:val="superscript"/>
              </w:rPr>
              <w:t>2</w:t>
            </w:r>
            <w:r>
              <w:rPr>
                <w:rFonts w:hint="eastAsia"/>
              </w:rPr>
              <w:t>（工农村、郭坝村、双凤村），而本项目位于五渡盘区，其园区产业定位为：矿产品加工、竹林加工、磷化工。园区鼓励和限制入园行业名录如下表：</w:t>
            </w:r>
          </w:p>
          <w:p>
            <w:pPr>
              <w:pStyle w:val="36"/>
            </w:pPr>
            <w:r>
              <w:rPr>
                <w:rFonts w:hint="eastAsia"/>
              </w:rPr>
              <w:t>表1-1 园区鼓励、限制、禁止入院企业条件</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3"/>
              <w:gridCol w:w="7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27" w:type="pct"/>
                  <w:vAlign w:val="center"/>
                </w:tcPr>
                <w:p>
                  <w:pPr>
                    <w:jc w:val="center"/>
                    <w:rPr>
                      <w:color w:val="000000"/>
                      <w:szCs w:val="21"/>
                    </w:rPr>
                  </w:pPr>
                  <w:r>
                    <w:rPr>
                      <w:rFonts w:hint="eastAsia"/>
                      <w:color w:val="000000"/>
                      <w:szCs w:val="21"/>
                    </w:rPr>
                    <w:t>鼓励入园企业类型</w:t>
                  </w:r>
                </w:p>
              </w:tc>
              <w:tc>
                <w:tcPr>
                  <w:tcW w:w="3873" w:type="pct"/>
                  <w:vAlign w:val="center"/>
                </w:tcPr>
                <w:p>
                  <w:pPr>
                    <w:widowControl w:val="0"/>
                    <w:numPr>
                      <w:ilvl w:val="0"/>
                      <w:numId w:val="1"/>
                    </w:numPr>
                    <w:jc w:val="both"/>
                    <w:rPr>
                      <w:color w:val="000000"/>
                      <w:szCs w:val="21"/>
                    </w:rPr>
                  </w:pPr>
                  <w:r>
                    <w:rPr>
                      <w:rFonts w:hint="eastAsia"/>
                      <w:color w:val="000000"/>
                      <w:szCs w:val="21"/>
                    </w:rPr>
                    <w:t>符合园区主导产业和功能区分的项目</w:t>
                  </w:r>
                </w:p>
                <w:p>
                  <w:pPr>
                    <w:rPr>
                      <w:color w:val="000000"/>
                      <w:szCs w:val="21"/>
                    </w:rPr>
                  </w:pPr>
                  <w:r>
                    <w:rPr>
                      <w:rFonts w:hint="eastAsia"/>
                      <w:color w:val="000000"/>
                      <w:szCs w:val="21"/>
                    </w:rPr>
                    <w:t>2、主导产业或重要项目的上下游企业，或有利于区域实现循环经济和可持续发展的项目，若与规划区或片区主产业发展形成交叉影响，鼓励其发展。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127" w:type="pct"/>
                  <w:vAlign w:val="center"/>
                </w:tcPr>
                <w:p>
                  <w:pPr>
                    <w:jc w:val="center"/>
                    <w:rPr>
                      <w:color w:val="000000"/>
                      <w:szCs w:val="21"/>
                    </w:rPr>
                  </w:pPr>
                  <w:r>
                    <w:rPr>
                      <w:rFonts w:hint="eastAsia"/>
                      <w:color w:val="000000"/>
                      <w:szCs w:val="21"/>
                    </w:rPr>
                    <w:t>禁止入园企业类型</w:t>
                  </w:r>
                </w:p>
              </w:tc>
              <w:tc>
                <w:tcPr>
                  <w:tcW w:w="3873" w:type="pct"/>
                  <w:vAlign w:val="center"/>
                </w:tcPr>
                <w:p>
                  <w:pPr>
                    <w:rPr>
                      <w:color w:val="000000"/>
                      <w:szCs w:val="21"/>
                    </w:rPr>
                  </w:pPr>
                  <w:r>
                    <w:rPr>
                      <w:rFonts w:hint="eastAsia"/>
                      <w:color w:val="000000"/>
                      <w:szCs w:val="21"/>
                    </w:rPr>
                    <w:t>1、不符合国家现行产业政策的相关产业。</w:t>
                  </w:r>
                </w:p>
                <w:p>
                  <w:pPr>
                    <w:rPr>
                      <w:color w:val="000000"/>
                      <w:szCs w:val="21"/>
                    </w:rPr>
                  </w:pPr>
                  <w:r>
                    <w:rPr>
                      <w:rFonts w:hint="eastAsia"/>
                      <w:color w:val="000000"/>
                      <w:szCs w:val="21"/>
                    </w:rPr>
                    <w:t>2、技术落后，项目清洁生产水平不能达到行业清洁生产标准二级标准要求或低于全国同类企业平清洁生产水平的项目。</w:t>
                  </w:r>
                </w:p>
                <w:p>
                  <w:pPr>
                    <w:rPr>
                      <w:color w:val="000000"/>
                      <w:szCs w:val="21"/>
                    </w:rPr>
                  </w:pPr>
                  <w:r>
                    <w:rPr>
                      <w:rFonts w:hint="eastAsia"/>
                      <w:color w:val="000000"/>
                      <w:szCs w:val="21"/>
                    </w:rPr>
                    <w:t>3、焦化、化学制浆、印染、皮革靴制、专业电镀等重污染项目。</w:t>
                  </w:r>
                </w:p>
                <w:p>
                  <w:pPr>
                    <w:rPr>
                      <w:color w:val="000000"/>
                      <w:szCs w:val="21"/>
                    </w:rPr>
                  </w:pPr>
                  <w:r>
                    <w:rPr>
                      <w:rFonts w:hint="eastAsia"/>
                      <w:color w:val="000000"/>
                      <w:szCs w:val="21"/>
                    </w:rPr>
                    <w:t>4、与主导产业或重要项目不想容，或与规划及片区主发展形成交叉影响的项目。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27" w:type="pct"/>
                  <w:vAlign w:val="center"/>
                </w:tcPr>
                <w:p>
                  <w:pPr>
                    <w:rPr>
                      <w:color w:val="000000"/>
                      <w:szCs w:val="21"/>
                    </w:rPr>
                  </w:pPr>
                  <w:r>
                    <w:rPr>
                      <w:rFonts w:hint="eastAsia"/>
                      <w:color w:val="000000"/>
                      <w:szCs w:val="21"/>
                    </w:rPr>
                    <w:t>允许入园企业类型</w:t>
                  </w:r>
                </w:p>
              </w:tc>
              <w:tc>
                <w:tcPr>
                  <w:tcW w:w="3873" w:type="pct"/>
                  <w:vAlign w:val="center"/>
                </w:tcPr>
                <w:p>
                  <w:pPr>
                    <w:rPr>
                      <w:color w:val="000000"/>
                      <w:szCs w:val="21"/>
                    </w:rPr>
                  </w:pPr>
                  <w:r>
                    <w:rPr>
                      <w:rFonts w:hint="eastAsia"/>
                      <w:color w:val="000000"/>
                      <w:szCs w:val="21"/>
                    </w:rPr>
                    <w:t>不属于上述鼓励类、禁止类，选址与外环境相容的其他项目。</w:t>
                  </w:r>
                </w:p>
              </w:tc>
            </w:tr>
          </w:tbl>
          <w:p>
            <w:pPr>
              <w:pStyle w:val="37"/>
              <w:ind w:firstLine="480"/>
            </w:pPr>
            <w:r>
              <w:rPr>
                <w:rFonts w:hint="eastAsia"/>
              </w:rPr>
              <w:t>本项目为钾长石矿磁选加工，属于园区主导产业，同时本项目符合国家现行产业政策，符合园区规划。</w:t>
            </w:r>
          </w:p>
          <w:p>
            <w:pPr>
              <w:pStyle w:val="37"/>
              <w:ind w:firstLine="480"/>
            </w:pPr>
            <w:r>
              <w:rPr>
                <w:rFonts w:hint="eastAsia"/>
              </w:rPr>
              <w:t>3、“三线一单”符合性分析</w:t>
            </w:r>
          </w:p>
          <w:p>
            <w:pPr>
              <w:pStyle w:val="37"/>
              <w:ind w:firstLine="480"/>
            </w:pPr>
            <w:r>
              <w:rPr>
                <w:rFonts w:hint="eastAsia"/>
              </w:rPr>
              <w:t>“三线一单”即生态保护红线、环境质量底线、资源利用上线和环境准入负面清单。根据环境保护部《关于印发&lt;“十三五”环境影响评价改革实施方案&gt;的通知》（环环评﹝2016﹞95号），明确要求在项目环评中建立“三线一单”约束机制，强化准入管理。本项目与“三线一单”的符合性分析如下：</w:t>
            </w:r>
          </w:p>
          <w:p>
            <w:pPr>
              <w:pStyle w:val="36"/>
            </w:pPr>
            <w:r>
              <w:rPr>
                <w:rFonts w:hint="eastAsia"/>
              </w:rPr>
              <w:t>表1-2“三线一单”符合性分析</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6095"/>
              <w:gridCol w:w="1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50"/>
                    <w:rPr>
                      <w:rFonts w:cs="SimSun"/>
                    </w:rPr>
                  </w:pPr>
                  <w:r>
                    <w:rPr>
                      <w:rFonts w:hint="eastAsia" w:cs="SimSun"/>
                    </w:rPr>
                    <w:t>内容</w:t>
                  </w:r>
                </w:p>
              </w:tc>
              <w:tc>
                <w:tcPr>
                  <w:tcW w:w="6095" w:type="dxa"/>
                  <w:shd w:val="clear" w:color="auto" w:fill="auto"/>
                  <w:vAlign w:val="center"/>
                </w:tcPr>
                <w:p>
                  <w:pPr>
                    <w:pStyle w:val="50"/>
                    <w:rPr>
                      <w:rFonts w:cs="SimSun"/>
                    </w:rPr>
                  </w:pPr>
                  <w:r>
                    <w:rPr>
                      <w:rFonts w:hint="eastAsia" w:cs="SimSun"/>
                    </w:rPr>
                    <w:t>符合性分析</w:t>
                  </w:r>
                </w:p>
              </w:tc>
              <w:tc>
                <w:tcPr>
                  <w:tcW w:w="1689" w:type="dxa"/>
                  <w:shd w:val="clear" w:color="auto" w:fill="auto"/>
                  <w:vAlign w:val="center"/>
                </w:tcPr>
                <w:p>
                  <w:pPr>
                    <w:pStyle w:val="50"/>
                    <w:rPr>
                      <w:rFonts w:cs="SimSun"/>
                    </w:rPr>
                  </w:pPr>
                  <w:r>
                    <w:rPr>
                      <w:rFonts w:hint="eastAsia" w:cs="SimSun"/>
                    </w:rPr>
                    <w:t>整改措施建议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50"/>
                    <w:rPr>
                      <w:rFonts w:cs="SimSun"/>
                    </w:rPr>
                  </w:pPr>
                  <w:r>
                    <w:rPr>
                      <w:rFonts w:hint="eastAsia" w:cs="SimSun"/>
                    </w:rPr>
                    <w:t>生态保护红线</w:t>
                  </w:r>
                </w:p>
              </w:tc>
              <w:tc>
                <w:tcPr>
                  <w:tcW w:w="6095" w:type="dxa"/>
                  <w:shd w:val="clear" w:color="auto" w:fill="auto"/>
                  <w:vAlign w:val="center"/>
                </w:tcPr>
                <w:p>
                  <w:pPr>
                    <w:pStyle w:val="50"/>
                    <w:rPr>
                      <w:rFonts w:cs="SimSun"/>
                    </w:rPr>
                  </w:pPr>
                  <w:r>
                    <w:rPr>
                      <w:rFonts w:hint="eastAsia" w:cs="SimSun"/>
                    </w:rPr>
                    <w:t>本项目位于峨边彝族自治县五渡镇工农村2组，项目选址不涉及国家公园、自然保护区、森林公园、风景名胜区、地址公园、世界自然遗产地、湿地公园、饮用水水源保护区、水产种质资源保护区等禁止开发区，不在拟定的生态红线区域范围，符合生态保护红线要求。</w:t>
                  </w:r>
                </w:p>
              </w:tc>
              <w:tc>
                <w:tcPr>
                  <w:tcW w:w="1689" w:type="dxa"/>
                  <w:shd w:val="clear" w:color="auto" w:fill="auto"/>
                  <w:vAlign w:val="center"/>
                </w:tcPr>
                <w:p>
                  <w:pPr>
                    <w:pStyle w:val="50"/>
                    <w:rPr>
                      <w:rFonts w:cs="SimSun"/>
                    </w:rPr>
                  </w:pPr>
                  <w:r>
                    <w:rPr>
                      <w:rFonts w:hint="eastAsia" w:cs="SimSu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50"/>
                    <w:rPr>
                      <w:rFonts w:cs="SimSun"/>
                    </w:rPr>
                  </w:pPr>
                  <w:r>
                    <w:rPr>
                      <w:rFonts w:hint="eastAsia" w:cs="SimSun"/>
                    </w:rPr>
                    <w:t>资源利用上线</w:t>
                  </w:r>
                </w:p>
              </w:tc>
              <w:tc>
                <w:tcPr>
                  <w:tcW w:w="6095" w:type="dxa"/>
                  <w:shd w:val="clear" w:color="auto" w:fill="auto"/>
                  <w:vAlign w:val="center"/>
                </w:tcPr>
                <w:p>
                  <w:pPr>
                    <w:pStyle w:val="50"/>
                    <w:rPr>
                      <w:rFonts w:cs="SimSun"/>
                    </w:rPr>
                  </w:pPr>
                  <w:r>
                    <w:rPr>
                      <w:rFonts w:hint="eastAsia" w:cs="SimSun"/>
                    </w:rPr>
                    <w:t>本项目营运过程中存在一定量的水、电等资源消耗，项目资源消耗在区域资源总量中占比较小，且各类资源利用满足清洁生产要求，符合资源利用上限要求</w:t>
                  </w:r>
                </w:p>
              </w:tc>
              <w:tc>
                <w:tcPr>
                  <w:tcW w:w="1689" w:type="dxa"/>
                  <w:shd w:val="clear" w:color="auto" w:fill="auto"/>
                  <w:vAlign w:val="center"/>
                </w:tcPr>
                <w:p>
                  <w:pPr>
                    <w:pStyle w:val="50"/>
                    <w:rPr>
                      <w:rFonts w:cs="SimSun"/>
                    </w:rPr>
                  </w:pPr>
                  <w:r>
                    <w:rPr>
                      <w:rFonts w:hint="eastAsia" w:cs="SimSu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50"/>
                    <w:rPr>
                      <w:rFonts w:cs="SimSun"/>
                    </w:rPr>
                  </w:pPr>
                  <w:r>
                    <w:rPr>
                      <w:rFonts w:hint="eastAsia" w:cs="SimSun"/>
                    </w:rPr>
                    <w:t>环境质量底线</w:t>
                  </w:r>
                </w:p>
              </w:tc>
              <w:tc>
                <w:tcPr>
                  <w:tcW w:w="6095" w:type="dxa"/>
                  <w:shd w:val="clear" w:color="auto" w:fill="auto"/>
                  <w:vAlign w:val="center"/>
                </w:tcPr>
                <w:p>
                  <w:pPr>
                    <w:pStyle w:val="47"/>
                  </w:pPr>
                  <w:r>
                    <w:rPr>
                      <w:rFonts w:hint="eastAsia"/>
                    </w:rPr>
                    <w:t>项目所在地大气环境为环境空气质量功能二类地区，根据2017年峨边彝族自治县环境质量状况监测数据，评价区各测点大气因子PM</w:t>
                  </w:r>
                  <w:r>
                    <w:rPr>
                      <w:rFonts w:hint="eastAsia"/>
                      <w:vertAlign w:val="subscript"/>
                    </w:rPr>
                    <w:t>10</w:t>
                  </w:r>
                  <w:r>
                    <w:rPr>
                      <w:rFonts w:hint="eastAsia"/>
                    </w:rPr>
                    <w:t>、PM</w:t>
                  </w:r>
                  <w:r>
                    <w:rPr>
                      <w:rFonts w:hint="eastAsia"/>
                      <w:vertAlign w:val="subscript"/>
                    </w:rPr>
                    <w:t>2.5</w:t>
                  </w:r>
                  <w:r>
                    <w:rPr>
                      <w:rFonts w:hint="eastAsia"/>
                    </w:rPr>
                    <w:t>未能达到《环境空气质量标准》（GB3095-2012）的二级标准。根据《乐山市大气环境质量限期达标规划》（2016年-2025年）》，规划到2020年PM</w:t>
                  </w:r>
                  <w:r>
                    <w:rPr>
                      <w:rFonts w:hint="eastAsia"/>
                      <w:vertAlign w:val="subscript"/>
                    </w:rPr>
                    <w:t>10</w:t>
                  </w:r>
                  <w:r>
                    <w:rPr>
                      <w:rFonts w:hint="eastAsia"/>
                    </w:rPr>
                    <w:t>年均浓度达到《环境空气质量标准》（GB3095-2012）二级标准限值，到2025年PM</w:t>
                  </w:r>
                  <w:r>
                    <w:rPr>
                      <w:rFonts w:hint="eastAsia"/>
                      <w:vertAlign w:val="subscript"/>
                    </w:rPr>
                    <w:t>2.5</w:t>
                  </w:r>
                  <w:r>
                    <w:rPr>
                      <w:rFonts w:hint="eastAsia"/>
                    </w:rPr>
                    <w:t>年均浓度达到《环境空气质量标准》（GB3095-2012）二级标准限值；地表水符合《地表水环境质量标准》（GB3838-2002）中III类水质标准，场界噪声昼夜可达《声环境质量标准》（GB3096-2008）的3类标准。本项目运营后，通过采取相应的治理措施后，能够做到达标排放，对区域环境影响较小，不会改变区域环境质量现状。</w:t>
                  </w:r>
                </w:p>
              </w:tc>
              <w:tc>
                <w:tcPr>
                  <w:tcW w:w="1689" w:type="dxa"/>
                  <w:shd w:val="clear" w:color="auto" w:fill="auto"/>
                  <w:vAlign w:val="center"/>
                </w:tcPr>
                <w:p>
                  <w:pPr>
                    <w:pStyle w:val="50"/>
                    <w:rPr>
                      <w:rFonts w:cs="SimSun"/>
                    </w:rPr>
                  </w:pPr>
                  <w:r>
                    <w:rPr>
                      <w:rFonts w:hint="eastAsia" w:cs="SimSu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50"/>
                    <w:rPr>
                      <w:rFonts w:cs="SimSun"/>
                    </w:rPr>
                  </w:pPr>
                  <w:r>
                    <w:rPr>
                      <w:rFonts w:hint="eastAsia" w:cs="SimSun"/>
                    </w:rPr>
                    <w:t>环境准入负面清单</w:t>
                  </w:r>
                </w:p>
              </w:tc>
              <w:tc>
                <w:tcPr>
                  <w:tcW w:w="6095" w:type="dxa"/>
                  <w:shd w:val="clear" w:color="auto" w:fill="auto"/>
                  <w:vAlign w:val="center"/>
                </w:tcPr>
                <w:p>
                  <w:pPr>
                    <w:pStyle w:val="50"/>
                    <w:rPr>
                      <w:rFonts w:cs="SimSun"/>
                    </w:rPr>
                  </w:pPr>
                  <w:r>
                    <w:rPr>
                      <w:rFonts w:hint="eastAsia" w:cs="SimSun"/>
                    </w:rPr>
                    <w:t>本项目位于峨边彝族自治县五渡镇工农村2组，建成后主要从事钾长石矿加工，根据乐山市环境保护局《关于印发&lt;乐山市建设项目环境准入负面清单（试行）&gt;的通知》（乐市环发﹝2017﹞59号），本项目符合现行产业政策，符合当地发展规划、土地利用规划，选址不涉及饮用水水源保护区、自然保护区、风景名胜区等环境敏感区，不在划定的生态红线范围内，不在负面清单内。根据《四川省重点生态功能区产业准入负面清单（第二批）（试行）》中《峨边彝族自治县产业准入负面清单》，本项目符合现行产业政策，不在禁止、限制类行业名录内。</w:t>
                  </w:r>
                </w:p>
              </w:tc>
              <w:tc>
                <w:tcPr>
                  <w:tcW w:w="1689" w:type="dxa"/>
                  <w:shd w:val="clear" w:color="auto" w:fill="auto"/>
                  <w:vAlign w:val="center"/>
                </w:tcPr>
                <w:p>
                  <w:pPr>
                    <w:pStyle w:val="50"/>
                    <w:rPr>
                      <w:rFonts w:cs="SimSun"/>
                    </w:rPr>
                  </w:pPr>
                  <w:r>
                    <w:rPr>
                      <w:rFonts w:hint="eastAsia" w:cs="SimSun"/>
                    </w:rPr>
                    <w:t>/</w:t>
                  </w:r>
                </w:p>
              </w:tc>
            </w:tr>
          </w:tbl>
          <w:p>
            <w:pPr>
              <w:pStyle w:val="37"/>
              <w:ind w:firstLine="480"/>
            </w:pPr>
            <w:r>
              <w:rPr>
                <w:rFonts w:hint="eastAsia"/>
              </w:rPr>
              <w:t>综上所述，从生态保护红线、资源利用上线、环境质量底线、环境准入负面清单等四个方面分析，本项目在峨边彝族自治县五渡镇工农村2组建设符合“三线一单”要求。</w:t>
            </w:r>
          </w:p>
          <w:p>
            <w:pPr>
              <w:pStyle w:val="4"/>
              <w:ind w:firstLine="482"/>
            </w:pPr>
            <w:r>
              <w:rPr>
                <w:rFonts w:hint="eastAsia"/>
              </w:rPr>
              <w:t>三、工程概况、项目位置和项目组成</w:t>
            </w:r>
          </w:p>
          <w:p>
            <w:pPr>
              <w:pStyle w:val="37"/>
              <w:ind w:firstLine="480"/>
            </w:pPr>
            <w:r>
              <w:rPr>
                <w:rFonts w:hint="eastAsia"/>
              </w:rPr>
              <w:t>1、工程概况</w:t>
            </w:r>
          </w:p>
          <w:p>
            <w:pPr>
              <w:pStyle w:val="37"/>
              <w:ind w:firstLine="480"/>
              <w:rPr>
                <w:bCs/>
              </w:rPr>
            </w:pPr>
            <w:r>
              <w:rPr>
                <w:bCs/>
              </w:rPr>
              <w:t>项目名称：</w:t>
            </w:r>
            <w:r>
              <w:rPr>
                <w:rFonts w:hint="eastAsia"/>
              </w:rPr>
              <w:t>年产5万吨高端电磁选钾长石生产线；</w:t>
            </w:r>
          </w:p>
          <w:p>
            <w:pPr>
              <w:pStyle w:val="37"/>
              <w:ind w:firstLine="480"/>
              <w:rPr>
                <w:bCs/>
              </w:rPr>
            </w:pPr>
            <w:r>
              <w:rPr>
                <w:bCs/>
              </w:rPr>
              <w:t>建设地点：</w:t>
            </w:r>
            <w:r>
              <w:rPr>
                <w:rFonts w:hint="eastAsia"/>
              </w:rPr>
              <w:t>乐山市峨边彝族自治县五渡镇工农村2组（29.279235°N；103.490109°E）；</w:t>
            </w:r>
          </w:p>
          <w:p>
            <w:pPr>
              <w:pStyle w:val="37"/>
              <w:ind w:firstLine="480"/>
              <w:rPr>
                <w:bCs/>
              </w:rPr>
            </w:pPr>
            <w:r>
              <w:rPr>
                <w:rFonts w:hint="eastAsia"/>
                <w:bCs/>
              </w:rPr>
              <w:t>建设单位：乐山市峨边盛和矿业有限公司；</w:t>
            </w:r>
          </w:p>
          <w:p>
            <w:pPr>
              <w:pStyle w:val="37"/>
              <w:ind w:firstLine="480"/>
              <w:rPr>
                <w:bCs/>
              </w:rPr>
            </w:pPr>
            <w:r>
              <w:rPr>
                <w:rFonts w:hint="eastAsia"/>
                <w:bCs/>
              </w:rPr>
              <w:t>建设性质：改扩建（补办）；</w:t>
            </w:r>
          </w:p>
          <w:p>
            <w:pPr>
              <w:pStyle w:val="37"/>
              <w:ind w:firstLine="480"/>
              <w:rPr>
                <w:bCs/>
              </w:rPr>
            </w:pPr>
            <w:r>
              <w:rPr>
                <w:rFonts w:hint="eastAsia"/>
                <w:bCs/>
              </w:rPr>
              <w:t>投资规模：本次项目的总投资为1950万元人民币；</w:t>
            </w:r>
          </w:p>
          <w:p>
            <w:pPr>
              <w:pStyle w:val="37"/>
              <w:ind w:firstLine="480"/>
              <w:rPr>
                <w:bCs/>
              </w:rPr>
            </w:pPr>
            <w:r>
              <w:rPr>
                <w:rFonts w:hint="eastAsia"/>
                <w:bCs/>
              </w:rPr>
              <w:t>资金来源：自筹资金1950万元；</w:t>
            </w:r>
          </w:p>
          <w:p>
            <w:pPr>
              <w:pStyle w:val="37"/>
              <w:ind w:firstLine="480"/>
            </w:pPr>
            <w:r>
              <w:rPr>
                <w:rFonts w:hint="eastAsia"/>
                <w:bCs/>
              </w:rPr>
              <w:t>生产规模：</w:t>
            </w:r>
            <w:r>
              <w:rPr>
                <w:rFonts w:hint="eastAsia"/>
              </w:rPr>
              <w:t>年产5万吨钾长石；</w:t>
            </w:r>
          </w:p>
          <w:p>
            <w:pPr>
              <w:pStyle w:val="37"/>
              <w:ind w:firstLine="480"/>
              <w:rPr>
                <w:bCs/>
                <w:color w:val="FF0000"/>
              </w:rPr>
            </w:pPr>
            <w:r>
              <w:rPr>
                <w:rFonts w:hint="eastAsia"/>
                <w:bCs/>
              </w:rPr>
              <w:t>占地面积</w:t>
            </w:r>
            <w:r>
              <w:rPr>
                <w:rFonts w:hint="eastAsia"/>
                <w:bCs/>
                <w:color w:val="FF0000"/>
              </w:rPr>
              <w:t>：本项目占地面积约300m</w:t>
            </w:r>
            <w:r>
              <w:rPr>
                <w:rFonts w:hint="eastAsia"/>
                <w:bCs/>
                <w:color w:val="FF0000"/>
                <w:vertAlign w:val="superscript"/>
              </w:rPr>
              <w:t>3</w:t>
            </w:r>
            <w:r>
              <w:rPr>
                <w:rFonts w:hint="eastAsia"/>
                <w:bCs/>
                <w:color w:val="FF0000"/>
              </w:rPr>
              <w:t>（全厂占地12235m</w:t>
            </w:r>
            <w:r>
              <w:rPr>
                <w:rFonts w:hint="eastAsia"/>
                <w:bCs/>
                <w:color w:val="FF0000"/>
                <w:vertAlign w:val="superscript"/>
              </w:rPr>
              <w:t>2</w:t>
            </w:r>
            <w:r>
              <w:rPr>
                <w:rFonts w:hint="eastAsia"/>
                <w:bCs/>
                <w:color w:val="FF0000"/>
              </w:rPr>
              <w:t>）；</w:t>
            </w:r>
          </w:p>
          <w:p>
            <w:pPr>
              <w:pStyle w:val="37"/>
              <w:ind w:firstLine="480"/>
              <w:rPr>
                <w:bCs/>
              </w:rPr>
            </w:pPr>
            <w:r>
              <w:rPr>
                <w:rFonts w:hint="eastAsia"/>
                <w:bCs/>
              </w:rPr>
              <w:t>劳动制度：本项目改扩建后，新增劳动定员为10人，均不在项目内食宿，年生产300d，采用三班制，每班8小时。</w:t>
            </w:r>
          </w:p>
          <w:p>
            <w:pPr>
              <w:pStyle w:val="37"/>
              <w:ind w:firstLine="480"/>
            </w:pPr>
            <w:r>
              <w:rPr>
                <w:rFonts w:hint="eastAsia"/>
              </w:rPr>
              <w:t>2、主要建设内容及规模</w:t>
            </w:r>
          </w:p>
          <w:p>
            <w:pPr>
              <w:pStyle w:val="37"/>
              <w:ind w:firstLine="480"/>
              <w:rPr>
                <w:bCs/>
              </w:rPr>
            </w:pPr>
            <w:r>
              <w:rPr>
                <w:rFonts w:hint="eastAsia"/>
                <w:bCs/>
              </w:rPr>
              <w:t>本项目建设内容主要为购置立环式磁选机、浓密机、过滤机等设备，将原厂区水洗生产线改扩建了一条年产5万吨高端电磁选钾长石生产线，生产玻璃级钾长石粉料、釉用钾长石粉料两种高端产品。</w:t>
            </w:r>
          </w:p>
          <w:p>
            <w:pPr>
              <w:pStyle w:val="37"/>
              <w:ind w:firstLine="480"/>
              <w:rPr>
                <w:bCs/>
              </w:rPr>
            </w:pPr>
            <w:r>
              <w:rPr>
                <w:rFonts w:hint="eastAsia"/>
                <w:bCs/>
              </w:rPr>
              <w:t>3、项目组成及主要环境问题</w:t>
            </w:r>
          </w:p>
          <w:p>
            <w:pPr>
              <w:pStyle w:val="37"/>
              <w:ind w:firstLine="480"/>
            </w:pPr>
            <w:r>
              <w:rPr>
                <w:rFonts w:hint="eastAsia"/>
                <w:bCs/>
              </w:rPr>
              <w:t>本项目在厂区内中部建设一条钾长石磁选生产线，其余公辅设施均依托现有工程</w:t>
            </w:r>
            <w:r>
              <w:rPr>
                <w:rFonts w:hint="eastAsia"/>
              </w:rPr>
              <w:t>。现就本项目的项目组成及主要的环境问题列表如下表1-3：</w:t>
            </w:r>
          </w:p>
          <w:p>
            <w:pPr>
              <w:pStyle w:val="36"/>
            </w:pPr>
            <w:r>
              <w:rPr>
                <w:rFonts w:hint="eastAsia"/>
              </w:rPr>
              <w:t>表1-3项目组成表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66"/>
              <w:gridCol w:w="3621"/>
              <w:gridCol w:w="1118"/>
              <w:gridCol w:w="1022"/>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46" w:type="pct"/>
                  <w:vMerge w:val="restart"/>
                  <w:vAlign w:val="center"/>
                </w:tcPr>
                <w:p>
                  <w:pPr>
                    <w:pStyle w:val="41"/>
                  </w:pPr>
                  <w:r>
                    <w:t>工程</w:t>
                  </w:r>
                </w:p>
                <w:p>
                  <w:pPr>
                    <w:pStyle w:val="41"/>
                  </w:pPr>
                  <w:r>
                    <w:t>类别</w:t>
                  </w:r>
                </w:p>
              </w:tc>
              <w:tc>
                <w:tcPr>
                  <w:tcW w:w="809" w:type="pct"/>
                  <w:vMerge w:val="restart"/>
                  <w:vAlign w:val="center"/>
                </w:tcPr>
                <w:p>
                  <w:pPr>
                    <w:pStyle w:val="47"/>
                  </w:pPr>
                  <w:r>
                    <w:t>项目组成</w:t>
                  </w:r>
                </w:p>
              </w:tc>
              <w:tc>
                <w:tcPr>
                  <w:tcW w:w="1998" w:type="pct"/>
                  <w:vMerge w:val="restart"/>
                  <w:vAlign w:val="center"/>
                </w:tcPr>
                <w:p>
                  <w:pPr>
                    <w:pStyle w:val="47"/>
                    <w:rPr>
                      <w:color w:val="FF0000"/>
                    </w:rPr>
                  </w:pPr>
                  <w:r>
                    <w:rPr>
                      <w:rFonts w:hint="eastAsia"/>
                      <w:color w:val="FF0000"/>
                    </w:rPr>
                    <w:t>已</w:t>
                  </w:r>
                  <w:r>
                    <w:rPr>
                      <w:color w:val="FF0000"/>
                    </w:rPr>
                    <w:t>建设内容及</w:t>
                  </w:r>
                  <w:r>
                    <w:rPr>
                      <w:rFonts w:hint="eastAsia"/>
                      <w:color w:val="FF0000"/>
                    </w:rPr>
                    <w:t>规模</w:t>
                  </w:r>
                </w:p>
              </w:tc>
              <w:tc>
                <w:tcPr>
                  <w:tcW w:w="1181" w:type="pct"/>
                  <w:gridSpan w:val="2"/>
                  <w:vAlign w:val="center"/>
                </w:tcPr>
                <w:p>
                  <w:pPr>
                    <w:pStyle w:val="47"/>
                  </w:pPr>
                  <w:r>
                    <w:t>可能产生的环境问题</w:t>
                  </w:r>
                </w:p>
              </w:tc>
              <w:tc>
                <w:tcPr>
                  <w:tcW w:w="466" w:type="pct"/>
                  <w:vMerge w:val="restart"/>
                  <w:vAlign w:val="center"/>
                </w:tcPr>
                <w:p>
                  <w:pPr>
                    <w:pStyle w:val="47"/>
                  </w:pPr>
                  <w:r>
                    <w:rPr>
                      <w:rFonts w:hint="eastAsia"/>
                    </w:rPr>
                    <w:t>依托关系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 w:hRule="atLeast"/>
              </w:trPr>
              <w:tc>
                <w:tcPr>
                  <w:tcW w:w="546" w:type="pct"/>
                  <w:vMerge w:val="continue"/>
                  <w:vAlign w:val="center"/>
                </w:tcPr>
                <w:p>
                  <w:pPr>
                    <w:pStyle w:val="41"/>
                  </w:pPr>
                </w:p>
              </w:tc>
              <w:tc>
                <w:tcPr>
                  <w:tcW w:w="809" w:type="pct"/>
                  <w:vMerge w:val="continue"/>
                  <w:vAlign w:val="center"/>
                </w:tcPr>
                <w:p>
                  <w:pPr>
                    <w:pStyle w:val="47"/>
                  </w:pPr>
                </w:p>
              </w:tc>
              <w:tc>
                <w:tcPr>
                  <w:tcW w:w="1998" w:type="pct"/>
                  <w:vMerge w:val="continue"/>
                  <w:vAlign w:val="center"/>
                </w:tcPr>
                <w:p>
                  <w:pPr>
                    <w:pStyle w:val="47"/>
                  </w:pPr>
                </w:p>
              </w:tc>
              <w:tc>
                <w:tcPr>
                  <w:tcW w:w="617" w:type="pct"/>
                  <w:vAlign w:val="center"/>
                </w:tcPr>
                <w:p>
                  <w:pPr>
                    <w:pStyle w:val="47"/>
                  </w:pPr>
                  <w:r>
                    <w:t>施工期</w:t>
                  </w:r>
                </w:p>
              </w:tc>
              <w:tc>
                <w:tcPr>
                  <w:tcW w:w="564" w:type="pct"/>
                  <w:vAlign w:val="center"/>
                </w:tcPr>
                <w:p>
                  <w:pPr>
                    <w:pStyle w:val="47"/>
                  </w:pPr>
                  <w:r>
                    <w:t>营运期</w:t>
                  </w:r>
                </w:p>
              </w:tc>
              <w:tc>
                <w:tcPr>
                  <w:tcW w:w="466"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546" w:type="pct"/>
                  <w:vMerge w:val="restart"/>
                  <w:vAlign w:val="center"/>
                </w:tcPr>
                <w:p>
                  <w:pPr>
                    <w:pStyle w:val="41"/>
                  </w:pPr>
                  <w:r>
                    <w:t>主</w:t>
                  </w:r>
                </w:p>
                <w:p>
                  <w:pPr>
                    <w:pStyle w:val="41"/>
                  </w:pPr>
                  <w:r>
                    <w:t>体</w:t>
                  </w:r>
                </w:p>
                <w:p>
                  <w:pPr>
                    <w:pStyle w:val="41"/>
                  </w:pPr>
                  <w:r>
                    <w:t>工</w:t>
                  </w:r>
                </w:p>
                <w:p>
                  <w:pPr>
                    <w:pStyle w:val="41"/>
                  </w:pPr>
                  <w:r>
                    <w:t>程</w:t>
                  </w:r>
                </w:p>
              </w:tc>
              <w:tc>
                <w:tcPr>
                  <w:tcW w:w="809" w:type="pct"/>
                  <w:vAlign w:val="center"/>
                </w:tcPr>
                <w:p>
                  <w:pPr>
                    <w:pStyle w:val="47"/>
                  </w:pPr>
                  <w:r>
                    <w:rPr>
                      <w:rFonts w:hint="eastAsia"/>
                    </w:rPr>
                    <w:t>钾长石加工生产线</w:t>
                  </w:r>
                </w:p>
              </w:tc>
              <w:tc>
                <w:tcPr>
                  <w:tcW w:w="1998" w:type="pct"/>
                  <w:shd w:val="clear" w:color="auto" w:fill="auto"/>
                  <w:vAlign w:val="center"/>
                </w:tcPr>
                <w:p>
                  <w:pPr>
                    <w:pStyle w:val="47"/>
                  </w:pPr>
                  <w:r>
                    <w:rPr>
                      <w:rFonts w:hint="eastAsia"/>
                    </w:rPr>
                    <w:t>位于水洗生产线南侧，占地面积约300m</w:t>
                  </w:r>
                  <w:r>
                    <w:rPr>
                      <w:rFonts w:hint="eastAsia"/>
                      <w:vertAlign w:val="superscript"/>
                    </w:rPr>
                    <w:t>2</w:t>
                  </w:r>
                  <w:r>
                    <w:rPr>
                      <w:rFonts w:hint="eastAsia"/>
                    </w:rPr>
                    <w:t>，购置安装有立环式高梯度磁选机2套、浓密机1台、平板磁选机1套、球磨机1套、分选机一套，安装一条钾长石磁选生产线，达到年生产釉用玻璃级钾长石粉、陶瓷用钾长石粉5万吨生产能力</w:t>
                  </w:r>
                </w:p>
              </w:tc>
              <w:tc>
                <w:tcPr>
                  <w:tcW w:w="617" w:type="pct"/>
                  <w:vMerge w:val="restart"/>
                  <w:vAlign w:val="center"/>
                </w:tcPr>
                <w:p>
                  <w:pPr>
                    <w:pStyle w:val="47"/>
                  </w:pPr>
                  <w:r>
                    <w:rPr>
                      <w:rFonts w:hint="eastAsia"/>
                    </w:rPr>
                    <w:t>施工扬尘、施工废水、施工弃土</w:t>
                  </w:r>
                </w:p>
              </w:tc>
              <w:tc>
                <w:tcPr>
                  <w:tcW w:w="564" w:type="pct"/>
                  <w:shd w:val="clear" w:color="auto" w:fill="auto"/>
                  <w:vAlign w:val="center"/>
                </w:tcPr>
                <w:p>
                  <w:pPr>
                    <w:pStyle w:val="47"/>
                  </w:pPr>
                  <w:r>
                    <w:rPr>
                      <w:rFonts w:hint="eastAsia"/>
                    </w:rPr>
                    <w:t>噪声、废水、固废</w:t>
                  </w:r>
                </w:p>
              </w:tc>
              <w:tc>
                <w:tcPr>
                  <w:tcW w:w="466" w:type="pct"/>
                  <w:shd w:val="clear" w:color="auto" w:fill="auto"/>
                  <w:vAlign w:val="center"/>
                </w:tcPr>
                <w:p>
                  <w:pPr>
                    <w:pStyle w:val="47"/>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546" w:type="pct"/>
                  <w:vMerge w:val="continue"/>
                  <w:vAlign w:val="center"/>
                </w:tcPr>
                <w:p>
                  <w:pPr>
                    <w:pStyle w:val="41"/>
                  </w:pPr>
                </w:p>
              </w:tc>
              <w:tc>
                <w:tcPr>
                  <w:tcW w:w="809" w:type="pct"/>
                  <w:vAlign w:val="center"/>
                </w:tcPr>
                <w:p>
                  <w:pPr>
                    <w:pStyle w:val="47"/>
                  </w:pPr>
                  <w:r>
                    <w:rPr>
                      <w:rFonts w:hint="eastAsia"/>
                    </w:rPr>
                    <w:t>水洗生产线</w:t>
                  </w:r>
                </w:p>
              </w:tc>
              <w:tc>
                <w:tcPr>
                  <w:tcW w:w="1998" w:type="pct"/>
                  <w:shd w:val="clear" w:color="auto" w:fill="auto"/>
                  <w:vAlign w:val="center"/>
                </w:tcPr>
                <w:p>
                  <w:pPr>
                    <w:pStyle w:val="47"/>
                  </w:pPr>
                  <w:r>
                    <w:rPr>
                      <w:rFonts w:hint="eastAsia"/>
                    </w:rPr>
                    <w:t>位于厂区中部，设置有单螺旋分级机2台、脱泥斗2台</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废水、噪声</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restart"/>
                  <w:vAlign w:val="center"/>
                </w:tcPr>
                <w:p>
                  <w:pPr>
                    <w:pStyle w:val="41"/>
                  </w:pPr>
                  <w:r>
                    <w:rPr>
                      <w:rFonts w:hint="eastAsia"/>
                    </w:rPr>
                    <w:t>辅助工程</w:t>
                  </w:r>
                </w:p>
              </w:tc>
              <w:tc>
                <w:tcPr>
                  <w:tcW w:w="809" w:type="pct"/>
                  <w:vAlign w:val="center"/>
                </w:tcPr>
                <w:p>
                  <w:pPr>
                    <w:pStyle w:val="47"/>
                  </w:pPr>
                  <w:r>
                    <w:rPr>
                      <w:rFonts w:hint="eastAsia"/>
                    </w:rPr>
                    <w:t>脱水车间</w:t>
                  </w:r>
                </w:p>
              </w:tc>
              <w:tc>
                <w:tcPr>
                  <w:tcW w:w="1998" w:type="pct"/>
                  <w:shd w:val="clear" w:color="auto" w:fill="auto"/>
                  <w:vAlign w:val="center"/>
                </w:tcPr>
                <w:p>
                  <w:pPr>
                    <w:pStyle w:val="47"/>
                  </w:pPr>
                  <w:r>
                    <w:rPr>
                      <w:rFonts w:hint="eastAsia"/>
                    </w:rPr>
                    <w:t>位于厂区东南面，新购置陶瓷过滤机、脱水机等设备</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废水</w:t>
                  </w:r>
                </w:p>
              </w:tc>
              <w:tc>
                <w:tcPr>
                  <w:tcW w:w="466" w:type="pct"/>
                  <w:shd w:val="clear" w:color="auto" w:fill="auto"/>
                  <w:vAlign w:val="center"/>
                </w:tcPr>
                <w:p>
                  <w:pPr>
                    <w:pStyle w:val="47"/>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原料堆场</w:t>
                  </w:r>
                </w:p>
              </w:tc>
              <w:tc>
                <w:tcPr>
                  <w:tcW w:w="1998" w:type="pct"/>
                  <w:shd w:val="clear" w:color="auto" w:fill="auto"/>
                  <w:vAlign w:val="center"/>
                </w:tcPr>
                <w:p>
                  <w:pPr>
                    <w:pStyle w:val="47"/>
                  </w:pPr>
                  <w:r>
                    <w:rPr>
                      <w:rFonts w:hint="eastAsia"/>
                    </w:rPr>
                    <w:t>位于厂区西南侧，占地面积约1000m</w:t>
                  </w:r>
                  <w:r>
                    <w:rPr>
                      <w:rFonts w:hint="eastAsia"/>
                      <w:vertAlign w:val="superscript"/>
                    </w:rPr>
                    <w:t>2</w:t>
                  </w:r>
                  <w:r>
                    <w:rPr>
                      <w:rFonts w:hint="eastAsia"/>
                    </w:rPr>
                    <w:t>，原料入口与西侧乡村道路相连</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扬尘</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产品堆场</w:t>
                  </w:r>
                </w:p>
              </w:tc>
              <w:tc>
                <w:tcPr>
                  <w:tcW w:w="1998" w:type="pct"/>
                  <w:shd w:val="clear" w:color="auto" w:fill="auto"/>
                  <w:vAlign w:val="center"/>
                </w:tcPr>
                <w:p>
                  <w:pPr>
                    <w:pStyle w:val="47"/>
                  </w:pPr>
                  <w:r>
                    <w:rPr>
                      <w:rFonts w:hint="eastAsia"/>
                    </w:rPr>
                    <w:t>位于厂区中部，占地面积约1000m</w:t>
                  </w:r>
                  <w:r>
                    <w:rPr>
                      <w:rFonts w:hint="eastAsia"/>
                      <w:vertAlign w:val="superscript"/>
                    </w:rPr>
                    <w:t>2</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扬尘</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储油罐</w:t>
                  </w:r>
                </w:p>
              </w:tc>
              <w:tc>
                <w:tcPr>
                  <w:tcW w:w="1998" w:type="pct"/>
                  <w:shd w:val="clear" w:color="auto" w:fill="auto"/>
                  <w:vAlign w:val="center"/>
                </w:tcPr>
                <w:p>
                  <w:pPr>
                    <w:pStyle w:val="47"/>
                  </w:pPr>
                  <w:r>
                    <w:rPr>
                      <w:rFonts w:hint="eastAsia"/>
                    </w:rPr>
                    <w:t>厂区内设置有2个15m</w:t>
                  </w:r>
                  <w:r>
                    <w:rPr>
                      <w:rFonts w:hint="eastAsia"/>
                      <w:vertAlign w:val="superscript"/>
                    </w:rPr>
                    <w:t>3</w:t>
                  </w:r>
                  <w:r>
                    <w:rPr>
                      <w:rFonts w:hint="eastAsia"/>
                    </w:rPr>
                    <w:t>柴油储罐，主要用于储存厂区机械使用的柴油</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环境风险</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烘干车间</w:t>
                  </w:r>
                </w:p>
              </w:tc>
              <w:tc>
                <w:tcPr>
                  <w:tcW w:w="1998" w:type="pct"/>
                  <w:shd w:val="clear" w:color="auto" w:fill="auto"/>
                  <w:vAlign w:val="center"/>
                </w:tcPr>
                <w:p>
                  <w:pPr>
                    <w:pStyle w:val="47"/>
                  </w:pPr>
                  <w:r>
                    <w:rPr>
                      <w:rFonts w:hint="eastAsia"/>
                    </w:rPr>
                    <w:t>位于厂区东侧，内设滚筒式烘干机1台，采用煤炭作为能源，年烘干1万吨钾长石粉</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废气、噪声、固废</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检验室</w:t>
                  </w:r>
                </w:p>
              </w:tc>
              <w:tc>
                <w:tcPr>
                  <w:tcW w:w="1998" w:type="pct"/>
                  <w:shd w:val="clear" w:color="auto" w:fill="auto"/>
                  <w:vAlign w:val="center"/>
                </w:tcPr>
                <w:p>
                  <w:pPr>
                    <w:pStyle w:val="47"/>
                  </w:pPr>
                  <w:r>
                    <w:rPr>
                      <w:rFonts w:hint="eastAsia"/>
                    </w:rPr>
                    <w:t>位于办公用房内，建筑面积约40m</w:t>
                  </w:r>
                  <w:r>
                    <w:rPr>
                      <w:rFonts w:hint="eastAsia"/>
                      <w:vertAlign w:val="superscript"/>
                    </w:rPr>
                    <w:t>2</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546" w:type="pct"/>
                  <w:vMerge w:val="continue"/>
                  <w:vAlign w:val="center"/>
                </w:tcPr>
                <w:p>
                  <w:pPr>
                    <w:pStyle w:val="41"/>
                  </w:pPr>
                </w:p>
              </w:tc>
              <w:tc>
                <w:tcPr>
                  <w:tcW w:w="809" w:type="pct"/>
                  <w:vAlign w:val="center"/>
                </w:tcPr>
                <w:p>
                  <w:pPr>
                    <w:pStyle w:val="47"/>
                  </w:pPr>
                  <w:r>
                    <w:rPr>
                      <w:rFonts w:hint="eastAsia"/>
                    </w:rPr>
                    <w:t>车轮冲洗池</w:t>
                  </w:r>
                </w:p>
              </w:tc>
              <w:tc>
                <w:tcPr>
                  <w:tcW w:w="1998" w:type="pct"/>
                  <w:shd w:val="clear" w:color="auto" w:fill="auto"/>
                  <w:vAlign w:val="center"/>
                </w:tcPr>
                <w:p>
                  <w:pPr>
                    <w:pStyle w:val="47"/>
                  </w:pPr>
                  <w:r>
                    <w:rPr>
                      <w:rFonts w:hint="eastAsia"/>
                    </w:rPr>
                    <w:t>位于厂区北侧货车出口前，设置一车轮冲洗池（容积约10</w:t>
                  </w:r>
                  <w:r>
                    <w:rPr>
                      <w:rFonts w:hint="eastAsia"/>
                      <w:vertAlign w:val="superscript"/>
                    </w:rPr>
                    <w:t>3</w:t>
                  </w:r>
                  <w:r>
                    <w:rPr>
                      <w:rFonts w:hint="eastAsia"/>
                    </w:rPr>
                    <w:t>），对出厂车辆车轮进行冲洗</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废水</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 w:hRule="atLeast"/>
              </w:trPr>
              <w:tc>
                <w:tcPr>
                  <w:tcW w:w="546" w:type="pct"/>
                  <w:vMerge w:val="continue"/>
                  <w:vAlign w:val="center"/>
                </w:tcPr>
                <w:p>
                  <w:pPr>
                    <w:pStyle w:val="41"/>
                  </w:pPr>
                </w:p>
              </w:tc>
              <w:tc>
                <w:tcPr>
                  <w:tcW w:w="809" w:type="pct"/>
                  <w:vAlign w:val="center"/>
                </w:tcPr>
                <w:p>
                  <w:pPr>
                    <w:pStyle w:val="47"/>
                  </w:pPr>
                  <w:r>
                    <w:rPr>
                      <w:rFonts w:hint="eastAsia"/>
                    </w:rPr>
                    <w:t>废水循环处理系统</w:t>
                  </w:r>
                </w:p>
              </w:tc>
              <w:tc>
                <w:tcPr>
                  <w:tcW w:w="1998" w:type="pct"/>
                  <w:shd w:val="clear" w:color="auto" w:fill="auto"/>
                  <w:vAlign w:val="center"/>
                </w:tcPr>
                <w:p>
                  <w:pPr>
                    <w:pStyle w:val="47"/>
                  </w:pPr>
                  <w:r>
                    <w:rPr>
                      <w:rFonts w:hint="eastAsia"/>
                    </w:rPr>
                    <w:t>新增一套浓密机，容积约</w:t>
                  </w:r>
                  <w:r>
                    <w:t>1000m</w:t>
                  </w:r>
                  <w:r>
                    <w:rPr>
                      <w:vertAlign w:val="superscript"/>
                    </w:rPr>
                    <w:t>3</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w:t>
                  </w:r>
                </w:p>
              </w:tc>
              <w:tc>
                <w:tcPr>
                  <w:tcW w:w="466" w:type="pct"/>
                  <w:shd w:val="clear" w:color="auto" w:fill="auto"/>
                  <w:vAlign w:val="center"/>
                </w:tcPr>
                <w:p>
                  <w:pPr>
                    <w:pStyle w:val="47"/>
                  </w:pPr>
                  <w: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546" w:type="pct"/>
                  <w:vMerge w:val="restart"/>
                  <w:vAlign w:val="center"/>
                </w:tcPr>
                <w:p>
                  <w:pPr>
                    <w:pStyle w:val="41"/>
                  </w:pPr>
                  <w:r>
                    <w:rPr>
                      <w:rFonts w:hint="eastAsia"/>
                    </w:rPr>
                    <w:t>公</w:t>
                  </w:r>
                </w:p>
                <w:p>
                  <w:pPr>
                    <w:pStyle w:val="41"/>
                  </w:pPr>
                  <w:r>
                    <w:rPr>
                      <w:rFonts w:hint="eastAsia"/>
                    </w:rPr>
                    <w:t>用</w:t>
                  </w:r>
                </w:p>
                <w:p>
                  <w:pPr>
                    <w:pStyle w:val="41"/>
                  </w:pPr>
                  <w:r>
                    <w:rPr>
                      <w:rFonts w:hint="eastAsia"/>
                    </w:rPr>
                    <w:t>工</w:t>
                  </w:r>
                </w:p>
                <w:p>
                  <w:pPr>
                    <w:pStyle w:val="41"/>
                  </w:pPr>
                  <w:r>
                    <w:rPr>
                      <w:rFonts w:hint="eastAsia"/>
                    </w:rPr>
                    <w:t>程</w:t>
                  </w:r>
                </w:p>
              </w:tc>
              <w:tc>
                <w:tcPr>
                  <w:tcW w:w="809" w:type="pct"/>
                  <w:vAlign w:val="center"/>
                </w:tcPr>
                <w:p>
                  <w:pPr>
                    <w:pStyle w:val="47"/>
                  </w:pPr>
                  <w:r>
                    <w:rPr>
                      <w:rFonts w:hint="eastAsia"/>
                    </w:rPr>
                    <w:t>给水</w:t>
                  </w:r>
                </w:p>
              </w:tc>
              <w:tc>
                <w:tcPr>
                  <w:tcW w:w="1998" w:type="pct"/>
                  <w:shd w:val="clear" w:color="auto" w:fill="auto"/>
                  <w:vAlign w:val="center"/>
                </w:tcPr>
                <w:p>
                  <w:pPr>
                    <w:pStyle w:val="47"/>
                  </w:pPr>
                  <w:r>
                    <w:rPr>
                      <w:rFonts w:hint="eastAsia"/>
                    </w:rPr>
                    <w:t>生活用水取用山泉水；生产用水取用大渡河河水</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546" w:type="pct"/>
                  <w:vMerge w:val="continue"/>
                  <w:vAlign w:val="center"/>
                </w:tcPr>
                <w:p>
                  <w:pPr>
                    <w:pStyle w:val="41"/>
                  </w:pPr>
                </w:p>
              </w:tc>
              <w:tc>
                <w:tcPr>
                  <w:tcW w:w="809" w:type="pct"/>
                  <w:vAlign w:val="center"/>
                </w:tcPr>
                <w:p>
                  <w:pPr>
                    <w:pStyle w:val="47"/>
                  </w:pPr>
                  <w:r>
                    <w:rPr>
                      <w:rFonts w:hint="eastAsia"/>
                    </w:rPr>
                    <w:t>排水</w:t>
                  </w:r>
                </w:p>
              </w:tc>
              <w:tc>
                <w:tcPr>
                  <w:tcW w:w="1998" w:type="pct"/>
                  <w:shd w:val="clear" w:color="auto" w:fill="auto"/>
                  <w:vAlign w:val="center"/>
                </w:tcPr>
                <w:p>
                  <w:pPr>
                    <w:pStyle w:val="47"/>
                  </w:pPr>
                  <w:r>
                    <w:rPr>
                      <w:rFonts w:hint="eastAsia"/>
                    </w:rPr>
                    <w:t>生活污水采用化粪池处理后排入乡镇污水管网</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546" w:type="pct"/>
                  <w:vMerge w:val="continue"/>
                  <w:vAlign w:val="center"/>
                </w:tcPr>
                <w:p>
                  <w:pPr>
                    <w:pStyle w:val="41"/>
                  </w:pPr>
                </w:p>
              </w:tc>
              <w:tc>
                <w:tcPr>
                  <w:tcW w:w="809" w:type="pct"/>
                  <w:vAlign w:val="center"/>
                </w:tcPr>
                <w:p>
                  <w:pPr>
                    <w:pStyle w:val="47"/>
                  </w:pPr>
                  <w:r>
                    <w:rPr>
                      <w:rFonts w:hint="eastAsia"/>
                    </w:rPr>
                    <w:t>供电</w:t>
                  </w:r>
                </w:p>
              </w:tc>
              <w:tc>
                <w:tcPr>
                  <w:tcW w:w="1998" w:type="pct"/>
                  <w:shd w:val="clear" w:color="auto" w:fill="auto"/>
                  <w:vAlign w:val="center"/>
                </w:tcPr>
                <w:p>
                  <w:pPr>
                    <w:pStyle w:val="47"/>
                  </w:pPr>
                  <w:r>
                    <w:rPr>
                      <w:rFonts w:hint="eastAsia"/>
                    </w:rPr>
                    <w:t>现有工程配电室内新增200KVA干式变压器一台</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w:t>
                  </w:r>
                </w:p>
              </w:tc>
              <w:tc>
                <w:tcPr>
                  <w:tcW w:w="466" w:type="pct"/>
                  <w:shd w:val="clear" w:color="auto" w:fill="auto"/>
                  <w:vAlign w:val="center"/>
                </w:tcPr>
                <w:p>
                  <w:pPr>
                    <w:pStyle w:val="47"/>
                  </w:pPr>
                  <w:r>
                    <w:rPr>
                      <w:rFonts w:hint="eastAsia"/>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546" w:type="pct"/>
                  <w:vAlign w:val="center"/>
                </w:tcPr>
                <w:p>
                  <w:pPr>
                    <w:pStyle w:val="41"/>
                  </w:pPr>
                  <w:r>
                    <w:rPr>
                      <w:rFonts w:hint="eastAsia"/>
                    </w:rPr>
                    <w:t>办公及生活设施</w:t>
                  </w:r>
                </w:p>
              </w:tc>
              <w:tc>
                <w:tcPr>
                  <w:tcW w:w="809" w:type="pct"/>
                  <w:vAlign w:val="center"/>
                </w:tcPr>
                <w:p>
                  <w:pPr>
                    <w:pStyle w:val="47"/>
                  </w:pPr>
                  <w:r>
                    <w:rPr>
                      <w:rFonts w:hint="eastAsia"/>
                    </w:rPr>
                    <w:t>办公室</w:t>
                  </w:r>
                </w:p>
              </w:tc>
              <w:tc>
                <w:tcPr>
                  <w:tcW w:w="1998" w:type="pct"/>
                  <w:shd w:val="clear" w:color="auto" w:fill="auto"/>
                  <w:vAlign w:val="center"/>
                </w:tcPr>
                <w:p>
                  <w:pPr>
                    <w:pStyle w:val="47"/>
                  </w:pPr>
                  <w:r>
                    <w:rPr>
                      <w:rFonts w:hint="eastAsia"/>
                    </w:rPr>
                    <w:t>3F，位于厂区西侧，建筑面积约600m</w:t>
                  </w:r>
                  <w:r>
                    <w:rPr>
                      <w:rFonts w:hint="eastAsia"/>
                      <w:vertAlign w:val="superscript"/>
                    </w:rPr>
                    <w:t>2</w:t>
                  </w:r>
                </w:p>
              </w:tc>
              <w:tc>
                <w:tcPr>
                  <w:tcW w:w="617" w:type="pct"/>
                  <w:vMerge w:val="continue"/>
                  <w:vAlign w:val="center"/>
                </w:tcPr>
                <w:p>
                  <w:pPr>
                    <w:pStyle w:val="47"/>
                  </w:pPr>
                </w:p>
              </w:tc>
              <w:tc>
                <w:tcPr>
                  <w:tcW w:w="564" w:type="pct"/>
                  <w:shd w:val="clear" w:color="auto" w:fill="auto"/>
                  <w:vAlign w:val="center"/>
                </w:tcPr>
                <w:p>
                  <w:pPr>
                    <w:pStyle w:val="47"/>
                  </w:pPr>
                  <w:r>
                    <w:rPr>
                      <w:rFonts w:hint="eastAsia"/>
                    </w:rPr>
                    <w:t>生活污水、生活垃圾</w:t>
                  </w:r>
                </w:p>
              </w:tc>
              <w:tc>
                <w:tcPr>
                  <w:tcW w:w="466" w:type="pct"/>
                  <w:shd w:val="clear" w:color="auto" w:fill="auto"/>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 w:hRule="atLeast"/>
              </w:trPr>
              <w:tc>
                <w:tcPr>
                  <w:tcW w:w="546" w:type="pct"/>
                  <w:vMerge w:val="restart"/>
                  <w:vAlign w:val="center"/>
                </w:tcPr>
                <w:p>
                  <w:pPr>
                    <w:pStyle w:val="41"/>
                  </w:pPr>
                  <w:r>
                    <w:rPr>
                      <w:rFonts w:hint="eastAsia"/>
                    </w:rPr>
                    <w:t>环保</w:t>
                  </w:r>
                </w:p>
                <w:p>
                  <w:pPr>
                    <w:pStyle w:val="41"/>
                  </w:pPr>
                  <w:r>
                    <w:t>工程</w:t>
                  </w:r>
                </w:p>
              </w:tc>
              <w:tc>
                <w:tcPr>
                  <w:tcW w:w="809" w:type="pct"/>
                  <w:shd w:val="clear" w:color="auto" w:fill="auto"/>
                  <w:vAlign w:val="center"/>
                </w:tcPr>
                <w:p>
                  <w:pPr>
                    <w:pStyle w:val="47"/>
                  </w:pPr>
                  <w:r>
                    <w:rPr>
                      <w:rFonts w:hint="eastAsia"/>
                    </w:rPr>
                    <w:t>废水治理</w:t>
                  </w:r>
                </w:p>
              </w:tc>
              <w:tc>
                <w:tcPr>
                  <w:tcW w:w="1998" w:type="pct"/>
                  <w:vAlign w:val="center"/>
                </w:tcPr>
                <w:p>
                  <w:pPr>
                    <w:pStyle w:val="47"/>
                  </w:pPr>
                  <w:r>
                    <w:rPr>
                      <w:rFonts w:hint="eastAsia"/>
                    </w:rPr>
                    <w:t>浓密池（2个，其中新增一个1000m</w:t>
                  </w:r>
                  <w:r>
                    <w:rPr>
                      <w:rFonts w:hint="eastAsia"/>
                      <w:vertAlign w:val="superscript"/>
                    </w:rPr>
                    <w:t>3</w:t>
                  </w:r>
                  <w:r>
                    <w:rPr>
                      <w:rFonts w:hint="eastAsia"/>
                    </w:rPr>
                    <w:t>）、絮凝沉淀池、清水池等，共计13个，总容积约5100m</w:t>
                  </w:r>
                  <w:r>
                    <w:rPr>
                      <w:rFonts w:hint="eastAsia"/>
                      <w:vertAlign w:val="superscript"/>
                    </w:rPr>
                    <w:t>3</w:t>
                  </w:r>
                  <w:r>
                    <w:rPr>
                      <w:rFonts w:hint="eastAsia"/>
                    </w:rPr>
                    <w:t>，</w:t>
                  </w:r>
                </w:p>
              </w:tc>
              <w:tc>
                <w:tcPr>
                  <w:tcW w:w="617" w:type="pct"/>
                  <w:vMerge w:val="continue"/>
                  <w:vAlign w:val="center"/>
                </w:tcPr>
                <w:p>
                  <w:pPr>
                    <w:pStyle w:val="47"/>
                  </w:pPr>
                </w:p>
              </w:tc>
              <w:tc>
                <w:tcPr>
                  <w:tcW w:w="564" w:type="pct"/>
                  <w:vAlign w:val="center"/>
                </w:tcPr>
                <w:p>
                  <w:pPr>
                    <w:pStyle w:val="47"/>
                  </w:pPr>
                  <w:r>
                    <w:rPr>
                      <w:rFonts w:hint="eastAsia"/>
                    </w:rPr>
                    <w:t>废水</w:t>
                  </w:r>
                </w:p>
              </w:tc>
              <w:tc>
                <w:tcPr>
                  <w:tcW w:w="466" w:type="pct"/>
                  <w:vAlign w:val="center"/>
                </w:tcPr>
                <w:p>
                  <w:pPr>
                    <w:pStyle w:val="47"/>
                  </w:pPr>
                  <w:r>
                    <w:rPr>
                      <w:rFonts w:hint="eastAsia"/>
                    </w:rPr>
                    <w:t>新增、利旧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trPr>
              <w:tc>
                <w:tcPr>
                  <w:tcW w:w="546" w:type="pct"/>
                  <w:vMerge w:val="continue"/>
                  <w:vAlign w:val="center"/>
                </w:tcPr>
                <w:p>
                  <w:pPr>
                    <w:pStyle w:val="41"/>
                  </w:pPr>
                </w:p>
              </w:tc>
              <w:tc>
                <w:tcPr>
                  <w:tcW w:w="809" w:type="pct"/>
                  <w:shd w:val="clear" w:color="auto" w:fill="auto"/>
                  <w:vAlign w:val="center"/>
                </w:tcPr>
                <w:p>
                  <w:pPr>
                    <w:pStyle w:val="47"/>
                  </w:pPr>
                  <w:r>
                    <w:rPr>
                      <w:rFonts w:hint="eastAsia"/>
                    </w:rPr>
                    <w:t>废气治理</w:t>
                  </w:r>
                </w:p>
              </w:tc>
              <w:tc>
                <w:tcPr>
                  <w:tcW w:w="1998" w:type="pct"/>
                  <w:vAlign w:val="center"/>
                </w:tcPr>
                <w:p>
                  <w:pPr>
                    <w:pStyle w:val="47"/>
                  </w:pPr>
                  <w:r>
                    <w:rPr>
                      <w:rFonts w:hint="eastAsia"/>
                    </w:rPr>
                    <w:t>烘干机废气采用布袋除尘器处理后由15m排气筒排放</w:t>
                  </w:r>
                </w:p>
              </w:tc>
              <w:tc>
                <w:tcPr>
                  <w:tcW w:w="617" w:type="pct"/>
                  <w:vMerge w:val="continue"/>
                  <w:vAlign w:val="center"/>
                </w:tcPr>
                <w:p>
                  <w:pPr>
                    <w:pStyle w:val="47"/>
                  </w:pPr>
                </w:p>
              </w:tc>
              <w:tc>
                <w:tcPr>
                  <w:tcW w:w="564" w:type="pct"/>
                  <w:vAlign w:val="center"/>
                </w:tcPr>
                <w:p>
                  <w:pPr>
                    <w:pStyle w:val="47"/>
                  </w:pPr>
                  <w:r>
                    <w:rPr>
                      <w:rFonts w:hint="eastAsia"/>
                    </w:rPr>
                    <w:t>废气</w:t>
                  </w:r>
                </w:p>
              </w:tc>
              <w:tc>
                <w:tcPr>
                  <w:tcW w:w="466" w:type="pct"/>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trPr>
              <w:tc>
                <w:tcPr>
                  <w:tcW w:w="546" w:type="pct"/>
                  <w:vMerge w:val="continue"/>
                  <w:vAlign w:val="center"/>
                </w:tcPr>
                <w:p>
                  <w:pPr>
                    <w:pStyle w:val="41"/>
                  </w:pPr>
                </w:p>
              </w:tc>
              <w:tc>
                <w:tcPr>
                  <w:tcW w:w="809" w:type="pct"/>
                  <w:shd w:val="clear" w:color="auto" w:fill="auto"/>
                  <w:vAlign w:val="center"/>
                </w:tcPr>
                <w:p>
                  <w:pPr>
                    <w:pStyle w:val="47"/>
                  </w:pPr>
                  <w:r>
                    <w:rPr>
                      <w:rFonts w:hint="eastAsia"/>
                    </w:rPr>
                    <w:t>固废治理</w:t>
                  </w:r>
                </w:p>
              </w:tc>
              <w:tc>
                <w:tcPr>
                  <w:tcW w:w="1998" w:type="pct"/>
                  <w:vAlign w:val="center"/>
                </w:tcPr>
                <w:p>
                  <w:pPr>
                    <w:pStyle w:val="47"/>
                  </w:pPr>
                  <w:r>
                    <w:rPr>
                      <w:rFonts w:hint="eastAsia"/>
                    </w:rPr>
                    <w:t>生活垃圾经垃圾桶收集后交由当地环卫部门处置；危险废物暂存于危险废物暂存间内，回用于厂区内机械设备润滑剂</w:t>
                  </w:r>
                </w:p>
              </w:tc>
              <w:tc>
                <w:tcPr>
                  <w:tcW w:w="617" w:type="pct"/>
                  <w:vMerge w:val="continue"/>
                  <w:vAlign w:val="center"/>
                </w:tcPr>
                <w:p>
                  <w:pPr>
                    <w:pStyle w:val="47"/>
                  </w:pPr>
                </w:p>
              </w:tc>
              <w:tc>
                <w:tcPr>
                  <w:tcW w:w="564" w:type="pct"/>
                  <w:vAlign w:val="center"/>
                </w:tcPr>
                <w:p>
                  <w:pPr>
                    <w:pStyle w:val="47"/>
                  </w:pPr>
                  <w:r>
                    <w:rPr>
                      <w:rFonts w:hint="eastAsia"/>
                    </w:rPr>
                    <w:t>固废</w:t>
                  </w:r>
                </w:p>
              </w:tc>
              <w:tc>
                <w:tcPr>
                  <w:tcW w:w="466" w:type="pct"/>
                  <w:vAlign w:val="center"/>
                </w:tcPr>
                <w:p>
                  <w:pPr>
                    <w:pStyle w:val="47"/>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 w:hRule="atLeast"/>
              </w:trPr>
              <w:tc>
                <w:tcPr>
                  <w:tcW w:w="546" w:type="pct"/>
                  <w:vAlign w:val="center"/>
                </w:tcPr>
                <w:p>
                  <w:pPr>
                    <w:pStyle w:val="41"/>
                  </w:pPr>
                  <w:r>
                    <w:t>备注</w:t>
                  </w:r>
                </w:p>
              </w:tc>
              <w:tc>
                <w:tcPr>
                  <w:tcW w:w="4454" w:type="pct"/>
                  <w:gridSpan w:val="5"/>
                  <w:vAlign w:val="center"/>
                </w:tcPr>
                <w:p>
                  <w:pPr>
                    <w:pStyle w:val="47"/>
                  </w:pPr>
                  <w:r>
                    <w:t>/</w:t>
                  </w:r>
                </w:p>
              </w:tc>
            </w:tr>
          </w:tbl>
          <w:p>
            <w:pPr>
              <w:pStyle w:val="37"/>
              <w:ind w:firstLine="480"/>
            </w:pPr>
            <w:r>
              <w:rPr>
                <w:rFonts w:hint="eastAsia"/>
              </w:rPr>
              <w:t>本项目为改扩建项目，根据现场调查本项目与现有工程的依托关系如下表：</w:t>
            </w:r>
          </w:p>
          <w:p>
            <w:pPr>
              <w:pStyle w:val="36"/>
            </w:pPr>
            <w:r>
              <w:rPr>
                <w:rFonts w:hint="eastAsia"/>
              </w:rPr>
              <w:t>表1-</w:t>
            </w:r>
            <w:r>
              <w:t>4</w:t>
            </w:r>
            <w:r>
              <w:rPr>
                <w:rFonts w:hint="eastAsia"/>
              </w:rPr>
              <w:t>本项目与现有工程的依托关系一览表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05"/>
              <w:gridCol w:w="1278"/>
              <w:gridCol w:w="3116"/>
              <w:gridCol w:w="2268"/>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shd w:val="clear" w:color="auto" w:fill="auto"/>
                  <w:vAlign w:val="center"/>
                </w:tcPr>
                <w:p>
                  <w:pPr>
                    <w:pStyle w:val="47"/>
                  </w:pPr>
                  <w:r>
                    <w:rPr>
                      <w:rFonts w:hint="eastAsia"/>
                    </w:rPr>
                    <w:t>序号</w:t>
                  </w:r>
                </w:p>
              </w:tc>
              <w:tc>
                <w:tcPr>
                  <w:tcW w:w="389" w:type="pct"/>
                  <w:shd w:val="clear" w:color="auto" w:fill="auto"/>
                  <w:vAlign w:val="center"/>
                </w:tcPr>
                <w:p>
                  <w:pPr>
                    <w:pStyle w:val="47"/>
                  </w:pPr>
                  <w:r>
                    <w:rPr>
                      <w:rFonts w:hint="eastAsia"/>
                    </w:rPr>
                    <w:t>工程类别</w:t>
                  </w:r>
                </w:p>
              </w:tc>
              <w:tc>
                <w:tcPr>
                  <w:tcW w:w="2424" w:type="pct"/>
                  <w:gridSpan w:val="2"/>
                  <w:shd w:val="clear" w:color="auto" w:fill="auto"/>
                  <w:vAlign w:val="center"/>
                </w:tcPr>
                <w:p>
                  <w:pPr>
                    <w:pStyle w:val="47"/>
                  </w:pPr>
                  <w:r>
                    <w:rPr>
                      <w:rFonts w:hint="eastAsia"/>
                    </w:rPr>
                    <w:t>现有工程情况</w:t>
                  </w:r>
                </w:p>
              </w:tc>
              <w:tc>
                <w:tcPr>
                  <w:tcW w:w="1251" w:type="pct"/>
                  <w:shd w:val="clear" w:color="auto" w:fill="auto"/>
                  <w:vAlign w:val="center"/>
                </w:tcPr>
                <w:p>
                  <w:pPr>
                    <w:pStyle w:val="47"/>
                  </w:pPr>
                  <w:r>
                    <w:rPr>
                      <w:rFonts w:hint="eastAsia"/>
                    </w:rPr>
                    <w:t>本项目依托情况</w:t>
                  </w:r>
                </w:p>
              </w:tc>
              <w:tc>
                <w:tcPr>
                  <w:tcW w:w="544" w:type="pct"/>
                  <w:shd w:val="clear" w:color="auto" w:fill="auto"/>
                  <w:vAlign w:val="center"/>
                </w:tcPr>
                <w:p>
                  <w:pPr>
                    <w:pStyle w:val="47"/>
                  </w:pPr>
                  <w:r>
                    <w:rPr>
                      <w:rFonts w:hint="eastAsia"/>
                    </w:rPr>
                    <w:t>可行性分析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shd w:val="clear" w:color="auto" w:fill="auto"/>
                  <w:vAlign w:val="center"/>
                </w:tcPr>
                <w:p>
                  <w:pPr>
                    <w:pStyle w:val="47"/>
                  </w:pPr>
                  <w:r>
                    <w:rPr>
                      <w:rFonts w:hint="eastAsia"/>
                    </w:rPr>
                    <w:t>1</w:t>
                  </w:r>
                </w:p>
              </w:tc>
              <w:tc>
                <w:tcPr>
                  <w:tcW w:w="389" w:type="pct"/>
                  <w:shd w:val="clear" w:color="auto" w:fill="auto"/>
                  <w:vAlign w:val="center"/>
                </w:tcPr>
                <w:p>
                  <w:pPr>
                    <w:pStyle w:val="47"/>
                  </w:pPr>
                  <w:r>
                    <w:rPr>
                      <w:rFonts w:hint="eastAsia"/>
                    </w:rPr>
                    <w:t>主体工程</w:t>
                  </w:r>
                </w:p>
              </w:tc>
              <w:tc>
                <w:tcPr>
                  <w:tcW w:w="705" w:type="pct"/>
                  <w:shd w:val="clear" w:color="auto" w:fill="auto"/>
                  <w:vAlign w:val="center"/>
                </w:tcPr>
                <w:p>
                  <w:pPr>
                    <w:pStyle w:val="47"/>
                  </w:pPr>
                  <w:r>
                    <w:rPr>
                      <w:rFonts w:hint="eastAsia"/>
                    </w:rPr>
                    <w:t>水洗生产线</w:t>
                  </w:r>
                </w:p>
              </w:tc>
              <w:tc>
                <w:tcPr>
                  <w:tcW w:w="1719" w:type="pct"/>
                  <w:shd w:val="clear" w:color="auto" w:fill="auto"/>
                  <w:vAlign w:val="center"/>
                </w:tcPr>
                <w:p>
                  <w:pPr>
                    <w:pStyle w:val="47"/>
                  </w:pPr>
                  <w:r>
                    <w:rPr>
                      <w:rFonts w:hint="eastAsia"/>
                    </w:rPr>
                    <w:t>位于厂区中部，设置有单螺旋分级机2台、脱泥斗2台</w:t>
                  </w:r>
                </w:p>
              </w:tc>
              <w:tc>
                <w:tcPr>
                  <w:tcW w:w="1251" w:type="pct"/>
                  <w:shd w:val="clear" w:color="auto" w:fill="auto"/>
                  <w:vAlign w:val="center"/>
                </w:tcPr>
                <w:p>
                  <w:pPr>
                    <w:pStyle w:val="47"/>
                  </w:pPr>
                  <w:r>
                    <w:rPr>
                      <w:rFonts w:hint="eastAsia"/>
                    </w:rPr>
                    <w:t>依托现有工程（全厂水洗产能20万吨）</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restart"/>
                  <w:shd w:val="clear" w:color="auto" w:fill="auto"/>
                  <w:vAlign w:val="center"/>
                </w:tcPr>
                <w:p>
                  <w:pPr>
                    <w:pStyle w:val="47"/>
                  </w:pPr>
                  <w:r>
                    <w:rPr>
                      <w:rFonts w:hint="eastAsia"/>
                    </w:rPr>
                    <w:t>2</w:t>
                  </w:r>
                </w:p>
              </w:tc>
              <w:tc>
                <w:tcPr>
                  <w:tcW w:w="389" w:type="pct"/>
                  <w:vMerge w:val="restart"/>
                  <w:shd w:val="clear" w:color="auto" w:fill="auto"/>
                  <w:vAlign w:val="center"/>
                </w:tcPr>
                <w:p>
                  <w:pPr>
                    <w:pStyle w:val="47"/>
                  </w:pPr>
                  <w:r>
                    <w:rPr>
                      <w:rFonts w:hint="eastAsia"/>
                    </w:rPr>
                    <w:t>辅助工程</w:t>
                  </w:r>
                </w:p>
              </w:tc>
              <w:tc>
                <w:tcPr>
                  <w:tcW w:w="705" w:type="pct"/>
                  <w:shd w:val="clear" w:color="auto" w:fill="auto"/>
                  <w:vAlign w:val="center"/>
                </w:tcPr>
                <w:p>
                  <w:pPr>
                    <w:pStyle w:val="47"/>
                  </w:pPr>
                  <w:r>
                    <w:rPr>
                      <w:rFonts w:hint="eastAsia"/>
                    </w:rPr>
                    <w:t>脱水车间</w:t>
                  </w:r>
                </w:p>
              </w:tc>
              <w:tc>
                <w:tcPr>
                  <w:tcW w:w="1719" w:type="pct"/>
                  <w:shd w:val="clear" w:color="auto" w:fill="auto"/>
                  <w:vAlign w:val="center"/>
                </w:tcPr>
                <w:p>
                  <w:pPr>
                    <w:pStyle w:val="47"/>
                  </w:pPr>
                  <w:r>
                    <w:rPr>
                      <w:rFonts w:hint="eastAsia"/>
                    </w:rPr>
                    <w:t>安装有高频振动脱水机2台、压滤机2台</w:t>
                  </w:r>
                </w:p>
              </w:tc>
              <w:tc>
                <w:tcPr>
                  <w:tcW w:w="1251" w:type="pct"/>
                  <w:shd w:val="clear" w:color="auto" w:fill="auto"/>
                  <w:vAlign w:val="center"/>
                </w:tcPr>
                <w:p>
                  <w:pPr>
                    <w:pStyle w:val="47"/>
                  </w:pPr>
                  <w:r>
                    <w:rPr>
                      <w:rFonts w:hint="eastAsia"/>
                    </w:rPr>
                    <w:t>依托现有工程脱水车间，新购置陶瓷过滤机1台、脱水机1套</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1"/>
                  </w:pPr>
                </w:p>
              </w:tc>
              <w:tc>
                <w:tcPr>
                  <w:tcW w:w="705" w:type="pct"/>
                  <w:shd w:val="clear" w:color="auto" w:fill="auto"/>
                  <w:vAlign w:val="center"/>
                </w:tcPr>
                <w:p>
                  <w:pPr>
                    <w:pStyle w:val="41"/>
                  </w:pPr>
                  <w:r>
                    <w:rPr>
                      <w:rFonts w:hint="eastAsia"/>
                    </w:rPr>
                    <w:t>原料堆场</w:t>
                  </w:r>
                </w:p>
              </w:tc>
              <w:tc>
                <w:tcPr>
                  <w:tcW w:w="1719" w:type="pct"/>
                  <w:shd w:val="clear" w:color="auto" w:fill="auto"/>
                  <w:vAlign w:val="center"/>
                </w:tcPr>
                <w:p>
                  <w:pPr>
                    <w:pStyle w:val="41"/>
                  </w:pPr>
                  <w:r>
                    <w:rPr>
                      <w:rFonts w:hint="eastAsia"/>
                    </w:rPr>
                    <w:t>位于厂区西南侧，占地面积约1000m</w:t>
                  </w:r>
                  <w:r>
                    <w:rPr>
                      <w:rFonts w:hint="eastAsia"/>
                      <w:vertAlign w:val="superscript"/>
                    </w:rPr>
                    <w:t>2</w:t>
                  </w:r>
                  <w:r>
                    <w:rPr>
                      <w:rFonts w:hint="eastAsia"/>
                    </w:rPr>
                    <w:t>，原料入口与西侧乡村道路相连</w:t>
                  </w:r>
                </w:p>
              </w:tc>
              <w:tc>
                <w:tcPr>
                  <w:tcW w:w="1251" w:type="pct"/>
                  <w:shd w:val="clear" w:color="auto" w:fill="auto"/>
                  <w:vAlign w:val="center"/>
                </w:tcPr>
                <w:p>
                  <w:pPr>
                    <w:pStyle w:val="41"/>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1"/>
                  </w:pPr>
                </w:p>
              </w:tc>
              <w:tc>
                <w:tcPr>
                  <w:tcW w:w="705" w:type="pct"/>
                  <w:shd w:val="clear" w:color="auto" w:fill="auto"/>
                  <w:vAlign w:val="center"/>
                </w:tcPr>
                <w:p>
                  <w:pPr>
                    <w:pStyle w:val="41"/>
                  </w:pPr>
                  <w:r>
                    <w:rPr>
                      <w:rFonts w:hint="eastAsia"/>
                    </w:rPr>
                    <w:t>产品堆场</w:t>
                  </w:r>
                </w:p>
              </w:tc>
              <w:tc>
                <w:tcPr>
                  <w:tcW w:w="1719" w:type="pct"/>
                  <w:shd w:val="clear" w:color="auto" w:fill="auto"/>
                  <w:vAlign w:val="center"/>
                </w:tcPr>
                <w:p>
                  <w:pPr>
                    <w:pStyle w:val="41"/>
                  </w:pPr>
                  <w:r>
                    <w:rPr>
                      <w:rFonts w:hint="eastAsia"/>
                    </w:rPr>
                    <w:t>位于厂区中部，占地面积约1000m</w:t>
                  </w:r>
                  <w:r>
                    <w:rPr>
                      <w:rFonts w:hint="eastAsia"/>
                      <w:vertAlign w:val="superscript"/>
                    </w:rPr>
                    <w:t>2</w:t>
                  </w:r>
                </w:p>
              </w:tc>
              <w:tc>
                <w:tcPr>
                  <w:tcW w:w="1251" w:type="pct"/>
                  <w:shd w:val="clear" w:color="auto" w:fill="auto"/>
                  <w:vAlign w:val="center"/>
                </w:tcPr>
                <w:p>
                  <w:pPr>
                    <w:pStyle w:val="41"/>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1"/>
                  </w:pPr>
                </w:p>
              </w:tc>
              <w:tc>
                <w:tcPr>
                  <w:tcW w:w="705" w:type="pct"/>
                  <w:shd w:val="clear" w:color="auto" w:fill="auto"/>
                  <w:vAlign w:val="center"/>
                </w:tcPr>
                <w:p>
                  <w:pPr>
                    <w:pStyle w:val="41"/>
                  </w:pPr>
                  <w:r>
                    <w:rPr>
                      <w:rFonts w:hint="eastAsia"/>
                    </w:rPr>
                    <w:t>储油罐</w:t>
                  </w:r>
                </w:p>
              </w:tc>
              <w:tc>
                <w:tcPr>
                  <w:tcW w:w="1719" w:type="pct"/>
                  <w:shd w:val="clear" w:color="auto" w:fill="auto"/>
                  <w:vAlign w:val="center"/>
                </w:tcPr>
                <w:p>
                  <w:pPr>
                    <w:pStyle w:val="41"/>
                  </w:pPr>
                  <w:r>
                    <w:rPr>
                      <w:rFonts w:hint="eastAsia"/>
                    </w:rPr>
                    <w:t>厂区内设置有2个15m</w:t>
                  </w:r>
                  <w:r>
                    <w:rPr>
                      <w:rFonts w:hint="eastAsia"/>
                      <w:vertAlign w:val="superscript"/>
                    </w:rPr>
                    <w:t>3</w:t>
                  </w:r>
                  <w:r>
                    <w:rPr>
                      <w:rFonts w:hint="eastAsia"/>
                    </w:rPr>
                    <w:t>柴油储罐，主要用于储存厂区机械使用的柴油</w:t>
                  </w:r>
                </w:p>
              </w:tc>
              <w:tc>
                <w:tcPr>
                  <w:tcW w:w="1251" w:type="pct"/>
                  <w:shd w:val="clear" w:color="auto" w:fill="auto"/>
                  <w:vAlign w:val="center"/>
                </w:tcPr>
                <w:p>
                  <w:pPr>
                    <w:pStyle w:val="41"/>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1"/>
                  </w:pPr>
                </w:p>
              </w:tc>
              <w:tc>
                <w:tcPr>
                  <w:tcW w:w="705" w:type="pct"/>
                  <w:shd w:val="clear" w:color="auto" w:fill="auto"/>
                  <w:vAlign w:val="center"/>
                </w:tcPr>
                <w:p>
                  <w:pPr>
                    <w:pStyle w:val="41"/>
                  </w:pPr>
                  <w:r>
                    <w:rPr>
                      <w:rFonts w:hint="eastAsia"/>
                    </w:rPr>
                    <w:t>烘干车间</w:t>
                  </w:r>
                </w:p>
              </w:tc>
              <w:tc>
                <w:tcPr>
                  <w:tcW w:w="1719" w:type="pct"/>
                  <w:shd w:val="clear" w:color="auto" w:fill="auto"/>
                  <w:vAlign w:val="center"/>
                </w:tcPr>
                <w:p>
                  <w:pPr>
                    <w:pStyle w:val="41"/>
                  </w:pPr>
                  <w:r>
                    <w:rPr>
                      <w:rFonts w:hint="eastAsia"/>
                    </w:rPr>
                    <w:t>位于厂区东侧，内设滚筒式烘干机1台，采用煤炭作为能源，年烘干1万吨钾长石粉</w:t>
                  </w:r>
                </w:p>
              </w:tc>
              <w:tc>
                <w:tcPr>
                  <w:tcW w:w="1251" w:type="pct"/>
                  <w:shd w:val="clear" w:color="auto" w:fill="auto"/>
                  <w:vAlign w:val="center"/>
                </w:tcPr>
                <w:p>
                  <w:pPr>
                    <w:pStyle w:val="41"/>
                  </w:pPr>
                  <w:r>
                    <w:rPr>
                      <w:rFonts w:hint="eastAsia"/>
                    </w:rPr>
                    <w:t>依托现有工程（全厂只烘干1万吨钾长石，其余均湿料出售）</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7"/>
                  </w:pPr>
                </w:p>
              </w:tc>
              <w:tc>
                <w:tcPr>
                  <w:tcW w:w="705" w:type="pct"/>
                  <w:shd w:val="clear" w:color="auto" w:fill="auto"/>
                  <w:vAlign w:val="center"/>
                </w:tcPr>
                <w:p>
                  <w:pPr>
                    <w:pStyle w:val="47"/>
                  </w:pPr>
                  <w:r>
                    <w:rPr>
                      <w:rFonts w:hint="eastAsia"/>
                    </w:rPr>
                    <w:t>车轮冲洗池</w:t>
                  </w:r>
                </w:p>
              </w:tc>
              <w:tc>
                <w:tcPr>
                  <w:tcW w:w="1719" w:type="pct"/>
                  <w:shd w:val="clear" w:color="auto" w:fill="auto"/>
                  <w:vAlign w:val="center"/>
                </w:tcPr>
                <w:p>
                  <w:pPr>
                    <w:pStyle w:val="47"/>
                  </w:pPr>
                  <w:r>
                    <w:rPr>
                      <w:rFonts w:hint="eastAsia"/>
                    </w:rPr>
                    <w:t>位于厂区北侧货车出口前</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restart"/>
                  <w:shd w:val="clear" w:color="auto" w:fill="auto"/>
                  <w:vAlign w:val="center"/>
                </w:tcPr>
                <w:p>
                  <w:pPr>
                    <w:pStyle w:val="47"/>
                  </w:pPr>
                  <w:r>
                    <w:rPr>
                      <w:rFonts w:hint="eastAsia"/>
                    </w:rPr>
                    <w:t>3</w:t>
                  </w:r>
                </w:p>
              </w:tc>
              <w:tc>
                <w:tcPr>
                  <w:tcW w:w="389" w:type="pct"/>
                  <w:vMerge w:val="restart"/>
                  <w:shd w:val="clear" w:color="auto" w:fill="auto"/>
                  <w:vAlign w:val="center"/>
                </w:tcPr>
                <w:p>
                  <w:pPr>
                    <w:pStyle w:val="47"/>
                  </w:pPr>
                  <w:r>
                    <w:rPr>
                      <w:rFonts w:hint="eastAsia"/>
                    </w:rPr>
                    <w:t>公用工程</w:t>
                  </w:r>
                </w:p>
              </w:tc>
              <w:tc>
                <w:tcPr>
                  <w:tcW w:w="705" w:type="pct"/>
                  <w:shd w:val="clear" w:color="auto" w:fill="auto"/>
                  <w:vAlign w:val="center"/>
                </w:tcPr>
                <w:p>
                  <w:pPr>
                    <w:pStyle w:val="47"/>
                  </w:pPr>
                  <w:r>
                    <w:rPr>
                      <w:rFonts w:hint="eastAsia"/>
                    </w:rPr>
                    <w:t>给水</w:t>
                  </w:r>
                </w:p>
              </w:tc>
              <w:tc>
                <w:tcPr>
                  <w:tcW w:w="1719" w:type="pct"/>
                  <w:shd w:val="clear" w:color="auto" w:fill="auto"/>
                  <w:vAlign w:val="center"/>
                </w:tcPr>
                <w:p>
                  <w:pPr>
                    <w:pStyle w:val="47"/>
                  </w:pPr>
                  <w:r>
                    <w:rPr>
                      <w:rFonts w:hint="eastAsia"/>
                    </w:rPr>
                    <w:t>生活用水取用山泉水；生产用水取用大渡河河水</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7"/>
                  </w:pPr>
                </w:p>
              </w:tc>
              <w:tc>
                <w:tcPr>
                  <w:tcW w:w="705" w:type="pct"/>
                  <w:shd w:val="clear" w:color="auto" w:fill="auto"/>
                  <w:vAlign w:val="center"/>
                </w:tcPr>
                <w:p>
                  <w:pPr>
                    <w:pStyle w:val="47"/>
                  </w:pPr>
                  <w:r>
                    <w:rPr>
                      <w:rFonts w:hint="eastAsia"/>
                    </w:rPr>
                    <w:t>排水</w:t>
                  </w:r>
                </w:p>
              </w:tc>
              <w:tc>
                <w:tcPr>
                  <w:tcW w:w="1719" w:type="pct"/>
                  <w:shd w:val="clear" w:color="auto" w:fill="auto"/>
                  <w:vAlign w:val="center"/>
                </w:tcPr>
                <w:p>
                  <w:pPr>
                    <w:pStyle w:val="47"/>
                  </w:pPr>
                  <w:r>
                    <w:rPr>
                      <w:rFonts w:hint="eastAsia"/>
                    </w:rPr>
                    <w:t>生活污水采用化粪池处理后排入乡镇污水管网</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7"/>
                  </w:pPr>
                </w:p>
              </w:tc>
              <w:tc>
                <w:tcPr>
                  <w:tcW w:w="705" w:type="pct"/>
                  <w:shd w:val="clear" w:color="auto" w:fill="auto"/>
                  <w:vAlign w:val="center"/>
                </w:tcPr>
                <w:p>
                  <w:pPr>
                    <w:pStyle w:val="47"/>
                  </w:pPr>
                  <w:r>
                    <w:rPr>
                      <w:rFonts w:hint="eastAsia"/>
                    </w:rPr>
                    <w:t>供电</w:t>
                  </w:r>
                </w:p>
              </w:tc>
              <w:tc>
                <w:tcPr>
                  <w:tcW w:w="1719" w:type="pct"/>
                  <w:shd w:val="clear" w:color="auto" w:fill="auto"/>
                  <w:vAlign w:val="center"/>
                </w:tcPr>
                <w:p>
                  <w:pPr>
                    <w:pStyle w:val="47"/>
                  </w:pPr>
                  <w:r>
                    <w:rPr>
                      <w:rFonts w:hint="eastAsia"/>
                    </w:rPr>
                    <w:t>现有工程配电室内新增200KVA干式变压器一台</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restart"/>
                  <w:shd w:val="clear" w:color="auto" w:fill="auto"/>
                  <w:vAlign w:val="center"/>
                </w:tcPr>
                <w:p>
                  <w:pPr>
                    <w:pStyle w:val="47"/>
                  </w:pPr>
                  <w:r>
                    <w:rPr>
                      <w:rFonts w:hint="eastAsia"/>
                    </w:rPr>
                    <w:t>4</w:t>
                  </w:r>
                </w:p>
              </w:tc>
              <w:tc>
                <w:tcPr>
                  <w:tcW w:w="389" w:type="pct"/>
                  <w:vMerge w:val="restart"/>
                  <w:shd w:val="clear" w:color="auto" w:fill="auto"/>
                  <w:vAlign w:val="center"/>
                </w:tcPr>
                <w:p>
                  <w:pPr>
                    <w:pStyle w:val="41"/>
                  </w:pPr>
                  <w:r>
                    <w:rPr>
                      <w:rFonts w:hint="eastAsia"/>
                    </w:rPr>
                    <w:t>环保</w:t>
                  </w:r>
                </w:p>
                <w:p>
                  <w:pPr>
                    <w:pStyle w:val="47"/>
                  </w:pPr>
                  <w:r>
                    <w:t>工程</w:t>
                  </w:r>
                </w:p>
              </w:tc>
              <w:tc>
                <w:tcPr>
                  <w:tcW w:w="705" w:type="pct"/>
                  <w:shd w:val="clear" w:color="auto" w:fill="auto"/>
                  <w:vAlign w:val="center"/>
                </w:tcPr>
                <w:p>
                  <w:pPr>
                    <w:pStyle w:val="47"/>
                  </w:pPr>
                  <w:r>
                    <w:rPr>
                      <w:rFonts w:hint="eastAsia"/>
                    </w:rPr>
                    <w:t>废水治理</w:t>
                  </w:r>
                </w:p>
              </w:tc>
              <w:tc>
                <w:tcPr>
                  <w:tcW w:w="1719" w:type="pct"/>
                  <w:shd w:val="clear" w:color="auto" w:fill="auto"/>
                  <w:vAlign w:val="center"/>
                </w:tcPr>
                <w:p>
                  <w:pPr>
                    <w:pStyle w:val="47"/>
                  </w:pPr>
                  <w:r>
                    <w:rPr>
                      <w:rFonts w:hint="eastAsia"/>
                    </w:rPr>
                    <w:t>浓密池、絮凝沉淀池、清水池等，共计13个，总容积约5100m</w:t>
                  </w:r>
                  <w:r>
                    <w:rPr>
                      <w:rFonts w:hint="eastAsia"/>
                      <w:vertAlign w:val="superscript"/>
                    </w:rPr>
                    <w:t>3</w:t>
                  </w:r>
                  <w:r>
                    <w:rPr>
                      <w:rFonts w:hint="eastAsia"/>
                    </w:rPr>
                    <w:t>，</w:t>
                  </w:r>
                </w:p>
              </w:tc>
              <w:tc>
                <w:tcPr>
                  <w:tcW w:w="1251" w:type="pct"/>
                  <w:shd w:val="clear" w:color="auto" w:fill="auto"/>
                  <w:vAlign w:val="center"/>
                </w:tcPr>
                <w:p>
                  <w:pPr>
                    <w:pStyle w:val="47"/>
                  </w:pPr>
                  <w:r>
                    <w:rPr>
                      <w:rFonts w:hint="eastAsia"/>
                    </w:rPr>
                    <w:t>浓度池新增一个1000m</w:t>
                  </w:r>
                  <w:r>
                    <w:rPr>
                      <w:rFonts w:hint="eastAsia"/>
                      <w:vertAlign w:val="superscript"/>
                    </w:rPr>
                    <w:t>3</w:t>
                  </w:r>
                  <w:r>
                    <w:rPr>
                      <w:rFonts w:hint="eastAsia"/>
                    </w:rPr>
                    <w:t>，其它依托现有工程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7"/>
                  </w:pPr>
                </w:p>
              </w:tc>
              <w:tc>
                <w:tcPr>
                  <w:tcW w:w="705" w:type="pct"/>
                  <w:shd w:val="clear" w:color="auto" w:fill="auto"/>
                  <w:vAlign w:val="center"/>
                </w:tcPr>
                <w:p>
                  <w:pPr>
                    <w:pStyle w:val="47"/>
                  </w:pPr>
                  <w:r>
                    <w:rPr>
                      <w:rFonts w:hint="eastAsia"/>
                    </w:rPr>
                    <w:t>废气治理</w:t>
                  </w:r>
                </w:p>
              </w:tc>
              <w:tc>
                <w:tcPr>
                  <w:tcW w:w="1719" w:type="pct"/>
                  <w:shd w:val="clear" w:color="auto" w:fill="auto"/>
                  <w:vAlign w:val="center"/>
                </w:tcPr>
                <w:p>
                  <w:pPr>
                    <w:pStyle w:val="47"/>
                  </w:pPr>
                  <w:r>
                    <w:rPr>
                      <w:rFonts w:hint="eastAsia"/>
                    </w:rPr>
                    <w:t>烘干机废气采用布袋除尘器处理后由15m排气筒排放</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pct"/>
                  <w:vMerge w:val="continue"/>
                  <w:shd w:val="clear" w:color="auto" w:fill="auto"/>
                  <w:vAlign w:val="center"/>
                </w:tcPr>
                <w:p>
                  <w:pPr>
                    <w:pStyle w:val="47"/>
                  </w:pPr>
                </w:p>
              </w:tc>
              <w:tc>
                <w:tcPr>
                  <w:tcW w:w="389" w:type="pct"/>
                  <w:vMerge w:val="continue"/>
                  <w:shd w:val="clear" w:color="auto" w:fill="auto"/>
                  <w:vAlign w:val="center"/>
                </w:tcPr>
                <w:p>
                  <w:pPr>
                    <w:pStyle w:val="47"/>
                  </w:pPr>
                </w:p>
              </w:tc>
              <w:tc>
                <w:tcPr>
                  <w:tcW w:w="705" w:type="pct"/>
                  <w:shd w:val="clear" w:color="auto" w:fill="auto"/>
                  <w:vAlign w:val="center"/>
                </w:tcPr>
                <w:p>
                  <w:pPr>
                    <w:pStyle w:val="47"/>
                  </w:pPr>
                  <w:r>
                    <w:rPr>
                      <w:rFonts w:hint="eastAsia"/>
                    </w:rPr>
                    <w:t>固废治理</w:t>
                  </w:r>
                </w:p>
              </w:tc>
              <w:tc>
                <w:tcPr>
                  <w:tcW w:w="1719" w:type="pct"/>
                  <w:shd w:val="clear" w:color="auto" w:fill="auto"/>
                  <w:vAlign w:val="center"/>
                </w:tcPr>
                <w:p>
                  <w:pPr>
                    <w:pStyle w:val="47"/>
                  </w:pPr>
                  <w:r>
                    <w:rPr>
                      <w:rFonts w:hint="eastAsia"/>
                    </w:rPr>
                    <w:t>生活垃圾经垃圾桶收集后交由当地环卫部门处置；危险废物暂存于危险废物暂存间内，回用于厂区内机械设备润滑剂</w:t>
                  </w:r>
                </w:p>
              </w:tc>
              <w:tc>
                <w:tcPr>
                  <w:tcW w:w="1251" w:type="pct"/>
                  <w:shd w:val="clear" w:color="auto" w:fill="auto"/>
                  <w:vAlign w:val="center"/>
                </w:tcPr>
                <w:p>
                  <w:pPr>
                    <w:pStyle w:val="47"/>
                  </w:pPr>
                  <w:r>
                    <w:rPr>
                      <w:rFonts w:hint="eastAsia"/>
                    </w:rPr>
                    <w:t>依托现有工程</w:t>
                  </w:r>
                </w:p>
              </w:tc>
              <w:tc>
                <w:tcPr>
                  <w:tcW w:w="544" w:type="pct"/>
                  <w:shd w:val="clear" w:color="auto" w:fill="auto"/>
                  <w:vAlign w:val="center"/>
                </w:tcPr>
                <w:p>
                  <w:pPr>
                    <w:pStyle w:val="47"/>
                  </w:pPr>
                  <w:r>
                    <w:rPr>
                      <w:rFonts w:hint="eastAsia"/>
                    </w:rPr>
                    <w:t>可行</w:t>
                  </w:r>
                </w:p>
              </w:tc>
            </w:tr>
          </w:tbl>
          <w:p>
            <w:pPr>
              <w:pStyle w:val="4"/>
              <w:ind w:firstLine="482"/>
            </w:pPr>
            <w:r>
              <w:rPr>
                <w:rFonts w:hint="eastAsia" w:hAnsi="SimSun"/>
              </w:rPr>
              <w:t>四、主要原辅材料及</w:t>
            </w:r>
            <w:r>
              <w:rPr>
                <w:rFonts w:hint="eastAsia"/>
              </w:rPr>
              <w:t>主要设施规格、数量</w:t>
            </w:r>
          </w:p>
          <w:p>
            <w:pPr>
              <w:pStyle w:val="37"/>
              <w:ind w:firstLine="480"/>
            </w:pPr>
            <w:r>
              <w:rPr>
                <w:rFonts w:hint="eastAsia"/>
              </w:rPr>
              <w:t>1、主要原（辅）料</w:t>
            </w:r>
          </w:p>
          <w:p>
            <w:pPr>
              <w:pStyle w:val="36"/>
            </w:pPr>
            <w:r>
              <w:rPr>
                <w:rFonts w:hint="eastAsia"/>
              </w:rPr>
              <w:t>表1-</w:t>
            </w:r>
            <w:r>
              <w:t>5</w:t>
            </w:r>
            <w:r>
              <w:rPr>
                <w:rFonts w:hint="eastAsia"/>
              </w:rPr>
              <w:t>主要原（辅）材料及能耗表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928"/>
              <w:gridCol w:w="1945"/>
              <w:gridCol w:w="2646"/>
              <w:gridCol w:w="1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trPr>
              <w:tc>
                <w:tcPr>
                  <w:tcW w:w="542" w:type="pct"/>
                  <w:vAlign w:val="center"/>
                </w:tcPr>
                <w:p>
                  <w:pPr>
                    <w:pStyle w:val="41"/>
                  </w:pPr>
                  <w:r>
                    <w:rPr>
                      <w:rFonts w:hint="eastAsia"/>
                    </w:rPr>
                    <w:t>类别</w:t>
                  </w:r>
                </w:p>
              </w:tc>
              <w:tc>
                <w:tcPr>
                  <w:tcW w:w="1064" w:type="pct"/>
                  <w:vAlign w:val="center"/>
                </w:tcPr>
                <w:p>
                  <w:pPr>
                    <w:pStyle w:val="41"/>
                  </w:pPr>
                  <w:r>
                    <w:rPr>
                      <w:rFonts w:hAnsi="SimSun"/>
                    </w:rPr>
                    <w:t>名称</w:t>
                  </w:r>
                </w:p>
              </w:tc>
              <w:tc>
                <w:tcPr>
                  <w:tcW w:w="1073" w:type="pct"/>
                  <w:vAlign w:val="center"/>
                </w:tcPr>
                <w:p>
                  <w:pPr>
                    <w:pStyle w:val="41"/>
                  </w:pPr>
                  <w:r>
                    <w:rPr>
                      <w:rFonts w:hint="eastAsia" w:hAnsi="SimSun"/>
                    </w:rPr>
                    <w:t>消耗量</w:t>
                  </w:r>
                </w:p>
              </w:tc>
              <w:tc>
                <w:tcPr>
                  <w:tcW w:w="1460" w:type="pct"/>
                  <w:vAlign w:val="center"/>
                </w:tcPr>
                <w:p>
                  <w:pPr>
                    <w:pStyle w:val="41"/>
                  </w:pPr>
                  <w:r>
                    <w:rPr>
                      <w:rFonts w:hAnsi="SimSun"/>
                    </w:rPr>
                    <w:t>来源</w:t>
                  </w:r>
                </w:p>
              </w:tc>
              <w:tc>
                <w:tcPr>
                  <w:tcW w:w="861" w:type="pct"/>
                  <w:vAlign w:val="center"/>
                </w:tcPr>
                <w:p>
                  <w:pPr>
                    <w:pStyle w:val="41"/>
                  </w:pPr>
                  <w:r>
                    <w:rPr>
                      <w:rFonts w:hint="eastAsia" w:hAnsi="SimSu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542" w:type="pct"/>
                  <w:vMerge w:val="restart"/>
                  <w:vAlign w:val="center"/>
                </w:tcPr>
                <w:p>
                  <w:pPr>
                    <w:pStyle w:val="41"/>
                  </w:pPr>
                  <w:r>
                    <w:rPr>
                      <w:rFonts w:hAnsi="SimSun"/>
                    </w:rPr>
                    <w:t>原料</w:t>
                  </w:r>
                </w:p>
              </w:tc>
              <w:tc>
                <w:tcPr>
                  <w:tcW w:w="1064" w:type="pct"/>
                  <w:shd w:val="clear" w:color="auto" w:fill="auto"/>
                  <w:vAlign w:val="center"/>
                </w:tcPr>
                <w:p>
                  <w:pPr>
                    <w:pStyle w:val="41"/>
                  </w:pPr>
                  <w:r>
                    <w:rPr>
                      <w:rFonts w:hint="eastAsia"/>
                    </w:rPr>
                    <w:t>钾长石头矿、钾长石二沙</w:t>
                  </w:r>
                </w:p>
              </w:tc>
              <w:tc>
                <w:tcPr>
                  <w:tcW w:w="1073" w:type="pct"/>
                  <w:shd w:val="clear" w:color="auto" w:fill="auto"/>
                  <w:vAlign w:val="center"/>
                </w:tcPr>
                <w:p>
                  <w:pPr>
                    <w:pStyle w:val="41"/>
                  </w:pPr>
                  <w:r>
                    <w:t>5.59</w:t>
                  </w:r>
                  <w:r>
                    <w:rPr>
                      <w:rFonts w:hint="eastAsia"/>
                    </w:rPr>
                    <w:t>万t/a</w:t>
                  </w:r>
                </w:p>
              </w:tc>
              <w:tc>
                <w:tcPr>
                  <w:tcW w:w="1460" w:type="pct"/>
                  <w:shd w:val="clear" w:color="auto" w:fill="auto"/>
                  <w:vAlign w:val="center"/>
                </w:tcPr>
                <w:p>
                  <w:pPr>
                    <w:pStyle w:val="41"/>
                  </w:pPr>
                  <w:r>
                    <w:rPr>
                      <w:rFonts w:hint="eastAsia"/>
                    </w:rPr>
                    <w:t>峨边当地钾长石矿</w:t>
                  </w:r>
                </w:p>
              </w:tc>
              <w:tc>
                <w:tcPr>
                  <w:tcW w:w="861" w:type="pct"/>
                  <w:shd w:val="clear" w:color="auto" w:fill="auto"/>
                  <w:vAlign w:val="center"/>
                </w:tcPr>
                <w:p>
                  <w:pPr>
                    <w:pStyle w:val="41"/>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trPr>
              <w:tc>
                <w:tcPr>
                  <w:tcW w:w="542" w:type="pct"/>
                  <w:vMerge w:val="continue"/>
                  <w:vAlign w:val="center"/>
                </w:tcPr>
                <w:p>
                  <w:pPr>
                    <w:pStyle w:val="41"/>
                    <w:rPr>
                      <w:rFonts w:hAnsi="SimSun"/>
                    </w:rPr>
                  </w:pPr>
                </w:p>
              </w:tc>
              <w:tc>
                <w:tcPr>
                  <w:tcW w:w="1064" w:type="pct"/>
                  <w:shd w:val="clear" w:color="auto" w:fill="auto"/>
                  <w:vAlign w:val="center"/>
                </w:tcPr>
                <w:p>
                  <w:pPr>
                    <w:pStyle w:val="41"/>
                  </w:pPr>
                  <w:r>
                    <w:rPr>
                      <w:rFonts w:hint="eastAsia"/>
                    </w:rPr>
                    <w:t>絮凝剂</w:t>
                  </w:r>
                </w:p>
              </w:tc>
              <w:tc>
                <w:tcPr>
                  <w:tcW w:w="1073" w:type="pct"/>
                  <w:shd w:val="clear" w:color="auto" w:fill="auto"/>
                  <w:vAlign w:val="center"/>
                </w:tcPr>
                <w:p>
                  <w:pPr>
                    <w:pStyle w:val="41"/>
                  </w:pPr>
                  <w:r>
                    <w:rPr>
                      <w:rFonts w:hint="eastAsia"/>
                    </w:rPr>
                    <w:t>9t/a</w:t>
                  </w:r>
                </w:p>
              </w:tc>
              <w:tc>
                <w:tcPr>
                  <w:tcW w:w="1460" w:type="pct"/>
                  <w:shd w:val="clear" w:color="auto" w:fill="auto"/>
                  <w:vAlign w:val="center"/>
                </w:tcPr>
                <w:p>
                  <w:pPr>
                    <w:pStyle w:val="41"/>
                  </w:pPr>
                  <w:r>
                    <w:rPr>
                      <w:rFonts w:hint="eastAsia"/>
                    </w:rPr>
                    <w:t>市场购买</w:t>
                  </w:r>
                </w:p>
              </w:tc>
              <w:tc>
                <w:tcPr>
                  <w:tcW w:w="861" w:type="pct"/>
                  <w:shd w:val="clear" w:color="auto" w:fill="auto"/>
                  <w:vAlign w:val="center"/>
                </w:tcPr>
                <w:p>
                  <w:pPr>
                    <w:pStyle w:val="41"/>
                  </w:pPr>
                  <w:r>
                    <w:rPr>
                      <w:rFonts w:hint="eastAsia"/>
                    </w:rPr>
                    <w:t>聚丙烯酰胺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542" w:type="pct"/>
                  <w:vMerge w:val="restart"/>
                  <w:vAlign w:val="center"/>
                </w:tcPr>
                <w:p>
                  <w:pPr>
                    <w:pStyle w:val="41"/>
                  </w:pPr>
                  <w:r>
                    <w:rPr>
                      <w:rFonts w:hAnsi="SimSun"/>
                    </w:rPr>
                    <w:t>能源</w:t>
                  </w:r>
                </w:p>
              </w:tc>
              <w:tc>
                <w:tcPr>
                  <w:tcW w:w="1064" w:type="pct"/>
                  <w:vAlign w:val="center"/>
                </w:tcPr>
                <w:p>
                  <w:pPr>
                    <w:pStyle w:val="41"/>
                  </w:pPr>
                  <w:r>
                    <w:rPr>
                      <w:rFonts w:hAnsi="SimSun"/>
                    </w:rPr>
                    <w:t>电</w:t>
                  </w:r>
                </w:p>
              </w:tc>
              <w:tc>
                <w:tcPr>
                  <w:tcW w:w="1073" w:type="pct"/>
                  <w:vAlign w:val="center"/>
                </w:tcPr>
                <w:p>
                  <w:pPr>
                    <w:pStyle w:val="41"/>
                  </w:pPr>
                  <w:r>
                    <w:rPr>
                      <w:rFonts w:hint="eastAsia"/>
                    </w:rPr>
                    <w:t>1500</w:t>
                  </w:r>
                  <w:r>
                    <w:rPr>
                      <w:rFonts w:hAnsi="SimSun"/>
                    </w:rPr>
                    <w:t>度</w:t>
                  </w:r>
                  <w:r>
                    <w:rPr>
                      <w:rFonts w:hint="eastAsia" w:hAnsi="SimSun"/>
                    </w:rPr>
                    <w:t>/a</w:t>
                  </w:r>
                </w:p>
              </w:tc>
              <w:tc>
                <w:tcPr>
                  <w:tcW w:w="1460" w:type="pct"/>
                  <w:vAlign w:val="center"/>
                </w:tcPr>
                <w:p>
                  <w:pPr>
                    <w:pStyle w:val="41"/>
                  </w:pPr>
                  <w:r>
                    <w:rPr>
                      <w:rFonts w:hint="eastAsia" w:hAnsi="SimSun"/>
                    </w:rPr>
                    <w:t>城镇电网供给</w:t>
                  </w:r>
                </w:p>
              </w:tc>
              <w:tc>
                <w:tcPr>
                  <w:tcW w:w="861" w:type="pct"/>
                  <w:vAlign w:val="center"/>
                </w:tcPr>
                <w:p>
                  <w:pPr>
                    <w:pStyle w:val="41"/>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trPr>
              <w:tc>
                <w:tcPr>
                  <w:tcW w:w="542" w:type="pct"/>
                  <w:vMerge w:val="continue"/>
                  <w:vAlign w:val="center"/>
                </w:tcPr>
                <w:p>
                  <w:pPr>
                    <w:pStyle w:val="41"/>
                    <w:rPr>
                      <w:rFonts w:hAnsi="SimSun"/>
                    </w:rPr>
                  </w:pPr>
                </w:p>
              </w:tc>
              <w:tc>
                <w:tcPr>
                  <w:tcW w:w="1064" w:type="pct"/>
                  <w:vAlign w:val="center"/>
                </w:tcPr>
                <w:p>
                  <w:pPr>
                    <w:pStyle w:val="41"/>
                    <w:rPr>
                      <w:rFonts w:hAnsi="SimSun"/>
                    </w:rPr>
                  </w:pPr>
                  <w:r>
                    <w:rPr>
                      <w:rFonts w:hAnsi="SimSun"/>
                    </w:rPr>
                    <w:t>水</w:t>
                  </w:r>
                </w:p>
              </w:tc>
              <w:tc>
                <w:tcPr>
                  <w:tcW w:w="1073" w:type="pct"/>
                  <w:vAlign w:val="center"/>
                </w:tcPr>
                <w:p>
                  <w:pPr>
                    <w:pStyle w:val="41"/>
                  </w:pPr>
                  <w:r>
                    <w:rPr>
                      <w:rFonts w:hint="eastAsia"/>
                    </w:rPr>
                    <w:t>5万</w:t>
                  </w:r>
                  <w:r>
                    <w:t>m</w:t>
                  </w:r>
                  <w:r>
                    <w:rPr>
                      <w:vertAlign w:val="superscript"/>
                    </w:rPr>
                    <w:t>3</w:t>
                  </w:r>
                  <w:r>
                    <w:rPr>
                      <w:rFonts w:hint="eastAsia"/>
                    </w:rPr>
                    <w:t>/a</w:t>
                  </w:r>
                </w:p>
              </w:tc>
              <w:tc>
                <w:tcPr>
                  <w:tcW w:w="1460" w:type="pct"/>
                  <w:vAlign w:val="center"/>
                </w:tcPr>
                <w:p>
                  <w:pPr>
                    <w:pStyle w:val="41"/>
                    <w:rPr>
                      <w:rFonts w:hAnsi="SimSun"/>
                    </w:rPr>
                  </w:pPr>
                  <w:r>
                    <w:rPr>
                      <w:rFonts w:hint="eastAsia" w:hAnsi="SimSun"/>
                    </w:rPr>
                    <w:t>工业：大渡河河水</w:t>
                  </w:r>
                </w:p>
                <w:p>
                  <w:pPr>
                    <w:pStyle w:val="41"/>
                    <w:rPr>
                      <w:rFonts w:hAnsi="SimSun"/>
                    </w:rPr>
                  </w:pPr>
                  <w:r>
                    <w:rPr>
                      <w:rFonts w:hint="eastAsia" w:hAnsi="SimSun"/>
                    </w:rPr>
                    <w:t>生活：山泉水</w:t>
                  </w:r>
                </w:p>
              </w:tc>
              <w:tc>
                <w:tcPr>
                  <w:tcW w:w="861" w:type="pct"/>
                  <w:vAlign w:val="center"/>
                </w:tcPr>
                <w:p>
                  <w:pPr>
                    <w:pStyle w:val="41"/>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exact"/>
              </w:trPr>
              <w:tc>
                <w:tcPr>
                  <w:tcW w:w="542" w:type="pct"/>
                  <w:vMerge w:val="continue"/>
                  <w:vAlign w:val="center"/>
                </w:tcPr>
                <w:p>
                  <w:pPr>
                    <w:pStyle w:val="41"/>
                  </w:pPr>
                </w:p>
              </w:tc>
              <w:tc>
                <w:tcPr>
                  <w:tcW w:w="1064" w:type="pct"/>
                  <w:vAlign w:val="center"/>
                </w:tcPr>
                <w:p>
                  <w:pPr>
                    <w:pStyle w:val="41"/>
                  </w:pPr>
                  <w:r>
                    <w:rPr>
                      <w:rFonts w:hint="eastAsia"/>
                    </w:rPr>
                    <w:t>柴油</w:t>
                  </w:r>
                </w:p>
              </w:tc>
              <w:tc>
                <w:tcPr>
                  <w:tcW w:w="1073" w:type="pct"/>
                  <w:vAlign w:val="center"/>
                </w:tcPr>
                <w:p>
                  <w:pPr>
                    <w:pStyle w:val="41"/>
                  </w:pPr>
                  <w:r>
                    <w:rPr>
                      <w:rFonts w:hint="eastAsia"/>
                    </w:rPr>
                    <w:t>50t/a</w:t>
                  </w:r>
                </w:p>
              </w:tc>
              <w:tc>
                <w:tcPr>
                  <w:tcW w:w="1460" w:type="pct"/>
                  <w:vAlign w:val="center"/>
                </w:tcPr>
                <w:p>
                  <w:pPr>
                    <w:pStyle w:val="41"/>
                  </w:pPr>
                  <w:r>
                    <w:rPr>
                      <w:rFonts w:hint="eastAsia"/>
                    </w:rPr>
                    <w:t>加油站</w:t>
                  </w:r>
                </w:p>
              </w:tc>
              <w:tc>
                <w:tcPr>
                  <w:tcW w:w="861" w:type="pct"/>
                  <w:vAlign w:val="center"/>
                </w:tcPr>
                <w:p>
                  <w:pPr>
                    <w:pStyle w:val="41"/>
                  </w:pPr>
                  <w:r>
                    <w:t>/</w:t>
                  </w:r>
                </w:p>
              </w:tc>
            </w:tr>
          </w:tbl>
          <w:p>
            <w:pPr>
              <w:pStyle w:val="37"/>
              <w:ind w:firstLine="480"/>
            </w:pPr>
            <w:r>
              <w:rPr>
                <w:rFonts w:hint="eastAsia"/>
              </w:rPr>
              <w:t>本项目使用的原料为在矿山洗选破碎后的钾长石矿石，矿石粒径为3~8mm，根据本项目原料矿石的监测报告，本项目原料矿石化学指标如下表所示：</w:t>
            </w:r>
          </w:p>
          <w:p>
            <w:pPr>
              <w:pStyle w:val="54"/>
            </w:pPr>
            <w:r>
              <w:rPr>
                <w:rFonts w:hint="eastAsia"/>
              </w:rPr>
              <w:t>表1-</w:t>
            </w:r>
            <w:r>
              <w:t>6</w:t>
            </w:r>
            <w:r>
              <w:rPr>
                <w:rFonts w:hint="eastAsia"/>
              </w:rPr>
              <w:t>本项目原料钾长石矿石成分表单位：%</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896"/>
              <w:gridCol w:w="934"/>
              <w:gridCol w:w="934"/>
              <w:gridCol w:w="803"/>
              <w:gridCol w:w="781"/>
              <w:gridCol w:w="859"/>
              <w:gridCol w:w="767"/>
              <w:gridCol w:w="888"/>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pct"/>
                  <w:shd w:val="clear" w:color="auto" w:fill="auto"/>
                </w:tcPr>
                <w:p>
                  <w:pPr>
                    <w:pStyle w:val="47"/>
                  </w:pPr>
                  <w:r>
                    <w:rPr>
                      <w:rFonts w:hint="eastAsia"/>
                    </w:rPr>
                    <w:t>分析项</w:t>
                  </w:r>
                </w:p>
              </w:tc>
              <w:tc>
                <w:tcPr>
                  <w:tcW w:w="494" w:type="pct"/>
                  <w:shd w:val="clear" w:color="auto" w:fill="auto"/>
                </w:tcPr>
                <w:p>
                  <w:pPr>
                    <w:pStyle w:val="47"/>
                  </w:pPr>
                  <w:r>
                    <w:rPr>
                      <w:rFonts w:hint="eastAsia"/>
                    </w:rPr>
                    <w:t>SiO</w:t>
                  </w:r>
                  <w:r>
                    <w:rPr>
                      <w:rFonts w:hint="eastAsia"/>
                      <w:vertAlign w:val="subscript"/>
                    </w:rPr>
                    <w:t>2</w:t>
                  </w:r>
                </w:p>
              </w:tc>
              <w:tc>
                <w:tcPr>
                  <w:tcW w:w="515" w:type="pct"/>
                  <w:shd w:val="clear" w:color="auto" w:fill="auto"/>
                </w:tcPr>
                <w:p>
                  <w:pPr>
                    <w:pStyle w:val="47"/>
                  </w:pPr>
                  <w:r>
                    <w:rPr>
                      <w:rFonts w:hint="eastAsia"/>
                    </w:rPr>
                    <w:t>Al</w:t>
                  </w:r>
                  <w:r>
                    <w:rPr>
                      <w:rFonts w:hint="eastAsia"/>
                      <w:vertAlign w:val="subscript"/>
                    </w:rPr>
                    <w:t>2</w:t>
                  </w:r>
                  <w:r>
                    <w:rPr>
                      <w:rFonts w:hint="eastAsia"/>
                    </w:rPr>
                    <w:t>O</w:t>
                  </w:r>
                  <w:r>
                    <w:rPr>
                      <w:rFonts w:hint="eastAsia"/>
                      <w:vertAlign w:val="subscript"/>
                    </w:rPr>
                    <w:t>3</w:t>
                  </w:r>
                </w:p>
              </w:tc>
              <w:tc>
                <w:tcPr>
                  <w:tcW w:w="515" w:type="pct"/>
                  <w:shd w:val="clear" w:color="auto" w:fill="auto"/>
                </w:tcPr>
                <w:p>
                  <w:pPr>
                    <w:pStyle w:val="47"/>
                  </w:pPr>
                  <w:r>
                    <w:rPr>
                      <w:rFonts w:hint="eastAsia"/>
                    </w:rPr>
                    <w:t>Fe</w:t>
                  </w:r>
                  <w:r>
                    <w:rPr>
                      <w:rFonts w:hint="eastAsia"/>
                      <w:vertAlign w:val="subscript"/>
                    </w:rPr>
                    <w:t>2</w:t>
                  </w:r>
                  <w:r>
                    <w:rPr>
                      <w:rFonts w:hint="eastAsia"/>
                    </w:rPr>
                    <w:t>O</w:t>
                  </w:r>
                  <w:r>
                    <w:rPr>
                      <w:rFonts w:hint="eastAsia"/>
                      <w:vertAlign w:val="subscript"/>
                    </w:rPr>
                    <w:t>3</w:t>
                  </w:r>
                </w:p>
              </w:tc>
              <w:tc>
                <w:tcPr>
                  <w:tcW w:w="443" w:type="pct"/>
                  <w:shd w:val="clear" w:color="auto" w:fill="auto"/>
                </w:tcPr>
                <w:p>
                  <w:pPr>
                    <w:pStyle w:val="47"/>
                  </w:pPr>
                  <w:r>
                    <w:rPr>
                      <w:rFonts w:hint="eastAsia"/>
                    </w:rPr>
                    <w:t>TiO</w:t>
                  </w:r>
                  <w:r>
                    <w:rPr>
                      <w:rFonts w:hint="eastAsia"/>
                      <w:vertAlign w:val="subscript"/>
                    </w:rPr>
                    <w:t>2</w:t>
                  </w:r>
                </w:p>
              </w:tc>
              <w:tc>
                <w:tcPr>
                  <w:tcW w:w="431" w:type="pct"/>
                  <w:shd w:val="clear" w:color="auto" w:fill="auto"/>
                </w:tcPr>
                <w:p>
                  <w:pPr>
                    <w:pStyle w:val="47"/>
                  </w:pPr>
                  <w:r>
                    <w:rPr>
                      <w:rFonts w:hint="eastAsia"/>
                    </w:rPr>
                    <w:t>CaO</w:t>
                  </w:r>
                </w:p>
              </w:tc>
              <w:tc>
                <w:tcPr>
                  <w:tcW w:w="474" w:type="pct"/>
                  <w:shd w:val="clear" w:color="auto" w:fill="auto"/>
                </w:tcPr>
                <w:p>
                  <w:pPr>
                    <w:pStyle w:val="47"/>
                  </w:pPr>
                  <w:r>
                    <w:rPr>
                      <w:rFonts w:hint="eastAsia"/>
                    </w:rPr>
                    <w:t>MgO</w:t>
                  </w:r>
                </w:p>
              </w:tc>
              <w:tc>
                <w:tcPr>
                  <w:tcW w:w="423" w:type="pct"/>
                  <w:shd w:val="clear" w:color="auto" w:fill="auto"/>
                </w:tcPr>
                <w:p>
                  <w:pPr>
                    <w:pStyle w:val="47"/>
                  </w:pPr>
                  <w:r>
                    <w:rPr>
                      <w:rFonts w:hint="eastAsia"/>
                    </w:rPr>
                    <w:t>K</w:t>
                  </w:r>
                  <w:r>
                    <w:rPr>
                      <w:rFonts w:hint="eastAsia"/>
                      <w:vertAlign w:val="subscript"/>
                    </w:rPr>
                    <w:t>2</w:t>
                  </w:r>
                  <w:r>
                    <w:rPr>
                      <w:rFonts w:hint="eastAsia"/>
                    </w:rPr>
                    <w:t>O</w:t>
                  </w:r>
                </w:p>
              </w:tc>
              <w:tc>
                <w:tcPr>
                  <w:tcW w:w="490" w:type="pct"/>
                  <w:shd w:val="clear" w:color="auto" w:fill="auto"/>
                </w:tcPr>
                <w:p>
                  <w:pPr>
                    <w:pStyle w:val="47"/>
                  </w:pPr>
                  <w:r>
                    <w:rPr>
                      <w:rFonts w:hint="eastAsia"/>
                    </w:rPr>
                    <w:t>Na</w:t>
                  </w:r>
                  <w:r>
                    <w:rPr>
                      <w:rFonts w:hint="eastAsia"/>
                      <w:vertAlign w:val="subscript"/>
                    </w:rPr>
                    <w:t>2</w:t>
                  </w:r>
                  <w:r>
                    <w:rPr>
                      <w:rFonts w:hint="eastAsia"/>
                    </w:rPr>
                    <w:t>O</w:t>
                  </w:r>
                </w:p>
              </w:tc>
              <w:tc>
                <w:tcPr>
                  <w:tcW w:w="607" w:type="pct"/>
                  <w:shd w:val="clear" w:color="auto" w:fill="auto"/>
                </w:tcPr>
                <w:p>
                  <w:pPr>
                    <w:pStyle w:val="47"/>
                  </w:pPr>
                  <w:r>
                    <w:rPr>
                      <w:rFonts w:hint="eastAsia"/>
                    </w:rPr>
                    <w:t>烧失量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pct"/>
                  <w:shd w:val="clear" w:color="auto" w:fill="auto"/>
                </w:tcPr>
                <w:p>
                  <w:pPr>
                    <w:pStyle w:val="47"/>
                  </w:pPr>
                  <w:r>
                    <w:rPr>
                      <w:rFonts w:hint="eastAsia"/>
                    </w:rPr>
                    <w:t>长石</w:t>
                  </w:r>
                </w:p>
              </w:tc>
              <w:tc>
                <w:tcPr>
                  <w:tcW w:w="494" w:type="pct"/>
                  <w:shd w:val="clear" w:color="auto" w:fill="auto"/>
                </w:tcPr>
                <w:p>
                  <w:pPr>
                    <w:pStyle w:val="47"/>
                  </w:pPr>
                  <w:r>
                    <w:rPr>
                      <w:rFonts w:hint="eastAsia"/>
                    </w:rPr>
                    <w:t>73.25</w:t>
                  </w:r>
                </w:p>
              </w:tc>
              <w:tc>
                <w:tcPr>
                  <w:tcW w:w="515" w:type="pct"/>
                  <w:shd w:val="clear" w:color="auto" w:fill="auto"/>
                </w:tcPr>
                <w:p>
                  <w:pPr>
                    <w:pStyle w:val="47"/>
                  </w:pPr>
                  <w:r>
                    <w:rPr>
                      <w:rFonts w:hint="eastAsia"/>
                    </w:rPr>
                    <w:t>14.89</w:t>
                  </w:r>
                </w:p>
              </w:tc>
              <w:tc>
                <w:tcPr>
                  <w:tcW w:w="515" w:type="pct"/>
                  <w:shd w:val="clear" w:color="auto" w:fill="auto"/>
                </w:tcPr>
                <w:p>
                  <w:pPr>
                    <w:pStyle w:val="47"/>
                  </w:pPr>
                  <w:r>
                    <w:rPr>
                      <w:rFonts w:hint="eastAsia"/>
                    </w:rPr>
                    <w:t>0.13</w:t>
                  </w:r>
                </w:p>
              </w:tc>
              <w:tc>
                <w:tcPr>
                  <w:tcW w:w="443" w:type="pct"/>
                  <w:shd w:val="clear" w:color="auto" w:fill="auto"/>
                </w:tcPr>
                <w:p>
                  <w:pPr>
                    <w:pStyle w:val="47"/>
                  </w:pPr>
                  <w:r>
                    <w:rPr>
                      <w:rFonts w:hint="eastAsia"/>
                    </w:rPr>
                    <w:t>0.02</w:t>
                  </w:r>
                </w:p>
              </w:tc>
              <w:tc>
                <w:tcPr>
                  <w:tcW w:w="431" w:type="pct"/>
                  <w:shd w:val="clear" w:color="auto" w:fill="auto"/>
                </w:tcPr>
                <w:p>
                  <w:pPr>
                    <w:pStyle w:val="47"/>
                  </w:pPr>
                  <w:r>
                    <w:rPr>
                      <w:rFonts w:hint="eastAsia"/>
                    </w:rPr>
                    <w:t>0.28</w:t>
                  </w:r>
                </w:p>
              </w:tc>
              <w:tc>
                <w:tcPr>
                  <w:tcW w:w="474" w:type="pct"/>
                  <w:shd w:val="clear" w:color="auto" w:fill="auto"/>
                </w:tcPr>
                <w:p>
                  <w:pPr>
                    <w:pStyle w:val="47"/>
                  </w:pPr>
                  <w:r>
                    <w:rPr>
                      <w:rFonts w:hint="eastAsia"/>
                    </w:rPr>
                    <w:t>0.17</w:t>
                  </w:r>
                </w:p>
              </w:tc>
              <w:tc>
                <w:tcPr>
                  <w:tcW w:w="423" w:type="pct"/>
                  <w:shd w:val="clear" w:color="auto" w:fill="auto"/>
                </w:tcPr>
                <w:p>
                  <w:pPr>
                    <w:pStyle w:val="47"/>
                  </w:pPr>
                  <w:r>
                    <w:rPr>
                      <w:rFonts w:hint="eastAsia"/>
                    </w:rPr>
                    <w:t>7.32</w:t>
                  </w:r>
                </w:p>
              </w:tc>
              <w:tc>
                <w:tcPr>
                  <w:tcW w:w="490" w:type="pct"/>
                  <w:shd w:val="clear" w:color="auto" w:fill="auto"/>
                </w:tcPr>
                <w:p>
                  <w:pPr>
                    <w:pStyle w:val="47"/>
                  </w:pPr>
                  <w:r>
                    <w:rPr>
                      <w:rFonts w:hint="eastAsia"/>
                    </w:rPr>
                    <w:t>2.91</w:t>
                  </w:r>
                </w:p>
              </w:tc>
              <w:tc>
                <w:tcPr>
                  <w:tcW w:w="607" w:type="pct"/>
                  <w:shd w:val="clear" w:color="auto" w:fill="auto"/>
                </w:tcPr>
                <w:p>
                  <w:pPr>
                    <w:pStyle w:val="47"/>
                  </w:pPr>
                  <w:r>
                    <w:rPr>
                      <w:rFonts w:hint="eastAsia"/>
                    </w:rPr>
                    <w:t>0.55</w:t>
                  </w:r>
                </w:p>
              </w:tc>
            </w:tr>
          </w:tbl>
          <w:p>
            <w:pPr>
              <w:pStyle w:val="37"/>
              <w:ind w:firstLine="480"/>
            </w:pPr>
            <w:r>
              <w:rPr>
                <w:rFonts w:hint="eastAsia"/>
              </w:rPr>
              <w:t>2、主要设备规格、数量</w:t>
            </w:r>
          </w:p>
          <w:p>
            <w:pPr>
              <w:pStyle w:val="37"/>
              <w:ind w:firstLine="480"/>
            </w:pPr>
            <w:r>
              <w:rPr>
                <w:rFonts w:hint="eastAsia"/>
              </w:rPr>
              <w:t>本项目主要设备规格、数量见表1-</w:t>
            </w:r>
            <w:r>
              <w:t>7</w:t>
            </w:r>
            <w:r>
              <w:rPr>
                <w:rFonts w:hint="eastAsia"/>
              </w:rPr>
              <w:t>：</w:t>
            </w:r>
          </w:p>
          <w:p>
            <w:pPr>
              <w:pStyle w:val="36"/>
              <w:rPr>
                <w:snapToGrid w:val="0"/>
              </w:rPr>
            </w:pPr>
            <w:r>
              <w:rPr>
                <w:rFonts w:hint="eastAsia"/>
              </w:rPr>
              <w:t>表1-</w:t>
            </w:r>
            <w:r>
              <w:t>7</w:t>
            </w:r>
            <w:r>
              <w:rPr>
                <w:snapToGrid w:val="0"/>
              </w:rPr>
              <w:t>主要生产设备一览表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479"/>
              <w:gridCol w:w="2467"/>
              <w:gridCol w:w="853"/>
              <w:gridCol w:w="768"/>
              <w:gridCol w:w="1361"/>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pPr>
                    <w:pStyle w:val="50"/>
                  </w:pPr>
                  <w:r>
                    <w:t>序号</w:t>
                  </w:r>
                </w:p>
              </w:tc>
              <w:tc>
                <w:tcPr>
                  <w:tcW w:w="1479" w:type="dxa"/>
                  <w:vAlign w:val="center"/>
                </w:tcPr>
                <w:p>
                  <w:pPr>
                    <w:pStyle w:val="50"/>
                  </w:pPr>
                  <w:r>
                    <w:t>名称</w:t>
                  </w:r>
                </w:p>
              </w:tc>
              <w:tc>
                <w:tcPr>
                  <w:tcW w:w="2467" w:type="dxa"/>
                  <w:vAlign w:val="center"/>
                </w:tcPr>
                <w:p>
                  <w:pPr>
                    <w:pStyle w:val="50"/>
                  </w:pPr>
                  <w:r>
                    <w:t>规格</w:t>
                  </w:r>
                  <w:r>
                    <w:rPr>
                      <w:rFonts w:hint="eastAsia"/>
                    </w:rPr>
                    <w:t>、</w:t>
                  </w:r>
                  <w:r>
                    <w:t>型号</w:t>
                  </w:r>
                </w:p>
              </w:tc>
              <w:tc>
                <w:tcPr>
                  <w:tcW w:w="853" w:type="dxa"/>
                  <w:vAlign w:val="center"/>
                </w:tcPr>
                <w:p>
                  <w:pPr>
                    <w:pStyle w:val="50"/>
                  </w:pPr>
                  <w:r>
                    <w:t>单位</w:t>
                  </w:r>
                </w:p>
              </w:tc>
              <w:tc>
                <w:tcPr>
                  <w:tcW w:w="768" w:type="dxa"/>
                  <w:vAlign w:val="center"/>
                </w:tcPr>
                <w:p>
                  <w:pPr>
                    <w:pStyle w:val="50"/>
                  </w:pPr>
                  <w:r>
                    <w:t>数量</w:t>
                  </w:r>
                </w:p>
              </w:tc>
              <w:tc>
                <w:tcPr>
                  <w:tcW w:w="1361" w:type="dxa"/>
                  <w:vAlign w:val="center"/>
                </w:tcPr>
                <w:p>
                  <w:pPr>
                    <w:pStyle w:val="50"/>
                  </w:pPr>
                  <w:r>
                    <w:t>用途</w:t>
                  </w:r>
                </w:p>
              </w:tc>
              <w:tc>
                <w:tcPr>
                  <w:tcW w:w="1464" w:type="dxa"/>
                  <w:vAlign w:val="center"/>
                </w:tcPr>
                <w:p>
                  <w:pPr>
                    <w:pStyle w:val="50"/>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t>1</w:t>
                  </w:r>
                </w:p>
              </w:tc>
              <w:tc>
                <w:tcPr>
                  <w:tcW w:w="1479" w:type="dxa"/>
                  <w:vAlign w:val="center"/>
                </w:tcPr>
                <w:p>
                  <w:pPr>
                    <w:pStyle w:val="50"/>
                  </w:pPr>
                  <w:r>
                    <w:rPr>
                      <w:rFonts w:hint="eastAsia"/>
                    </w:rPr>
                    <w:t>立环式高梯度磁选机</w:t>
                  </w:r>
                </w:p>
              </w:tc>
              <w:tc>
                <w:tcPr>
                  <w:tcW w:w="2467" w:type="dxa"/>
                  <w:vAlign w:val="center"/>
                </w:tcPr>
                <w:p>
                  <w:pPr>
                    <w:pStyle w:val="50"/>
                  </w:pPr>
                  <w:r>
                    <w:rPr>
                      <w:rFonts w:hint="eastAsia"/>
                    </w:rPr>
                    <w:t>2.5m；</w:t>
                  </w:r>
                  <w:r>
                    <w:t>LHGC-2.5(1.0T</w:t>
                  </w:r>
                  <w:r>
                    <w:rPr>
                      <w:rFonts w:hint="eastAsia"/>
                    </w:rPr>
                    <w:t>/1.4T</w:t>
                  </w:r>
                  <w:r>
                    <w:t>)</w:t>
                  </w:r>
                </w:p>
              </w:tc>
              <w:tc>
                <w:tcPr>
                  <w:tcW w:w="853" w:type="dxa"/>
                  <w:vAlign w:val="center"/>
                </w:tcPr>
                <w:p>
                  <w:pPr>
                    <w:pStyle w:val="50"/>
                  </w:pPr>
                  <w:r>
                    <w:t>台</w:t>
                  </w:r>
                </w:p>
              </w:tc>
              <w:tc>
                <w:tcPr>
                  <w:tcW w:w="768" w:type="dxa"/>
                  <w:vAlign w:val="center"/>
                </w:tcPr>
                <w:p>
                  <w:pPr>
                    <w:pStyle w:val="50"/>
                  </w:pPr>
                  <w:r>
                    <w:t>2</w:t>
                  </w:r>
                </w:p>
              </w:tc>
              <w:tc>
                <w:tcPr>
                  <w:tcW w:w="1361" w:type="dxa"/>
                  <w:vAlign w:val="center"/>
                </w:tcPr>
                <w:p>
                  <w:pPr>
                    <w:pStyle w:val="50"/>
                  </w:pPr>
                  <w:r>
                    <w:rPr>
                      <w:rFonts w:hint="eastAsia"/>
                    </w:rPr>
                    <w:t>选矿</w:t>
                  </w:r>
                </w:p>
              </w:tc>
              <w:tc>
                <w:tcPr>
                  <w:tcW w:w="1464" w:type="dxa"/>
                  <w:vAlign w:val="center"/>
                </w:tcPr>
                <w:p>
                  <w:pPr>
                    <w:pStyle w:val="50"/>
                  </w:pPr>
                  <w:r>
                    <w:rPr>
                      <w:rFonts w:hint="eastAsi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rPr>
                      <w:rFonts w:hint="eastAsia"/>
                    </w:rPr>
                    <w:t>2</w:t>
                  </w:r>
                </w:p>
              </w:tc>
              <w:tc>
                <w:tcPr>
                  <w:tcW w:w="1479" w:type="dxa"/>
                  <w:vAlign w:val="center"/>
                </w:tcPr>
                <w:p>
                  <w:pPr>
                    <w:pStyle w:val="50"/>
                  </w:pPr>
                  <w:r>
                    <w:rPr>
                      <w:rFonts w:hint="eastAsia"/>
                    </w:rPr>
                    <w:t>浓密机</w:t>
                  </w:r>
                </w:p>
              </w:tc>
              <w:tc>
                <w:tcPr>
                  <w:tcW w:w="2467" w:type="dxa"/>
                  <w:vAlign w:val="center"/>
                </w:tcPr>
                <w:p>
                  <w:pPr>
                    <w:pStyle w:val="50"/>
                  </w:pPr>
                  <w:r>
                    <w:rPr>
                      <w:rFonts w:hint="eastAsia"/>
                    </w:rPr>
                    <w:t>直径16m</w:t>
                  </w:r>
                </w:p>
              </w:tc>
              <w:tc>
                <w:tcPr>
                  <w:tcW w:w="853" w:type="dxa"/>
                  <w:vAlign w:val="center"/>
                </w:tcPr>
                <w:p>
                  <w:pPr>
                    <w:pStyle w:val="50"/>
                  </w:pPr>
                  <w:r>
                    <w:rPr>
                      <w:rFonts w:hint="eastAsia"/>
                    </w:rPr>
                    <w:t>台</w:t>
                  </w:r>
                </w:p>
              </w:tc>
              <w:tc>
                <w:tcPr>
                  <w:tcW w:w="768" w:type="dxa"/>
                  <w:vAlign w:val="center"/>
                </w:tcPr>
                <w:p>
                  <w:pPr>
                    <w:pStyle w:val="50"/>
                  </w:pPr>
                  <w:r>
                    <w:rPr>
                      <w:rFonts w:hint="eastAsia"/>
                    </w:rPr>
                    <w:t>1</w:t>
                  </w:r>
                </w:p>
              </w:tc>
              <w:tc>
                <w:tcPr>
                  <w:tcW w:w="1361" w:type="dxa"/>
                  <w:vAlign w:val="center"/>
                </w:tcPr>
                <w:p>
                  <w:pPr>
                    <w:pStyle w:val="50"/>
                  </w:pPr>
                  <w:r>
                    <w:rPr>
                      <w:rFonts w:hint="eastAsia"/>
                    </w:rPr>
                    <w:t>矿石沉淀浓缩</w:t>
                  </w:r>
                </w:p>
              </w:tc>
              <w:tc>
                <w:tcPr>
                  <w:tcW w:w="1464" w:type="dxa"/>
                  <w:vAlign w:val="center"/>
                </w:tcPr>
                <w:p>
                  <w:pPr>
                    <w:pStyle w:val="50"/>
                  </w:pPr>
                  <w:r>
                    <w:rPr>
                      <w:rFonts w:hint="eastAsi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70" w:type="dxa"/>
                  <w:vAlign w:val="center"/>
                </w:tcPr>
                <w:p>
                  <w:pPr>
                    <w:pStyle w:val="50"/>
                  </w:pPr>
                  <w:r>
                    <w:rPr>
                      <w:rFonts w:hint="eastAsia"/>
                    </w:rPr>
                    <w:t>3</w:t>
                  </w:r>
                </w:p>
              </w:tc>
              <w:tc>
                <w:tcPr>
                  <w:tcW w:w="1479" w:type="dxa"/>
                  <w:vAlign w:val="center"/>
                </w:tcPr>
                <w:p>
                  <w:pPr>
                    <w:pStyle w:val="50"/>
                  </w:pPr>
                  <w:r>
                    <w:rPr>
                      <w:rFonts w:hint="eastAsia"/>
                    </w:rPr>
                    <w:t>过滤机</w:t>
                  </w:r>
                </w:p>
              </w:tc>
              <w:tc>
                <w:tcPr>
                  <w:tcW w:w="2467" w:type="dxa"/>
                  <w:vAlign w:val="center"/>
                </w:tcPr>
                <w:p>
                  <w:pPr>
                    <w:pStyle w:val="50"/>
                  </w:pPr>
                  <w:r>
                    <w:rPr>
                      <w:rFonts w:hint="eastAsia"/>
                    </w:rPr>
                    <w:t>40m</w:t>
                  </w:r>
                  <w:r>
                    <w:rPr>
                      <w:rFonts w:hint="eastAsia"/>
                      <w:vertAlign w:val="superscript"/>
                    </w:rPr>
                    <w:t>2</w:t>
                  </w:r>
                  <w:r>
                    <w:rPr>
                      <w:rFonts w:hint="eastAsia"/>
                    </w:rPr>
                    <w:t>；BY-40</w:t>
                  </w:r>
                </w:p>
              </w:tc>
              <w:tc>
                <w:tcPr>
                  <w:tcW w:w="853" w:type="dxa"/>
                  <w:vAlign w:val="center"/>
                </w:tcPr>
                <w:p>
                  <w:pPr>
                    <w:pStyle w:val="50"/>
                  </w:pPr>
                  <w:r>
                    <w:rPr>
                      <w:rFonts w:hint="eastAsia"/>
                    </w:rPr>
                    <w:t>台</w:t>
                  </w:r>
                </w:p>
              </w:tc>
              <w:tc>
                <w:tcPr>
                  <w:tcW w:w="768" w:type="dxa"/>
                  <w:vAlign w:val="center"/>
                </w:tcPr>
                <w:p>
                  <w:pPr>
                    <w:pStyle w:val="50"/>
                  </w:pPr>
                  <w:r>
                    <w:rPr>
                      <w:rFonts w:hint="eastAsia"/>
                    </w:rPr>
                    <w:t>1</w:t>
                  </w:r>
                </w:p>
              </w:tc>
              <w:tc>
                <w:tcPr>
                  <w:tcW w:w="1361" w:type="dxa"/>
                  <w:vAlign w:val="center"/>
                </w:tcPr>
                <w:p>
                  <w:pPr>
                    <w:pStyle w:val="50"/>
                  </w:pPr>
                  <w:r>
                    <w:rPr>
                      <w:rFonts w:hint="eastAsia"/>
                    </w:rPr>
                    <w:t>矿水分离</w:t>
                  </w:r>
                </w:p>
              </w:tc>
              <w:tc>
                <w:tcPr>
                  <w:tcW w:w="1464" w:type="dxa"/>
                  <w:vAlign w:val="center"/>
                </w:tcPr>
                <w:p>
                  <w:pPr>
                    <w:pStyle w:val="50"/>
                  </w:pPr>
                  <w:r>
                    <w:rPr>
                      <w:rFonts w:hint="eastAsi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670" w:type="dxa"/>
                  <w:vAlign w:val="center"/>
                </w:tcPr>
                <w:p>
                  <w:pPr>
                    <w:pStyle w:val="50"/>
                  </w:pPr>
                  <w:r>
                    <w:rPr>
                      <w:rFonts w:hint="eastAsia"/>
                    </w:rPr>
                    <w:t>4</w:t>
                  </w:r>
                </w:p>
              </w:tc>
              <w:tc>
                <w:tcPr>
                  <w:tcW w:w="1479" w:type="dxa"/>
                  <w:vAlign w:val="center"/>
                </w:tcPr>
                <w:p>
                  <w:pPr>
                    <w:pStyle w:val="50"/>
                  </w:pPr>
                  <w:r>
                    <w:rPr>
                      <w:rFonts w:hint="eastAsia"/>
                    </w:rPr>
                    <w:t>脱水机</w:t>
                  </w:r>
                </w:p>
              </w:tc>
              <w:tc>
                <w:tcPr>
                  <w:tcW w:w="2467" w:type="dxa"/>
                  <w:vAlign w:val="center"/>
                </w:tcPr>
                <w:p>
                  <w:pPr>
                    <w:pStyle w:val="50"/>
                  </w:pPr>
                  <w:r>
                    <w:rPr>
                      <w:rFonts w:hint="eastAsia"/>
                    </w:rPr>
                    <w:t>56m</w:t>
                  </w:r>
                  <w:r>
                    <w:rPr>
                      <w:rFonts w:hint="eastAsia"/>
                      <w:vertAlign w:val="superscript"/>
                    </w:rPr>
                    <w:t>2</w:t>
                  </w:r>
                  <w:r>
                    <w:rPr>
                      <w:rFonts w:hint="eastAsia"/>
                    </w:rPr>
                    <w:t>；</w:t>
                  </w:r>
                  <w:r>
                    <w:t>BF56M2</w:t>
                  </w:r>
                </w:p>
              </w:tc>
              <w:tc>
                <w:tcPr>
                  <w:tcW w:w="853" w:type="dxa"/>
                  <w:vAlign w:val="center"/>
                </w:tcPr>
                <w:p>
                  <w:pPr>
                    <w:pStyle w:val="50"/>
                  </w:pPr>
                  <w:r>
                    <w:rPr>
                      <w:rFonts w:hint="eastAsia"/>
                    </w:rPr>
                    <w:t>套</w:t>
                  </w:r>
                </w:p>
              </w:tc>
              <w:tc>
                <w:tcPr>
                  <w:tcW w:w="768" w:type="dxa"/>
                  <w:vAlign w:val="center"/>
                </w:tcPr>
                <w:p>
                  <w:pPr>
                    <w:pStyle w:val="50"/>
                  </w:pPr>
                  <w:r>
                    <w:rPr>
                      <w:rFonts w:hint="eastAsia"/>
                    </w:rPr>
                    <w:t>1</w:t>
                  </w:r>
                </w:p>
              </w:tc>
              <w:tc>
                <w:tcPr>
                  <w:tcW w:w="1361" w:type="dxa"/>
                  <w:vAlign w:val="center"/>
                </w:tcPr>
                <w:p>
                  <w:pPr>
                    <w:pStyle w:val="50"/>
                  </w:pPr>
                  <w:r>
                    <w:rPr>
                      <w:rFonts w:hint="eastAsia"/>
                    </w:rPr>
                    <w:t>矿水分离</w:t>
                  </w:r>
                </w:p>
              </w:tc>
              <w:tc>
                <w:tcPr>
                  <w:tcW w:w="1464" w:type="dxa"/>
                  <w:vAlign w:val="center"/>
                </w:tcPr>
                <w:p>
                  <w:pPr>
                    <w:pStyle w:val="50"/>
                  </w:pPr>
                  <w:r>
                    <w:rPr>
                      <w:rFonts w:hint="eastAsi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rPr>
                      <w:rFonts w:hint="eastAsia"/>
                    </w:rPr>
                    <w:t>5</w:t>
                  </w:r>
                </w:p>
              </w:tc>
              <w:tc>
                <w:tcPr>
                  <w:tcW w:w="1479" w:type="dxa"/>
                  <w:vAlign w:val="center"/>
                </w:tcPr>
                <w:p>
                  <w:pPr>
                    <w:pStyle w:val="50"/>
                  </w:pPr>
                  <w:r>
                    <w:rPr>
                      <w:rFonts w:hint="eastAsia"/>
                    </w:rPr>
                    <w:t>分选机</w:t>
                  </w:r>
                </w:p>
              </w:tc>
              <w:tc>
                <w:tcPr>
                  <w:tcW w:w="2467" w:type="dxa"/>
                  <w:vAlign w:val="center"/>
                </w:tcPr>
                <w:p>
                  <w:pPr>
                    <w:pStyle w:val="50"/>
                  </w:pPr>
                  <w:r>
                    <w:rPr>
                      <w:rFonts w:hint="eastAsia"/>
                    </w:rPr>
                    <w:t>6.5m×1.8m</w:t>
                  </w:r>
                </w:p>
              </w:tc>
              <w:tc>
                <w:tcPr>
                  <w:tcW w:w="853" w:type="dxa"/>
                  <w:vAlign w:val="center"/>
                </w:tcPr>
                <w:p>
                  <w:pPr>
                    <w:pStyle w:val="50"/>
                  </w:pPr>
                  <w:r>
                    <w:rPr>
                      <w:rFonts w:hint="eastAsia"/>
                    </w:rPr>
                    <w:t>套</w:t>
                  </w:r>
                </w:p>
              </w:tc>
              <w:tc>
                <w:tcPr>
                  <w:tcW w:w="768" w:type="dxa"/>
                  <w:vAlign w:val="center"/>
                </w:tcPr>
                <w:p>
                  <w:pPr>
                    <w:pStyle w:val="50"/>
                  </w:pPr>
                  <w:r>
                    <w:rPr>
                      <w:rFonts w:hint="eastAsia"/>
                    </w:rPr>
                    <w:t>1</w:t>
                  </w:r>
                </w:p>
              </w:tc>
              <w:tc>
                <w:tcPr>
                  <w:tcW w:w="1361" w:type="dxa"/>
                  <w:vAlign w:val="center"/>
                </w:tcPr>
                <w:p>
                  <w:pPr>
                    <w:pStyle w:val="50"/>
                  </w:pPr>
                  <w:r>
                    <w:rPr>
                      <w:rFonts w:hint="eastAsia"/>
                    </w:rPr>
                    <w:t>洗沙</w:t>
                  </w:r>
                </w:p>
              </w:tc>
              <w:tc>
                <w:tcPr>
                  <w:tcW w:w="1464" w:type="dxa"/>
                  <w:vAlign w:val="center"/>
                </w:tcPr>
                <w:p>
                  <w:pPr>
                    <w:pStyle w:val="50"/>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rPr>
                      <w:rFonts w:hint="eastAsia"/>
                    </w:rPr>
                    <w:t>6</w:t>
                  </w:r>
                </w:p>
              </w:tc>
              <w:tc>
                <w:tcPr>
                  <w:tcW w:w="1479" w:type="dxa"/>
                  <w:vAlign w:val="center"/>
                </w:tcPr>
                <w:p>
                  <w:pPr>
                    <w:pStyle w:val="50"/>
                  </w:pPr>
                  <w:r>
                    <w:rPr>
                      <w:rFonts w:hint="eastAsia"/>
                    </w:rPr>
                    <w:t>旋沙机</w:t>
                  </w:r>
                </w:p>
              </w:tc>
              <w:tc>
                <w:tcPr>
                  <w:tcW w:w="2467" w:type="dxa"/>
                  <w:vAlign w:val="center"/>
                </w:tcPr>
                <w:p>
                  <w:pPr>
                    <w:pStyle w:val="50"/>
                  </w:pPr>
                  <w:r>
                    <w:rPr>
                      <w:rFonts w:hint="eastAsia"/>
                    </w:rPr>
                    <w:t>/</w:t>
                  </w:r>
                </w:p>
              </w:tc>
              <w:tc>
                <w:tcPr>
                  <w:tcW w:w="853" w:type="dxa"/>
                  <w:vAlign w:val="center"/>
                </w:tcPr>
                <w:p>
                  <w:pPr>
                    <w:pStyle w:val="50"/>
                  </w:pPr>
                  <w:r>
                    <w:rPr>
                      <w:rFonts w:hint="eastAsia"/>
                    </w:rPr>
                    <w:t>台</w:t>
                  </w:r>
                </w:p>
              </w:tc>
              <w:tc>
                <w:tcPr>
                  <w:tcW w:w="768" w:type="dxa"/>
                  <w:vAlign w:val="center"/>
                </w:tcPr>
                <w:p>
                  <w:pPr>
                    <w:pStyle w:val="50"/>
                  </w:pPr>
                  <w:r>
                    <w:rPr>
                      <w:rFonts w:hint="eastAsia"/>
                    </w:rPr>
                    <w:t>2</w:t>
                  </w:r>
                </w:p>
              </w:tc>
              <w:tc>
                <w:tcPr>
                  <w:tcW w:w="1361" w:type="dxa"/>
                  <w:vAlign w:val="center"/>
                </w:tcPr>
                <w:p>
                  <w:pPr>
                    <w:pStyle w:val="50"/>
                  </w:pPr>
                  <w:r>
                    <w:rPr>
                      <w:rFonts w:hint="eastAsia"/>
                    </w:rPr>
                    <w:t>洗沙</w:t>
                  </w:r>
                </w:p>
              </w:tc>
              <w:tc>
                <w:tcPr>
                  <w:tcW w:w="1464" w:type="dxa"/>
                  <w:vAlign w:val="center"/>
                </w:tcPr>
                <w:p>
                  <w:pPr>
                    <w:pStyle w:val="50"/>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70" w:type="dxa"/>
                  <w:vAlign w:val="center"/>
                </w:tcPr>
                <w:p>
                  <w:pPr>
                    <w:pStyle w:val="50"/>
                  </w:pPr>
                  <w:r>
                    <w:rPr>
                      <w:rFonts w:hint="eastAsia"/>
                    </w:rPr>
                    <w:t>7</w:t>
                  </w:r>
                </w:p>
              </w:tc>
              <w:tc>
                <w:tcPr>
                  <w:tcW w:w="1479" w:type="dxa"/>
                  <w:vAlign w:val="center"/>
                </w:tcPr>
                <w:p>
                  <w:pPr>
                    <w:pStyle w:val="50"/>
                  </w:pPr>
                  <w:r>
                    <w:rPr>
                      <w:rFonts w:hint="eastAsia"/>
                    </w:rPr>
                    <w:t>球磨机</w:t>
                  </w:r>
                </w:p>
              </w:tc>
              <w:tc>
                <w:tcPr>
                  <w:tcW w:w="2467" w:type="dxa"/>
                  <w:vAlign w:val="center"/>
                </w:tcPr>
                <w:p>
                  <w:pPr>
                    <w:pStyle w:val="50"/>
                  </w:pPr>
                  <w:r>
                    <w:rPr>
                      <w:rFonts w:hint="eastAsia"/>
                    </w:rPr>
                    <w:t>2.7m×4.5</w:t>
                  </w:r>
                </w:p>
              </w:tc>
              <w:tc>
                <w:tcPr>
                  <w:tcW w:w="853" w:type="dxa"/>
                  <w:vAlign w:val="center"/>
                </w:tcPr>
                <w:p>
                  <w:pPr>
                    <w:pStyle w:val="50"/>
                  </w:pPr>
                  <w:r>
                    <w:rPr>
                      <w:rFonts w:hint="eastAsia"/>
                    </w:rPr>
                    <w:t>套</w:t>
                  </w:r>
                </w:p>
              </w:tc>
              <w:tc>
                <w:tcPr>
                  <w:tcW w:w="768" w:type="dxa"/>
                  <w:vAlign w:val="center"/>
                </w:tcPr>
                <w:p>
                  <w:pPr>
                    <w:pStyle w:val="50"/>
                  </w:pPr>
                  <w:r>
                    <w:rPr>
                      <w:rFonts w:hint="eastAsia"/>
                    </w:rPr>
                    <w:t>1</w:t>
                  </w:r>
                </w:p>
              </w:tc>
              <w:tc>
                <w:tcPr>
                  <w:tcW w:w="1361" w:type="dxa"/>
                  <w:vAlign w:val="center"/>
                </w:tcPr>
                <w:p>
                  <w:pPr>
                    <w:pStyle w:val="50"/>
                  </w:pPr>
                  <w:r>
                    <w:rPr>
                      <w:rFonts w:hint="eastAsia"/>
                    </w:rPr>
                    <w:t>破碎</w:t>
                  </w:r>
                </w:p>
              </w:tc>
              <w:tc>
                <w:tcPr>
                  <w:tcW w:w="1464" w:type="dxa"/>
                  <w:vAlign w:val="center"/>
                </w:tcPr>
                <w:p>
                  <w:pPr>
                    <w:pStyle w:val="50"/>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rPr>
                      <w:rFonts w:hint="eastAsia"/>
                    </w:rPr>
                    <w:t>8</w:t>
                  </w:r>
                </w:p>
              </w:tc>
              <w:tc>
                <w:tcPr>
                  <w:tcW w:w="1479" w:type="dxa"/>
                  <w:vAlign w:val="center"/>
                </w:tcPr>
                <w:p>
                  <w:pPr>
                    <w:pStyle w:val="50"/>
                  </w:pPr>
                  <w:r>
                    <w:rPr>
                      <w:rFonts w:hint="eastAsia"/>
                    </w:rPr>
                    <w:t>平板磁选机</w:t>
                  </w:r>
                </w:p>
              </w:tc>
              <w:tc>
                <w:tcPr>
                  <w:tcW w:w="2467" w:type="dxa"/>
                  <w:vAlign w:val="center"/>
                </w:tcPr>
                <w:p>
                  <w:pPr>
                    <w:pStyle w:val="50"/>
                  </w:pPr>
                  <w:r>
                    <w:rPr>
                      <w:rFonts w:hint="eastAsia"/>
                    </w:rPr>
                    <w:t>4m</w:t>
                  </w:r>
                  <w:r>
                    <w:rPr>
                      <w:rFonts w:hint="eastAsia"/>
                      <w:vertAlign w:val="superscript"/>
                    </w:rPr>
                    <w:t>2</w:t>
                  </w:r>
                </w:p>
              </w:tc>
              <w:tc>
                <w:tcPr>
                  <w:tcW w:w="853" w:type="dxa"/>
                  <w:vAlign w:val="center"/>
                </w:tcPr>
                <w:p>
                  <w:pPr>
                    <w:pStyle w:val="50"/>
                  </w:pPr>
                  <w:r>
                    <w:rPr>
                      <w:rFonts w:hint="eastAsia"/>
                    </w:rPr>
                    <w:t>套</w:t>
                  </w:r>
                </w:p>
              </w:tc>
              <w:tc>
                <w:tcPr>
                  <w:tcW w:w="768" w:type="dxa"/>
                  <w:vAlign w:val="center"/>
                </w:tcPr>
                <w:p>
                  <w:pPr>
                    <w:pStyle w:val="50"/>
                  </w:pPr>
                  <w:r>
                    <w:rPr>
                      <w:rFonts w:hint="eastAsia"/>
                    </w:rPr>
                    <w:t>1</w:t>
                  </w:r>
                </w:p>
              </w:tc>
              <w:tc>
                <w:tcPr>
                  <w:tcW w:w="1361" w:type="dxa"/>
                  <w:vAlign w:val="center"/>
                </w:tcPr>
                <w:p>
                  <w:pPr>
                    <w:pStyle w:val="50"/>
                  </w:pPr>
                  <w:r>
                    <w:rPr>
                      <w:rFonts w:hint="eastAsia"/>
                    </w:rPr>
                    <w:t>选矿</w:t>
                  </w:r>
                </w:p>
              </w:tc>
              <w:tc>
                <w:tcPr>
                  <w:tcW w:w="1464" w:type="dxa"/>
                  <w:vAlign w:val="center"/>
                </w:tcPr>
                <w:p>
                  <w:pPr>
                    <w:pStyle w:val="50"/>
                  </w:pPr>
                  <w:r>
                    <w:rPr>
                      <w:rFonts w:hint="eastAsia"/>
                    </w:rPr>
                    <w:t>利旧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70" w:type="dxa"/>
                  <w:vAlign w:val="center"/>
                </w:tcPr>
                <w:p>
                  <w:pPr>
                    <w:pStyle w:val="50"/>
                  </w:pPr>
                  <w:r>
                    <w:rPr>
                      <w:rFonts w:hint="eastAsia"/>
                    </w:rPr>
                    <w:t>9</w:t>
                  </w:r>
                </w:p>
              </w:tc>
              <w:tc>
                <w:tcPr>
                  <w:tcW w:w="1479" w:type="dxa"/>
                  <w:vAlign w:val="center"/>
                </w:tcPr>
                <w:p>
                  <w:pPr>
                    <w:pStyle w:val="50"/>
                  </w:pPr>
                  <w:r>
                    <w:rPr>
                      <w:rFonts w:hint="eastAsia"/>
                    </w:rPr>
                    <w:t>变压器</w:t>
                  </w:r>
                </w:p>
              </w:tc>
              <w:tc>
                <w:tcPr>
                  <w:tcW w:w="2467" w:type="dxa"/>
                  <w:vAlign w:val="center"/>
                </w:tcPr>
                <w:p>
                  <w:pPr>
                    <w:pStyle w:val="50"/>
                  </w:pPr>
                  <w:r>
                    <w:rPr>
                      <w:rFonts w:hint="eastAsia"/>
                    </w:rPr>
                    <w:t>200KVA；</w:t>
                  </w:r>
                  <w:r>
                    <w:t>S11-2000-710</w:t>
                  </w:r>
                </w:p>
              </w:tc>
              <w:tc>
                <w:tcPr>
                  <w:tcW w:w="853" w:type="dxa"/>
                  <w:vAlign w:val="center"/>
                </w:tcPr>
                <w:p>
                  <w:pPr>
                    <w:pStyle w:val="50"/>
                  </w:pPr>
                  <w:r>
                    <w:rPr>
                      <w:rFonts w:hint="eastAsia"/>
                    </w:rPr>
                    <w:t>套</w:t>
                  </w:r>
                </w:p>
              </w:tc>
              <w:tc>
                <w:tcPr>
                  <w:tcW w:w="768" w:type="dxa"/>
                  <w:vAlign w:val="center"/>
                </w:tcPr>
                <w:p>
                  <w:pPr>
                    <w:pStyle w:val="50"/>
                  </w:pPr>
                  <w:r>
                    <w:rPr>
                      <w:rFonts w:hint="eastAsia"/>
                    </w:rPr>
                    <w:t>1</w:t>
                  </w:r>
                </w:p>
              </w:tc>
              <w:tc>
                <w:tcPr>
                  <w:tcW w:w="1361" w:type="dxa"/>
                  <w:vAlign w:val="center"/>
                </w:tcPr>
                <w:p>
                  <w:pPr>
                    <w:pStyle w:val="50"/>
                  </w:pPr>
                  <w:r>
                    <w:rPr>
                      <w:rFonts w:hint="eastAsia"/>
                    </w:rPr>
                    <w:t>配电</w:t>
                  </w:r>
                </w:p>
              </w:tc>
              <w:tc>
                <w:tcPr>
                  <w:tcW w:w="1464" w:type="dxa"/>
                  <w:vAlign w:val="center"/>
                </w:tcPr>
                <w:p>
                  <w:pPr>
                    <w:pStyle w:val="50"/>
                  </w:pPr>
                  <w:r>
                    <w:rPr>
                      <w:rFonts w:hint="eastAsia"/>
                    </w:rPr>
                    <w:t>新增</w:t>
                  </w:r>
                </w:p>
              </w:tc>
            </w:tr>
          </w:tbl>
          <w:p>
            <w:pPr>
              <w:pStyle w:val="37"/>
              <w:ind w:firstLine="480"/>
            </w:pPr>
            <w:r>
              <w:rPr>
                <w:rFonts w:hint="eastAsia"/>
              </w:rPr>
              <w:t>3、产品方案</w:t>
            </w:r>
          </w:p>
          <w:p>
            <w:pPr>
              <w:pStyle w:val="37"/>
              <w:ind w:firstLine="480"/>
            </w:pPr>
            <w:r>
              <w:rPr>
                <w:rFonts w:hint="eastAsia"/>
                <w:color w:val="FF0000"/>
              </w:rPr>
              <w:t>本项目建设完成后，</w:t>
            </w:r>
            <w:r>
              <w:rPr>
                <w:rFonts w:hint="eastAsia"/>
              </w:rPr>
              <w:t>主要从事钾长石加工，其产品方案如下表所示：</w:t>
            </w:r>
          </w:p>
          <w:p>
            <w:pPr>
              <w:pStyle w:val="54"/>
            </w:pPr>
            <w:r>
              <w:rPr>
                <w:rFonts w:hint="eastAsia"/>
              </w:rPr>
              <w:t>表1-</w:t>
            </w:r>
            <w:r>
              <w:t>8</w:t>
            </w:r>
            <w:r>
              <w:rPr>
                <w:rFonts w:hint="eastAsia"/>
              </w:rPr>
              <w:t>本项目产品方案</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407"/>
              <w:gridCol w:w="1348"/>
              <w:gridCol w:w="1945"/>
              <w:gridCol w:w="336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328" w:type="pct"/>
                  <w:vAlign w:val="center"/>
                </w:tcPr>
                <w:p>
                  <w:pPr>
                    <w:pStyle w:val="50"/>
                  </w:pPr>
                  <w:r>
                    <w:rPr>
                      <w:rFonts w:hint="eastAsia"/>
                    </w:rPr>
                    <w:t>产品类别</w:t>
                  </w:r>
                </w:p>
              </w:tc>
              <w:tc>
                <w:tcPr>
                  <w:tcW w:w="744" w:type="pct"/>
                  <w:vAlign w:val="center"/>
                </w:tcPr>
                <w:p>
                  <w:pPr>
                    <w:pStyle w:val="50"/>
                  </w:pPr>
                  <w:r>
                    <w:rPr>
                      <w:rFonts w:hint="eastAsia"/>
                    </w:rPr>
                    <w:t>产量</w:t>
                  </w:r>
                </w:p>
              </w:tc>
              <w:tc>
                <w:tcPr>
                  <w:tcW w:w="1073" w:type="pct"/>
                  <w:vAlign w:val="center"/>
                </w:tcPr>
                <w:p>
                  <w:pPr>
                    <w:pStyle w:val="50"/>
                  </w:pPr>
                  <w:r>
                    <w:rPr>
                      <w:rFonts w:hint="eastAsia"/>
                    </w:rPr>
                    <w:t>规格</w:t>
                  </w:r>
                </w:p>
              </w:tc>
              <w:tc>
                <w:tcPr>
                  <w:tcW w:w="1855" w:type="pct"/>
                  <w:vAlign w:val="center"/>
                </w:tcPr>
                <w:p>
                  <w:pPr>
                    <w:pStyle w:val="50"/>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328" w:type="pct"/>
                  <w:vAlign w:val="center"/>
                </w:tcPr>
                <w:p>
                  <w:pPr>
                    <w:pStyle w:val="50"/>
                  </w:pPr>
                  <w:r>
                    <w:rPr>
                      <w:rFonts w:hint="eastAsia"/>
                    </w:rPr>
                    <w:t>釉用及玻璃级钾长石粉</w:t>
                  </w:r>
                </w:p>
              </w:tc>
              <w:tc>
                <w:tcPr>
                  <w:tcW w:w="744" w:type="pct"/>
                  <w:vMerge w:val="restart"/>
                  <w:vAlign w:val="center"/>
                </w:tcPr>
                <w:p>
                  <w:pPr>
                    <w:pStyle w:val="50"/>
                  </w:pPr>
                  <w:r>
                    <w:rPr>
                      <w:rFonts w:hint="eastAsia"/>
                    </w:rPr>
                    <w:t>5万吨/年</w:t>
                  </w:r>
                </w:p>
              </w:tc>
              <w:tc>
                <w:tcPr>
                  <w:tcW w:w="1073" w:type="pct"/>
                  <w:vAlign w:val="center"/>
                </w:tcPr>
                <w:p>
                  <w:pPr>
                    <w:pStyle w:val="50"/>
                  </w:pPr>
                  <w:r>
                    <w:rPr>
                      <w:rFonts w:hint="eastAsia"/>
                    </w:rPr>
                    <w:t>5~10目</w:t>
                  </w:r>
                </w:p>
              </w:tc>
              <w:tc>
                <w:tcPr>
                  <w:tcW w:w="1855" w:type="pct"/>
                  <w:vAlign w:val="center"/>
                </w:tcPr>
                <w:p>
                  <w:pPr>
                    <w:pStyle w:val="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328" w:type="pct"/>
                  <w:vAlign w:val="center"/>
                </w:tcPr>
                <w:p>
                  <w:pPr>
                    <w:pStyle w:val="50"/>
                  </w:pPr>
                  <w:r>
                    <w:rPr>
                      <w:rFonts w:hint="eastAsia"/>
                    </w:rPr>
                    <w:t>陶瓷用钾长石粉</w:t>
                  </w:r>
                </w:p>
              </w:tc>
              <w:tc>
                <w:tcPr>
                  <w:tcW w:w="744" w:type="pct"/>
                  <w:vMerge w:val="continue"/>
                  <w:vAlign w:val="center"/>
                </w:tcPr>
                <w:p>
                  <w:pPr>
                    <w:pStyle w:val="50"/>
                  </w:pPr>
                </w:p>
              </w:tc>
              <w:tc>
                <w:tcPr>
                  <w:tcW w:w="1073" w:type="pct"/>
                  <w:vAlign w:val="center"/>
                </w:tcPr>
                <w:p>
                  <w:pPr>
                    <w:pStyle w:val="50"/>
                  </w:pPr>
                  <w:r>
                    <w:rPr>
                      <w:rFonts w:hint="eastAsia"/>
                    </w:rPr>
                    <w:t>3~5目</w:t>
                  </w:r>
                </w:p>
              </w:tc>
              <w:tc>
                <w:tcPr>
                  <w:tcW w:w="1855" w:type="pct"/>
                  <w:vAlign w:val="center"/>
                </w:tcPr>
                <w:p>
                  <w:pPr>
                    <w:pStyle w:val="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328" w:type="pct"/>
                  <w:vAlign w:val="center"/>
                </w:tcPr>
                <w:p>
                  <w:pPr>
                    <w:pStyle w:val="50"/>
                  </w:pPr>
                  <w:r>
                    <w:rPr>
                      <w:rFonts w:hint="eastAsia"/>
                    </w:rPr>
                    <w:t>尾砂</w:t>
                  </w:r>
                </w:p>
              </w:tc>
              <w:tc>
                <w:tcPr>
                  <w:tcW w:w="744" w:type="pct"/>
                  <w:vAlign w:val="center"/>
                </w:tcPr>
                <w:p>
                  <w:pPr>
                    <w:pStyle w:val="50"/>
                  </w:pPr>
                  <w:r>
                    <w:t>5719.9吨</w:t>
                  </w:r>
                  <w:r>
                    <w:rPr>
                      <w:rFonts w:hint="eastAsia"/>
                    </w:rPr>
                    <w:t>/年</w:t>
                  </w:r>
                </w:p>
              </w:tc>
              <w:tc>
                <w:tcPr>
                  <w:tcW w:w="1073" w:type="pct"/>
                  <w:vAlign w:val="center"/>
                </w:tcPr>
                <w:p>
                  <w:pPr>
                    <w:pStyle w:val="50"/>
                  </w:pPr>
                  <w:r>
                    <w:rPr>
                      <w:rFonts w:hint="eastAsia"/>
                    </w:rPr>
                    <w:t>/</w:t>
                  </w:r>
                </w:p>
              </w:tc>
              <w:tc>
                <w:tcPr>
                  <w:tcW w:w="1855" w:type="pct"/>
                  <w:vAlign w:val="center"/>
                </w:tcPr>
                <w:p>
                  <w:pPr>
                    <w:pStyle w:val="50"/>
                  </w:pPr>
                  <w:r>
                    <w:rPr>
                      <w:rFonts w:hint="eastAsia"/>
                    </w:rPr>
                    <w:t>副产品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328" w:type="pct"/>
                  <w:vAlign w:val="center"/>
                </w:tcPr>
                <w:p>
                  <w:pPr>
                    <w:pStyle w:val="50"/>
                  </w:pPr>
                  <w:r>
                    <w:rPr>
                      <w:rFonts w:hint="eastAsia"/>
                    </w:rPr>
                    <w:t>黑砂</w:t>
                  </w:r>
                </w:p>
              </w:tc>
              <w:tc>
                <w:tcPr>
                  <w:tcW w:w="744" w:type="pct"/>
                  <w:vAlign w:val="center"/>
                </w:tcPr>
                <w:p>
                  <w:pPr>
                    <w:pStyle w:val="50"/>
                  </w:pPr>
                  <w:r>
                    <w:t>171.6吨</w:t>
                  </w:r>
                  <w:r>
                    <w:rPr>
                      <w:rFonts w:hint="eastAsia"/>
                    </w:rPr>
                    <w:t>/年</w:t>
                  </w:r>
                </w:p>
              </w:tc>
              <w:tc>
                <w:tcPr>
                  <w:tcW w:w="1073" w:type="pct"/>
                  <w:vAlign w:val="center"/>
                </w:tcPr>
                <w:p>
                  <w:pPr>
                    <w:pStyle w:val="50"/>
                  </w:pPr>
                  <w:r>
                    <w:rPr>
                      <w:rFonts w:hint="eastAsia"/>
                    </w:rPr>
                    <w:t>/</w:t>
                  </w:r>
                </w:p>
              </w:tc>
              <w:tc>
                <w:tcPr>
                  <w:tcW w:w="1855" w:type="pct"/>
                  <w:vAlign w:val="center"/>
                </w:tcPr>
                <w:p>
                  <w:pPr>
                    <w:pStyle w:val="50"/>
                  </w:pPr>
                  <w:r>
                    <w:rPr>
                      <w:rFonts w:hint="eastAsia"/>
                    </w:rPr>
                    <w:t>副产品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 w:type="pct"/>
                  <w:gridSpan w:val="4"/>
                  <w:vAlign w:val="center"/>
                </w:tcPr>
                <w:p>
                  <w:pPr>
                    <w:pStyle w:val="50"/>
                  </w:pPr>
                  <w:r>
                    <w:rPr>
                      <w:rFonts w:hint="eastAsia"/>
                    </w:rPr>
                    <w:t>备注：本项目釉用及玻璃级钾长石粉和陶瓷用钾长石粉两种产品生产工艺相同，仅原料不同</w:t>
                  </w:r>
                </w:p>
              </w:tc>
            </w:tr>
          </w:tbl>
          <w:p>
            <w:pPr>
              <w:pStyle w:val="37"/>
              <w:ind w:firstLine="480"/>
            </w:pPr>
            <w:r>
              <w:t>本项目钾长石粉产品标准如下</w:t>
            </w:r>
            <w:r>
              <w:rPr>
                <w:rFonts w:hint="eastAsia"/>
              </w:rPr>
              <w:t>：</w:t>
            </w:r>
          </w:p>
          <w:p>
            <w:pPr>
              <w:pStyle w:val="54"/>
            </w:pPr>
            <w:r>
              <w:rPr>
                <w:rFonts w:hint="eastAsia"/>
              </w:rPr>
              <w:t>表1</w:t>
            </w:r>
            <w:r>
              <w:t>-9本项目产品标准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6"/>
              <w:gridCol w:w="1748"/>
              <w:gridCol w:w="981"/>
              <w:gridCol w:w="1028"/>
              <w:gridCol w:w="1028"/>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819" w:type="pct"/>
                  <w:vMerge w:val="restart"/>
                  <w:vAlign w:val="center"/>
                </w:tcPr>
                <w:p>
                  <w:pPr>
                    <w:jc w:val="center"/>
                    <w:rPr>
                      <w:color w:val="000000"/>
                      <w:szCs w:val="21"/>
                    </w:rPr>
                  </w:pPr>
                  <w:r>
                    <w:rPr>
                      <w:rFonts w:hAnsi="SimSun"/>
                      <w:color w:val="000000"/>
                      <w:szCs w:val="21"/>
                    </w:rPr>
                    <w:t>类别</w:t>
                  </w:r>
                </w:p>
              </w:tc>
              <w:tc>
                <w:tcPr>
                  <w:tcW w:w="3181" w:type="pct"/>
                  <w:gridSpan w:val="5"/>
                  <w:vAlign w:val="center"/>
                </w:tcPr>
                <w:p>
                  <w:pPr>
                    <w:jc w:val="center"/>
                    <w:rPr>
                      <w:color w:val="000000"/>
                      <w:szCs w:val="21"/>
                    </w:rPr>
                  </w:pPr>
                  <w:r>
                    <w:rPr>
                      <w:rFonts w:hAnsi="SimSun"/>
                      <w:color w:val="000000"/>
                      <w:szCs w:val="21"/>
                    </w:rPr>
                    <w:t>化学成分，</w:t>
                  </w:r>
                  <w:r>
                    <w:rPr>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1819" w:type="pct"/>
                  <w:vMerge w:val="continue"/>
                  <w:vAlign w:val="center"/>
                </w:tcPr>
                <w:p>
                  <w:pPr>
                    <w:jc w:val="center"/>
                    <w:rPr>
                      <w:color w:val="000000"/>
                      <w:szCs w:val="21"/>
                    </w:rPr>
                  </w:pPr>
                </w:p>
              </w:tc>
              <w:tc>
                <w:tcPr>
                  <w:tcW w:w="965" w:type="pct"/>
                  <w:vAlign w:val="center"/>
                </w:tcPr>
                <w:p>
                  <w:pPr>
                    <w:jc w:val="center"/>
                    <w:rPr>
                      <w:color w:val="000000"/>
                      <w:szCs w:val="21"/>
                    </w:rPr>
                  </w:pPr>
                  <w:r>
                    <w:rPr>
                      <w:color w:val="000000"/>
                      <w:szCs w:val="21"/>
                    </w:rPr>
                    <w:t>K</w:t>
                  </w:r>
                  <w:r>
                    <w:rPr>
                      <w:color w:val="000000"/>
                      <w:szCs w:val="21"/>
                      <w:vertAlign w:val="subscript"/>
                    </w:rPr>
                    <w:t>2</w:t>
                  </w:r>
                  <w:r>
                    <w:rPr>
                      <w:color w:val="000000"/>
                      <w:szCs w:val="21"/>
                    </w:rPr>
                    <w:t>O+ Na</w:t>
                  </w:r>
                  <w:r>
                    <w:rPr>
                      <w:color w:val="000000"/>
                      <w:szCs w:val="21"/>
                      <w:vertAlign w:val="subscript"/>
                    </w:rPr>
                    <w:t>2</w:t>
                  </w:r>
                  <w:r>
                    <w:rPr>
                      <w:color w:val="000000"/>
                      <w:szCs w:val="21"/>
                    </w:rPr>
                    <w:t>O</w:t>
                  </w:r>
                </w:p>
              </w:tc>
              <w:tc>
                <w:tcPr>
                  <w:tcW w:w="541" w:type="pct"/>
                  <w:vAlign w:val="center"/>
                </w:tcPr>
                <w:p>
                  <w:pPr>
                    <w:jc w:val="center"/>
                    <w:rPr>
                      <w:color w:val="000000"/>
                      <w:szCs w:val="21"/>
                    </w:rPr>
                  </w:pPr>
                  <w:r>
                    <w:rPr>
                      <w:color w:val="000000"/>
                      <w:szCs w:val="21"/>
                    </w:rPr>
                    <w:t>NaO</w:t>
                  </w:r>
                  <w:r>
                    <w:rPr>
                      <w:color w:val="000000"/>
                      <w:szCs w:val="21"/>
                      <w:vertAlign w:val="subscript"/>
                    </w:rPr>
                    <w:t>2</w:t>
                  </w:r>
                </w:p>
              </w:tc>
              <w:tc>
                <w:tcPr>
                  <w:tcW w:w="567" w:type="pct"/>
                  <w:vAlign w:val="center"/>
                </w:tcPr>
                <w:p>
                  <w:pPr>
                    <w:jc w:val="center"/>
                    <w:rPr>
                      <w:color w:val="000000"/>
                      <w:szCs w:val="21"/>
                    </w:rPr>
                  </w:pPr>
                  <w:r>
                    <w:rPr>
                      <w:color w:val="000000"/>
                      <w:szCs w:val="21"/>
                    </w:rPr>
                    <w:t>Fe</w:t>
                  </w:r>
                  <w:r>
                    <w:rPr>
                      <w:color w:val="000000"/>
                      <w:szCs w:val="21"/>
                      <w:vertAlign w:val="subscript"/>
                    </w:rPr>
                    <w:t>2</w:t>
                  </w:r>
                  <w:r>
                    <w:rPr>
                      <w:color w:val="000000"/>
                      <w:szCs w:val="21"/>
                    </w:rPr>
                    <w:t>O</w:t>
                  </w:r>
                  <w:r>
                    <w:rPr>
                      <w:color w:val="000000"/>
                      <w:szCs w:val="21"/>
                      <w:vertAlign w:val="subscript"/>
                    </w:rPr>
                    <w:t>3</w:t>
                  </w:r>
                </w:p>
              </w:tc>
              <w:tc>
                <w:tcPr>
                  <w:tcW w:w="567" w:type="pct"/>
                  <w:vAlign w:val="center"/>
                </w:tcPr>
                <w:p>
                  <w:pPr>
                    <w:jc w:val="center"/>
                    <w:rPr>
                      <w:color w:val="000000"/>
                      <w:szCs w:val="21"/>
                    </w:rPr>
                  </w:pPr>
                  <w:r>
                    <w:rPr>
                      <w:color w:val="000000"/>
                      <w:szCs w:val="21"/>
                    </w:rPr>
                    <w:t>Al</w:t>
                  </w:r>
                  <w:r>
                    <w:rPr>
                      <w:color w:val="000000"/>
                      <w:szCs w:val="21"/>
                      <w:vertAlign w:val="subscript"/>
                    </w:rPr>
                    <w:t>2</w:t>
                  </w:r>
                  <w:r>
                    <w:rPr>
                      <w:color w:val="000000"/>
                      <w:szCs w:val="21"/>
                    </w:rPr>
                    <w:t>O</w:t>
                  </w:r>
                  <w:r>
                    <w:rPr>
                      <w:color w:val="000000"/>
                      <w:szCs w:val="21"/>
                      <w:vertAlign w:val="subscript"/>
                    </w:rPr>
                    <w:t>3</w:t>
                  </w:r>
                </w:p>
              </w:tc>
              <w:tc>
                <w:tcPr>
                  <w:tcW w:w="541" w:type="pct"/>
                  <w:vAlign w:val="center"/>
                </w:tcPr>
                <w:p>
                  <w:pPr>
                    <w:jc w:val="center"/>
                    <w:rPr>
                      <w:color w:val="000000"/>
                      <w:szCs w:val="21"/>
                    </w:rPr>
                  </w:pPr>
                  <w:r>
                    <w:rPr>
                      <w:color w:val="000000"/>
                      <w:szCs w:val="21"/>
                    </w:rPr>
                    <w:t>Na</w:t>
                  </w:r>
                  <w:r>
                    <w:rPr>
                      <w:color w:val="000000"/>
                      <w:szCs w:val="21"/>
                      <w:vertAlign w:val="subscript"/>
                    </w:rPr>
                    <w:t>2</w:t>
                  </w:r>
                  <w:r>
                    <w:rPr>
                      <w:color w:val="000000"/>
                      <w:szCs w:val="21"/>
                    </w:rPr>
                    <w: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819" w:type="pct"/>
                  <w:vAlign w:val="center"/>
                </w:tcPr>
                <w:p>
                  <w:pPr>
                    <w:jc w:val="center"/>
                    <w:rPr>
                      <w:color w:val="000000"/>
                      <w:szCs w:val="21"/>
                    </w:rPr>
                  </w:pPr>
                  <w:r>
                    <w:rPr>
                      <w:rFonts w:hint="eastAsia"/>
                    </w:rPr>
                    <w:t>釉用及玻璃级钾长石粉</w:t>
                  </w:r>
                </w:p>
              </w:tc>
              <w:tc>
                <w:tcPr>
                  <w:tcW w:w="965" w:type="pct"/>
                  <w:vAlign w:val="center"/>
                </w:tcPr>
                <w:p>
                  <w:pPr>
                    <w:jc w:val="center"/>
                    <w:rPr>
                      <w:color w:val="000000"/>
                      <w:szCs w:val="21"/>
                    </w:rPr>
                  </w:pPr>
                  <w:r>
                    <w:rPr>
                      <w:color w:val="000000"/>
                      <w:szCs w:val="21"/>
                    </w:rPr>
                    <w:t>≥11.00</w:t>
                  </w:r>
                </w:p>
              </w:tc>
              <w:tc>
                <w:tcPr>
                  <w:tcW w:w="541" w:type="pct"/>
                  <w:vAlign w:val="center"/>
                </w:tcPr>
                <w:p>
                  <w:pPr>
                    <w:jc w:val="center"/>
                    <w:rPr>
                      <w:color w:val="000000"/>
                      <w:szCs w:val="21"/>
                    </w:rPr>
                  </w:pPr>
                  <w:r>
                    <w:rPr>
                      <w:color w:val="000000"/>
                      <w:szCs w:val="21"/>
                    </w:rPr>
                    <w:t>＜4</w:t>
                  </w:r>
                </w:p>
              </w:tc>
              <w:tc>
                <w:tcPr>
                  <w:tcW w:w="567" w:type="pct"/>
                  <w:vAlign w:val="center"/>
                </w:tcPr>
                <w:p>
                  <w:pPr>
                    <w:jc w:val="center"/>
                    <w:rPr>
                      <w:color w:val="000000"/>
                      <w:szCs w:val="21"/>
                    </w:rPr>
                  </w:pPr>
                  <w:r>
                    <w:rPr>
                      <w:color w:val="000000"/>
                      <w:szCs w:val="21"/>
                    </w:rPr>
                    <w:t>≤0.2</w:t>
                  </w:r>
                </w:p>
              </w:tc>
              <w:tc>
                <w:tcPr>
                  <w:tcW w:w="567" w:type="pct"/>
                  <w:vAlign w:val="center"/>
                </w:tcPr>
                <w:p>
                  <w:pPr>
                    <w:jc w:val="center"/>
                    <w:rPr>
                      <w:color w:val="000000"/>
                      <w:szCs w:val="21"/>
                    </w:rPr>
                  </w:pPr>
                  <w:r>
                    <w:rPr>
                      <w:color w:val="000000"/>
                      <w:szCs w:val="21"/>
                    </w:rPr>
                    <w:t>≥17</w:t>
                  </w:r>
                </w:p>
              </w:tc>
              <w:tc>
                <w:tcPr>
                  <w:tcW w:w="541" w:type="pct"/>
                  <w:vAlign w:val="center"/>
                </w:tcPr>
                <w:p>
                  <w:pPr>
                    <w:jc w:val="center"/>
                    <w:rPr>
                      <w:color w:val="000000"/>
                      <w:szCs w:val="21"/>
                    </w:rPr>
                  </w:pPr>
                  <w:r>
                    <w:rPr>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819" w:type="pct"/>
                  <w:vAlign w:val="center"/>
                </w:tcPr>
                <w:p>
                  <w:pPr>
                    <w:jc w:val="center"/>
                  </w:pPr>
                  <w:r>
                    <w:rPr>
                      <w:rFonts w:hint="eastAsia"/>
                    </w:rPr>
                    <w:t>陶瓷用钾长石粉</w:t>
                  </w:r>
                </w:p>
              </w:tc>
              <w:tc>
                <w:tcPr>
                  <w:tcW w:w="965" w:type="pct"/>
                  <w:vAlign w:val="center"/>
                </w:tcPr>
                <w:p>
                  <w:pPr>
                    <w:jc w:val="center"/>
                    <w:rPr>
                      <w:color w:val="000000"/>
                      <w:szCs w:val="21"/>
                    </w:rPr>
                  </w:pPr>
                  <w:r>
                    <w:rPr>
                      <w:color w:val="000000"/>
                      <w:szCs w:val="21"/>
                    </w:rPr>
                    <w:t>≥11.00</w:t>
                  </w:r>
                </w:p>
              </w:tc>
              <w:tc>
                <w:tcPr>
                  <w:tcW w:w="541" w:type="pct"/>
                  <w:vAlign w:val="center"/>
                </w:tcPr>
                <w:p>
                  <w:pPr>
                    <w:jc w:val="center"/>
                    <w:rPr>
                      <w:color w:val="000000"/>
                      <w:szCs w:val="21"/>
                    </w:rPr>
                  </w:pPr>
                  <w:r>
                    <w:rPr>
                      <w:color w:val="000000"/>
                      <w:szCs w:val="21"/>
                    </w:rPr>
                    <w:t>/</w:t>
                  </w:r>
                </w:p>
              </w:tc>
              <w:tc>
                <w:tcPr>
                  <w:tcW w:w="567" w:type="pct"/>
                  <w:vAlign w:val="center"/>
                </w:tcPr>
                <w:p>
                  <w:pPr>
                    <w:jc w:val="center"/>
                    <w:rPr>
                      <w:color w:val="000000"/>
                      <w:szCs w:val="21"/>
                    </w:rPr>
                  </w:pPr>
                  <w:r>
                    <w:rPr>
                      <w:color w:val="000000"/>
                      <w:szCs w:val="21"/>
                    </w:rPr>
                    <w:t>≤0.5</w:t>
                  </w:r>
                </w:p>
              </w:tc>
              <w:tc>
                <w:tcPr>
                  <w:tcW w:w="567" w:type="pct"/>
                  <w:vAlign w:val="center"/>
                </w:tcPr>
                <w:p>
                  <w:pPr>
                    <w:jc w:val="center"/>
                    <w:rPr>
                      <w:color w:val="000000"/>
                      <w:szCs w:val="21"/>
                    </w:rPr>
                  </w:pPr>
                  <w:r>
                    <w:rPr>
                      <w:color w:val="000000"/>
                      <w:szCs w:val="21"/>
                    </w:rPr>
                    <w:t>≥17</w:t>
                  </w:r>
                </w:p>
              </w:tc>
              <w:tc>
                <w:tcPr>
                  <w:tcW w:w="541" w:type="pct"/>
                  <w:vAlign w:val="center"/>
                </w:tcPr>
                <w:p>
                  <w:pPr>
                    <w:jc w:val="center"/>
                    <w:rPr>
                      <w:color w:val="000000"/>
                      <w:szCs w:val="21"/>
                    </w:rPr>
                  </w:pPr>
                  <w:r>
                    <w:rPr>
                      <w:color w:val="000000"/>
                      <w:szCs w:val="21"/>
                    </w:rPr>
                    <w:t>＜2</w:t>
                  </w:r>
                </w:p>
              </w:tc>
            </w:tr>
          </w:tbl>
          <w:p>
            <w:pPr>
              <w:pStyle w:val="37"/>
              <w:ind w:firstLine="480"/>
            </w:pPr>
            <w:r>
              <w:rPr>
                <w:rFonts w:hint="eastAsia"/>
              </w:rPr>
              <w:t>4、公用工程</w:t>
            </w:r>
          </w:p>
          <w:p>
            <w:pPr>
              <w:pStyle w:val="37"/>
              <w:ind w:firstLine="480"/>
            </w:pPr>
            <w:r>
              <w:rPr>
                <w:rFonts w:hint="eastAsia"/>
              </w:rPr>
              <w:t>（1）给水</w:t>
            </w:r>
          </w:p>
          <w:p>
            <w:pPr>
              <w:pStyle w:val="37"/>
              <w:ind w:firstLine="480"/>
            </w:pPr>
            <w:r>
              <w:rPr>
                <w:rFonts w:hint="eastAsia"/>
              </w:rPr>
              <w:t>本项目生产用水取自大渡河河水，生活用水取自山泉水。</w:t>
            </w:r>
          </w:p>
          <w:p>
            <w:pPr>
              <w:pStyle w:val="37"/>
              <w:ind w:firstLine="480"/>
            </w:pPr>
            <w:r>
              <w:rPr>
                <w:rFonts w:hint="eastAsia"/>
              </w:rPr>
              <w:t>（2）供电</w:t>
            </w:r>
          </w:p>
          <w:p>
            <w:pPr>
              <w:pStyle w:val="37"/>
              <w:ind w:firstLine="480"/>
            </w:pPr>
            <w:r>
              <w:rPr>
                <w:rFonts w:hint="eastAsia"/>
              </w:rPr>
              <w:t>该项目主要用电有机械设备作业、办公、照明等，该项目的用电来源于当地电网。</w:t>
            </w:r>
          </w:p>
          <w:p>
            <w:pPr>
              <w:pStyle w:val="37"/>
              <w:ind w:firstLine="480"/>
            </w:pPr>
            <w:r>
              <w:rPr>
                <w:rFonts w:hint="eastAsia"/>
              </w:rPr>
              <w:t>（3）排水</w:t>
            </w:r>
          </w:p>
          <w:p>
            <w:pPr>
              <w:pStyle w:val="37"/>
              <w:ind w:firstLine="480"/>
            </w:pPr>
            <w:r>
              <w:rPr>
                <w:rFonts w:hint="eastAsia"/>
              </w:rPr>
              <w:t>厂区排水采用雨污分流制，雨水经厂区内截水沟渠汇集后，进入初期雨水沉淀池，回用于生产工序；职工生活污水采用化粪池处理后排入乡镇污水管网。</w:t>
            </w:r>
          </w:p>
          <w:p>
            <w:pPr>
              <w:pStyle w:val="4"/>
              <w:ind w:firstLine="482"/>
            </w:pPr>
            <w:r>
              <w:rPr>
                <w:rFonts w:hint="eastAsia"/>
              </w:rPr>
              <w:t>五、项目选址合理性分析</w:t>
            </w:r>
          </w:p>
          <w:p>
            <w:pPr>
              <w:pStyle w:val="37"/>
              <w:ind w:firstLine="480"/>
            </w:pPr>
            <w:r>
              <w:rPr>
                <w:rFonts w:hint="eastAsia"/>
              </w:rPr>
              <w:t>本项目位于峨边彝族自治县五渡镇工农村2组，属于峨边彝族自治县工业集中区B区，本次钾长石磁选生产线是将原有厂区内中部水洗线进行改扩建，便于项目依托原有公辅设施，选址合理，项目西北面为五渡镇场镇（场镇住户约500人），最近距离为80m；项目北面大渡河对岸刘沟村分布有散居住户（17户，50人），最近距离为300m；项目西侧分布有散居住户（6户，18人），最近住户距离本项目西厂界约55m；项目东侧和东南侧紧邻大渡河和柏溪沟，柏溪沟对岸为峨边宇辰矿业开发有限公司；项目距离龚嘴电站约3km，距离铜街子电站约10km。项目周边与乡村道路相通，交通较为便利。项目周边不涉及自然保护区、风景名胜区、饮用水水源保护区等环境敏感区域。项目周边分布有同类型的钾长石加工企业，如仲豪钾长石矿厂、峨边五渡工农长石矿厂等。</w:t>
            </w:r>
          </w:p>
          <w:p>
            <w:pPr>
              <w:pStyle w:val="37"/>
              <w:ind w:firstLine="480"/>
            </w:pPr>
            <w:r>
              <w:rPr>
                <w:rFonts w:hint="eastAsia"/>
              </w:rPr>
              <w:t>综上所述，从项目外环境关系、环境敏感目标、基础条件等分析，评价认为本项目选址具有合理性。</w:t>
            </w:r>
          </w:p>
          <w:p>
            <w:pPr>
              <w:pStyle w:val="4"/>
              <w:ind w:firstLine="482"/>
            </w:pPr>
            <w:r>
              <w:rPr>
                <w:rFonts w:hint="eastAsia"/>
              </w:rPr>
              <w:t>六、项目平面布局合理性分析</w:t>
            </w:r>
          </w:p>
          <w:p>
            <w:pPr>
              <w:pStyle w:val="37"/>
              <w:ind w:firstLine="480"/>
            </w:pPr>
            <w:r>
              <w:rPr>
                <w:rFonts w:hint="eastAsia"/>
              </w:rPr>
              <w:t>本项目于原有厂区内改扩建，项目用地呈不规则形状，厂区内按生产流程分为原料堆场、水洗生产线、磁选车间、脱水车间、烘干车间、柴油库、办公用房，具体平面布置见附图2。项目建设的磁选生产线位于厂区中部，水洗生产线南侧，项目机械设备距离四周厂界较远，有利于噪声衰减。项目磁选生产线采取在密闭生产厂房内进行有利于减少粉尘产生。</w:t>
            </w:r>
          </w:p>
          <w:p>
            <w:pPr>
              <w:pStyle w:val="37"/>
              <w:ind w:firstLine="480"/>
            </w:pPr>
            <w:r>
              <w:rPr>
                <w:rFonts w:hint="eastAsia"/>
              </w:rPr>
              <w:t>综上所述，评价认为本项目总平面布置是合理的。</w:t>
            </w:r>
          </w:p>
          <w:p>
            <w:pPr>
              <w:pStyle w:val="4"/>
              <w:ind w:firstLine="482"/>
              <w:rPr>
                <w:rFonts w:ascii="SimSun" w:hAnsi="SimSun"/>
              </w:rPr>
            </w:pPr>
            <w:r>
              <w:rPr>
                <w:rFonts w:hint="eastAsia" w:ascii="SimSun" w:hAnsi="SimSun"/>
              </w:rPr>
              <w:t>七、项目外环境关系及相容性分析</w:t>
            </w:r>
          </w:p>
          <w:p>
            <w:pPr>
              <w:pStyle w:val="37"/>
              <w:ind w:firstLine="480"/>
            </w:pPr>
            <w:r>
              <w:rPr>
                <w:rFonts w:hint="eastAsia"/>
              </w:rPr>
              <w:t>1、外环境关系</w:t>
            </w:r>
          </w:p>
          <w:p>
            <w:pPr>
              <w:pStyle w:val="37"/>
              <w:ind w:firstLine="480"/>
            </w:pPr>
            <w:r>
              <w:rPr>
                <w:rFonts w:hint="eastAsia"/>
              </w:rPr>
              <w:t>根据现场踏勘，本项目场站外环境关系如下：项目西北面为五渡镇场镇（场镇住户约500人），最近距离为60m；项目北面大渡河对岸刘沟村分布有散居住户（17户，50人），最近距离为300m；项目西侧分布有散居住户（6户，18人），最近住户距离本项目西厂界约55m；项目东侧和东南侧紧邻大渡河和柏溪沟，柏溪沟对岸为峨边骏飞矿业有限公司。大渡河位于项目东侧，自西北向东南流向，其水域功能主要为泄洪、灌溉、生活水源、工业水源。项目选址区域内不涉及通信管线、军事设施、古代文物，周边200m范围内不涉及自然保护区、饮用水水源保护区等环境敏感区域。</w:t>
            </w:r>
          </w:p>
          <w:p>
            <w:pPr>
              <w:pStyle w:val="37"/>
              <w:ind w:firstLine="480"/>
            </w:pPr>
            <w:r>
              <w:rPr>
                <w:rFonts w:hint="eastAsia"/>
              </w:rPr>
              <w:t>2、外环境相容性分析</w:t>
            </w:r>
          </w:p>
          <w:p>
            <w:pPr>
              <w:pStyle w:val="37"/>
              <w:ind w:firstLine="480"/>
            </w:pPr>
            <w:r>
              <w:rPr>
                <w:rFonts w:hint="eastAsia"/>
              </w:rPr>
              <w:t>根据项目外环境关系，本项目外环境关系较为简单，厂址周边主要制约因素为场镇住户及周边散居住户。本项目运营期产生的污染物主要为噪声、废气，能够做到达标排放，对周边环境影响较小。本项目运营期主要环境问题为废水处理问题，项目废水依托现有工程内废水循环沉淀处理系统处理，废水能够做到循环利用，不外排。由于项目东侧紧邻大渡河，为减小对大渡河水环境质量的影响，评价要求建设单位完善厂区内雨污管网建设，加强厂区内对初期雨水的收集，禁止雨污混流直排。</w:t>
            </w:r>
          </w:p>
          <w:p>
            <w:pPr>
              <w:pStyle w:val="37"/>
              <w:ind w:firstLine="480"/>
              <w:rPr>
                <w:vertAlign w:val="superscript"/>
              </w:rPr>
            </w:pPr>
            <w:r>
              <w:rPr>
                <w:rFonts w:hint="eastAsia"/>
              </w:rPr>
              <w:t>综上所述，评价认为本项目与外环境相容。</w:t>
            </w:r>
          </w:p>
          <w:p>
            <w:pPr>
              <w:pStyle w:val="4"/>
              <w:ind w:firstLine="482"/>
              <w:rPr>
                <w:rFonts w:ascii="SimSun" w:hAnsi="SimSun"/>
              </w:rPr>
            </w:pPr>
            <w:r>
              <w:rPr>
                <w:rFonts w:hint="eastAsia" w:ascii="SimSun" w:hAnsi="SimSun"/>
              </w:rPr>
              <w:t>十、改扩建项目“以新带老”措施</w:t>
            </w:r>
          </w:p>
          <w:p>
            <w:pPr>
              <w:pStyle w:val="37"/>
              <w:ind w:firstLine="480"/>
            </w:pPr>
            <w:r>
              <w:rPr>
                <w:rFonts w:hint="eastAsia"/>
              </w:rPr>
              <w:t>本项目为原址改扩建项目，于原有厂区内进行技改扩能。本次改扩建工程建设内容相对于现有工程，</w:t>
            </w:r>
            <w:r>
              <w:rPr>
                <w:rFonts w:hint="eastAsia"/>
                <w:color w:val="FF0000"/>
              </w:rPr>
              <w:t>本工程“以新带老”整改措施如下：</w:t>
            </w:r>
          </w:p>
          <w:p>
            <w:pPr>
              <w:pStyle w:val="37"/>
              <w:ind w:firstLine="480"/>
              <w:rPr>
                <w:color w:val="FF0000"/>
              </w:rPr>
            </w:pPr>
            <w:r>
              <w:rPr>
                <w:rFonts w:hint="eastAsia"/>
                <w:color w:val="FF0000"/>
              </w:rPr>
              <w:t>1、废气</w:t>
            </w:r>
          </w:p>
          <w:p>
            <w:pPr>
              <w:pStyle w:val="37"/>
              <w:ind w:firstLine="480"/>
              <w:rPr>
                <w:color w:val="FF0000"/>
              </w:rPr>
            </w:pPr>
            <w:r>
              <w:rPr>
                <w:rFonts w:hint="eastAsia"/>
                <w:color w:val="FF0000"/>
              </w:rPr>
              <w:t>对烘干废气排气筒安装监测平台及监测孔，食堂安装油烟净化器。对原料堆场搭棚并增设喷雾系统降尘。</w:t>
            </w:r>
          </w:p>
          <w:p>
            <w:pPr>
              <w:pStyle w:val="37"/>
              <w:numPr>
                <w:ilvl w:val="0"/>
                <w:numId w:val="1"/>
              </w:numPr>
              <w:ind w:firstLine="480" w:firstLineChars="0"/>
              <w:rPr>
                <w:color w:val="FF0000"/>
              </w:rPr>
            </w:pPr>
            <w:r>
              <w:rPr>
                <w:rFonts w:hint="eastAsia"/>
                <w:color w:val="FF0000"/>
              </w:rPr>
              <w:t>废水</w:t>
            </w:r>
          </w:p>
          <w:p>
            <w:pPr>
              <w:pStyle w:val="37"/>
              <w:ind w:firstLine="480"/>
              <w:rPr>
                <w:color w:val="FF0000"/>
              </w:rPr>
            </w:pPr>
            <w:r>
              <w:rPr>
                <w:rFonts w:hint="eastAsia"/>
                <w:color w:val="FF0000"/>
              </w:rPr>
              <w:t>对厂区厂容厂貌进行整治，规范厂区、合理布局，对裸露物料加工区、废水收集池进行搭棚，完善项目厂区内雨污管网，确保雨污不混流、不直排。</w:t>
            </w:r>
          </w:p>
          <w:p>
            <w:pPr>
              <w:pStyle w:val="37"/>
              <w:numPr>
                <w:ilvl w:val="0"/>
                <w:numId w:val="1"/>
              </w:numPr>
              <w:ind w:left="480" w:firstLine="0" w:firstLineChars="0"/>
              <w:rPr>
                <w:color w:val="FF0000"/>
              </w:rPr>
            </w:pPr>
            <w:r>
              <w:rPr>
                <w:rFonts w:hint="eastAsia"/>
                <w:color w:val="FF0000"/>
              </w:rPr>
              <w:t>固废</w:t>
            </w:r>
          </w:p>
          <w:p>
            <w:pPr>
              <w:pStyle w:val="37"/>
              <w:ind w:firstLine="480"/>
              <w:rPr>
                <w:color w:val="FF0000"/>
              </w:rPr>
            </w:pPr>
            <w:r>
              <w:rPr>
                <w:rFonts w:hint="eastAsia"/>
                <w:color w:val="FF0000"/>
              </w:rPr>
              <w:t>对现有危险废物暂存间进行整改，完善防流失、防扬散、防渗漏措施，建立危险废物管理台账。</w:t>
            </w:r>
          </w:p>
          <w:p>
            <w:pPr>
              <w:pStyle w:val="37"/>
              <w:ind w:firstLine="48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000" w:type="pct"/>
            <w:gridSpan w:val="11"/>
          </w:tcPr>
          <w:p>
            <w:pPr>
              <w:pStyle w:val="3"/>
            </w:pPr>
            <w:r>
              <w:rPr>
                <w:rFonts w:hint="eastAsia"/>
              </w:rPr>
              <w:t>与本项目有关的原有污染情况及主要环境问题：</w:t>
            </w:r>
          </w:p>
          <w:p>
            <w:pPr>
              <w:pStyle w:val="37"/>
              <w:ind w:firstLine="480"/>
            </w:pPr>
            <w:r>
              <w:rPr>
                <w:rFonts w:hint="eastAsia"/>
              </w:rPr>
              <w:t>本项目为原址改扩建部分工程项目，原有工程位于峨边彝族自治县五渡镇工农村2组，于2001年建成投运，公司在成立之初主要采用酸洗罐法生产高端陶瓷用钾长石，年生产25万吨钾长石。公司于2015年委托重庆智力环境开发策划咨询有限公司编制了《改扩建年产15万吨电磁选钾长石生产线技改项目环境影响报告书》并取得批复（峨边环建[2015]13号），于2017年3月委托乐山市沙湾区环境监测站编制了《改扩建年产15万吨电磁选钾长石生产线技改项目竣工环境保护验收监测报告》，并通过竣工环保验收（峨边环验[2017]6号）。现有工程年产15万吨钾长石粉，职工人数为23人，项目运营至今未发生环保投诉纠纷，未出现扰民现象。本项目原有污染情况及主要环境问题分析如下：</w:t>
            </w:r>
          </w:p>
          <w:p>
            <w:pPr>
              <w:pStyle w:val="61"/>
              <w:ind w:firstLine="480"/>
              <w:rPr>
                <w:b w:val="0"/>
              </w:rPr>
            </w:pPr>
            <w:r>
              <w:rPr>
                <w:rFonts w:hint="eastAsia"/>
                <w:b w:val="0"/>
              </w:rPr>
              <w:t>1、原有工程概况</w:t>
            </w:r>
          </w:p>
          <w:p>
            <w:pPr>
              <w:pStyle w:val="37"/>
              <w:ind w:firstLine="480"/>
            </w:pPr>
            <w:r>
              <w:rPr>
                <w:rFonts w:hint="eastAsia"/>
              </w:rPr>
              <w:t>（1）原有工程项目组成</w:t>
            </w:r>
          </w:p>
          <w:p>
            <w:pPr>
              <w:pStyle w:val="37"/>
              <w:ind w:firstLine="480"/>
            </w:pPr>
            <w:r>
              <w:rPr>
                <w:rFonts w:hint="eastAsia"/>
              </w:rPr>
              <w:t>原有工程主要由主体工程、辅助公用工程、办公及生活设施、仓储工程、环保工程等组成。</w:t>
            </w:r>
            <w:r>
              <w:rPr>
                <w:rFonts w:hint="eastAsia"/>
                <w:bCs/>
              </w:rPr>
              <w:t>现有工程项目组成如下</w:t>
            </w:r>
            <w:r>
              <w:rPr>
                <w:rFonts w:hint="eastAsia"/>
              </w:rPr>
              <w:t>表1-1</w:t>
            </w:r>
            <w:r>
              <w:t>0</w:t>
            </w:r>
            <w:r>
              <w:rPr>
                <w:rFonts w:hint="eastAsia"/>
              </w:rPr>
              <w:t>。</w:t>
            </w:r>
          </w:p>
          <w:p>
            <w:pPr>
              <w:pStyle w:val="36"/>
            </w:pPr>
            <w:r>
              <w:rPr>
                <w:rFonts w:hint="eastAsia"/>
              </w:rPr>
              <w:t>表</w:t>
            </w:r>
            <w:r>
              <w:t>1-</w:t>
            </w:r>
            <w:r>
              <w:rPr>
                <w:rFonts w:hint="eastAsia"/>
              </w:rPr>
              <w:t>1</w:t>
            </w:r>
            <w:r>
              <w:t>0</w:t>
            </w:r>
            <w:r>
              <w:rPr>
                <w:rFonts w:hint="eastAsia"/>
              </w:rPr>
              <w:t>原有工程组成一览表</w:t>
            </w:r>
          </w:p>
          <w:tbl>
            <w:tblPr>
              <w:tblStyle w:val="2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70"/>
              <w:gridCol w:w="1701"/>
              <w:gridCol w:w="4112"/>
              <w:gridCol w:w="19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640" w:type="pct"/>
                  <w:gridSpan w:val="2"/>
                  <w:tcBorders>
                    <w:right w:val="single" w:color="auto" w:sz="4" w:space="0"/>
                  </w:tcBorders>
                  <w:vAlign w:val="center"/>
                </w:tcPr>
                <w:p>
                  <w:pPr>
                    <w:pStyle w:val="47"/>
                  </w:pPr>
                  <w:r>
                    <w:t>名</w:t>
                  </w:r>
                  <w:r>
                    <w:rPr>
                      <w:rFonts w:hint="eastAsia"/>
                    </w:rPr>
                    <w:t>称</w:t>
                  </w:r>
                </w:p>
              </w:tc>
              <w:tc>
                <w:tcPr>
                  <w:tcW w:w="2270" w:type="pct"/>
                  <w:tcBorders>
                    <w:left w:val="single" w:color="auto" w:sz="4" w:space="0"/>
                    <w:right w:val="single" w:color="auto" w:sz="4" w:space="0"/>
                  </w:tcBorders>
                  <w:vAlign w:val="center"/>
                </w:tcPr>
                <w:p>
                  <w:pPr>
                    <w:pStyle w:val="47"/>
                  </w:pPr>
                  <w:r>
                    <w:t>建设</w:t>
                  </w:r>
                  <w:r>
                    <w:rPr>
                      <w:rFonts w:hint="eastAsia"/>
                    </w:rPr>
                    <w:t>内容</w:t>
                  </w:r>
                  <w:r>
                    <w:t>及规模</w:t>
                  </w:r>
                </w:p>
              </w:tc>
              <w:tc>
                <w:tcPr>
                  <w:tcW w:w="1090" w:type="pct"/>
                  <w:tcBorders>
                    <w:left w:val="single" w:color="auto" w:sz="4" w:space="0"/>
                  </w:tcBorders>
                  <w:vAlign w:val="center"/>
                </w:tcPr>
                <w:p>
                  <w:pPr>
                    <w:pStyle w:val="47"/>
                  </w:pPr>
                  <w:r>
                    <w:rPr>
                      <w:rFonts w:hint="eastAsia"/>
                    </w:rPr>
                    <w:t>主要环境问题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restart"/>
                  <w:vAlign w:val="center"/>
                </w:tcPr>
                <w:p>
                  <w:pPr>
                    <w:pStyle w:val="47"/>
                  </w:pPr>
                  <w:r>
                    <w:rPr>
                      <w:rFonts w:hint="eastAsia"/>
                    </w:rPr>
                    <w:t>主体工程</w:t>
                  </w:r>
                </w:p>
              </w:tc>
              <w:tc>
                <w:tcPr>
                  <w:tcW w:w="939" w:type="pct"/>
                  <w:tcBorders>
                    <w:right w:val="single" w:color="auto" w:sz="4" w:space="0"/>
                  </w:tcBorders>
                  <w:vAlign w:val="center"/>
                </w:tcPr>
                <w:p>
                  <w:pPr>
                    <w:pStyle w:val="47"/>
                  </w:pPr>
                  <w:r>
                    <w:rPr>
                      <w:rFonts w:hint="eastAsia"/>
                    </w:rPr>
                    <w:t>釉料钾长石生产线</w:t>
                  </w:r>
                </w:p>
              </w:tc>
              <w:tc>
                <w:tcPr>
                  <w:tcW w:w="2270" w:type="pct"/>
                  <w:tcBorders>
                    <w:left w:val="single" w:color="auto" w:sz="4" w:space="0"/>
                    <w:right w:val="single" w:color="auto" w:sz="4" w:space="0"/>
                  </w:tcBorders>
                  <w:vAlign w:val="center"/>
                </w:tcPr>
                <w:p>
                  <w:pPr>
                    <w:pStyle w:val="47"/>
                  </w:pPr>
                  <w:r>
                    <w:rPr>
                      <w:rFonts w:hint="eastAsia"/>
                    </w:rPr>
                    <w:t>从矿山购买的原矿做生产原料，经水洗、球磨、分级、脱泥、除铁、精制、脱水后形成釉料成品，年洗选釉料钾长石7.5万吨，主要配套有球磨机、螺旋分级机、除铁机、浓密机、袋式压滤机等</w:t>
                  </w:r>
                </w:p>
              </w:tc>
              <w:tc>
                <w:tcPr>
                  <w:tcW w:w="1090" w:type="pct"/>
                  <w:tcBorders>
                    <w:left w:val="single" w:color="auto" w:sz="4" w:space="0"/>
                  </w:tcBorders>
                  <w:vAlign w:val="center"/>
                </w:tcPr>
                <w:p>
                  <w:pPr>
                    <w:pStyle w:val="47"/>
                  </w:pPr>
                  <w:r>
                    <w:rPr>
                      <w:rFonts w:hint="eastAsia"/>
                    </w:rPr>
                    <w:t>噪声、粉尘、废水、固废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continue"/>
                  <w:vAlign w:val="center"/>
                </w:tcPr>
                <w:p>
                  <w:pPr>
                    <w:pStyle w:val="47"/>
                  </w:pPr>
                </w:p>
              </w:tc>
              <w:tc>
                <w:tcPr>
                  <w:tcW w:w="939" w:type="pct"/>
                  <w:tcBorders>
                    <w:right w:val="single" w:color="auto" w:sz="4" w:space="0"/>
                  </w:tcBorders>
                  <w:vAlign w:val="center"/>
                </w:tcPr>
                <w:p>
                  <w:pPr>
                    <w:pStyle w:val="47"/>
                  </w:pPr>
                  <w:r>
                    <w:rPr>
                      <w:rFonts w:hint="eastAsia"/>
                    </w:rPr>
                    <w:t>坯料钾长石生产线</w:t>
                  </w:r>
                </w:p>
              </w:tc>
              <w:tc>
                <w:tcPr>
                  <w:tcW w:w="2270" w:type="pct"/>
                  <w:tcBorders>
                    <w:left w:val="single" w:color="auto" w:sz="4" w:space="0"/>
                    <w:right w:val="single" w:color="auto" w:sz="4" w:space="0"/>
                  </w:tcBorders>
                  <w:vAlign w:val="center"/>
                </w:tcPr>
                <w:p>
                  <w:pPr>
                    <w:pStyle w:val="47"/>
                  </w:pPr>
                  <w:r>
                    <w:rPr>
                      <w:rFonts w:hint="eastAsia"/>
                    </w:rPr>
                    <w:t>从矿山购买的原矿做生产原料，经水洗、球磨、分级、脱泥、除铁、精制、脱水后形成釉料成品，年洗选釉料钾长石7.5万吨，主要配套有球磨机、螺旋分级机、除铁机、浓密机、袋式压滤机等</w:t>
                  </w:r>
                </w:p>
              </w:tc>
              <w:tc>
                <w:tcPr>
                  <w:tcW w:w="1090" w:type="pct"/>
                  <w:tcBorders>
                    <w:left w:val="single" w:color="auto" w:sz="4" w:space="0"/>
                  </w:tcBorders>
                  <w:vAlign w:val="center"/>
                </w:tcPr>
                <w:p>
                  <w:pPr>
                    <w:pStyle w:val="47"/>
                  </w:pPr>
                  <w:r>
                    <w:rPr>
                      <w:rFonts w:hint="eastAsia"/>
                    </w:rPr>
                    <w:t>噪声、粉尘、废水、固废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restart"/>
                  <w:vAlign w:val="center"/>
                </w:tcPr>
                <w:p>
                  <w:pPr>
                    <w:pStyle w:val="47"/>
                  </w:pPr>
                  <w:r>
                    <w:t>辅助公用工</w:t>
                  </w:r>
                </w:p>
              </w:tc>
              <w:tc>
                <w:tcPr>
                  <w:tcW w:w="939" w:type="pct"/>
                  <w:tcBorders>
                    <w:right w:val="single" w:color="auto" w:sz="4" w:space="0"/>
                  </w:tcBorders>
                  <w:vAlign w:val="center"/>
                </w:tcPr>
                <w:p>
                  <w:pPr>
                    <w:pStyle w:val="47"/>
                  </w:pPr>
                  <w:r>
                    <w:rPr>
                      <w:rFonts w:hint="eastAsia"/>
                    </w:rPr>
                    <w:t>烘干</w:t>
                  </w:r>
                </w:p>
              </w:tc>
              <w:tc>
                <w:tcPr>
                  <w:tcW w:w="2270" w:type="pct"/>
                  <w:tcBorders>
                    <w:left w:val="single" w:color="auto" w:sz="4" w:space="0"/>
                    <w:right w:val="single" w:color="auto" w:sz="4" w:space="0"/>
                  </w:tcBorders>
                  <w:vAlign w:val="center"/>
                </w:tcPr>
                <w:p>
                  <w:pPr>
                    <w:pStyle w:val="47"/>
                  </w:pPr>
                  <w:r>
                    <w:rPr>
                      <w:rFonts w:hint="eastAsia"/>
                    </w:rPr>
                    <w:t>采用滚筒式烘干机对矿粉进行烘干，采用煤炭作为能源，年烘干1万吨钾长石粉</w:t>
                  </w:r>
                </w:p>
              </w:tc>
              <w:tc>
                <w:tcPr>
                  <w:tcW w:w="1090" w:type="pct"/>
                  <w:tcBorders>
                    <w:left w:val="single" w:color="auto" w:sz="4" w:space="0"/>
                  </w:tcBorders>
                  <w:vAlign w:val="center"/>
                </w:tcPr>
                <w:p>
                  <w:pPr>
                    <w:pStyle w:val="47"/>
                  </w:pPr>
                  <w:r>
                    <w:rPr>
                      <w:rFonts w:hint="eastAsia"/>
                    </w:rPr>
                    <w:t>废气、固废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continue"/>
                  <w:vAlign w:val="center"/>
                </w:tcPr>
                <w:p>
                  <w:pPr>
                    <w:pStyle w:val="47"/>
                  </w:pPr>
                </w:p>
              </w:tc>
              <w:tc>
                <w:tcPr>
                  <w:tcW w:w="939" w:type="pct"/>
                  <w:tcBorders>
                    <w:right w:val="single" w:color="auto" w:sz="4" w:space="0"/>
                  </w:tcBorders>
                  <w:vAlign w:val="center"/>
                </w:tcPr>
                <w:p>
                  <w:pPr>
                    <w:pStyle w:val="47"/>
                  </w:pPr>
                  <w:r>
                    <w:rPr>
                      <w:rFonts w:hint="eastAsia"/>
                    </w:rPr>
                    <w:t>原料堆场</w:t>
                  </w:r>
                </w:p>
              </w:tc>
              <w:tc>
                <w:tcPr>
                  <w:tcW w:w="2270" w:type="pct"/>
                  <w:tcBorders>
                    <w:left w:val="single" w:color="auto" w:sz="4" w:space="0"/>
                    <w:right w:val="single" w:color="auto" w:sz="4" w:space="0"/>
                  </w:tcBorders>
                  <w:vAlign w:val="center"/>
                </w:tcPr>
                <w:p>
                  <w:pPr>
                    <w:pStyle w:val="47"/>
                  </w:pPr>
                  <w:r>
                    <w:rPr>
                      <w:rFonts w:hint="eastAsia"/>
                    </w:rPr>
                    <w:t>1000m</w:t>
                  </w:r>
                  <w:r>
                    <w:rPr>
                      <w:rFonts w:hint="eastAsia"/>
                      <w:vertAlign w:val="superscript"/>
                    </w:rPr>
                    <w:t>2</w:t>
                  </w:r>
                  <w:r>
                    <w:rPr>
                      <w:rFonts w:hint="eastAsia"/>
                    </w:rPr>
                    <w:t>，位于厂区南侧，与西面乡村道路相接</w:t>
                  </w:r>
                </w:p>
              </w:tc>
              <w:tc>
                <w:tcPr>
                  <w:tcW w:w="1090" w:type="pct"/>
                  <w:tcBorders>
                    <w:left w:val="single" w:color="auto" w:sz="4" w:space="0"/>
                  </w:tcBorders>
                  <w:vAlign w:val="center"/>
                </w:tcPr>
                <w:p>
                  <w:pPr>
                    <w:pStyle w:val="47"/>
                  </w:pPr>
                  <w:r>
                    <w:rPr>
                      <w:rFonts w:hint="eastAsia"/>
                    </w:rPr>
                    <w:t>废气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continue"/>
                  <w:vAlign w:val="center"/>
                </w:tcPr>
                <w:p>
                  <w:pPr>
                    <w:pStyle w:val="47"/>
                  </w:pPr>
                </w:p>
              </w:tc>
              <w:tc>
                <w:tcPr>
                  <w:tcW w:w="939" w:type="pct"/>
                  <w:tcBorders>
                    <w:right w:val="single" w:color="auto" w:sz="4" w:space="0"/>
                  </w:tcBorders>
                  <w:vAlign w:val="center"/>
                </w:tcPr>
                <w:p>
                  <w:pPr>
                    <w:pStyle w:val="47"/>
                  </w:pPr>
                  <w:r>
                    <w:rPr>
                      <w:rFonts w:hint="eastAsia"/>
                    </w:rPr>
                    <w:t>产品堆场</w:t>
                  </w:r>
                </w:p>
              </w:tc>
              <w:tc>
                <w:tcPr>
                  <w:tcW w:w="2270" w:type="pct"/>
                  <w:tcBorders>
                    <w:left w:val="single" w:color="auto" w:sz="4" w:space="0"/>
                    <w:right w:val="single" w:color="auto" w:sz="4" w:space="0"/>
                  </w:tcBorders>
                  <w:vAlign w:val="center"/>
                </w:tcPr>
                <w:p>
                  <w:pPr>
                    <w:pStyle w:val="47"/>
                  </w:pPr>
                  <w:r>
                    <w:rPr>
                      <w:rFonts w:hint="eastAsia"/>
                    </w:rPr>
                    <w:t>位于厂区中部，占地面积为1000m</w:t>
                  </w:r>
                  <w:r>
                    <w:rPr>
                      <w:rFonts w:hint="eastAsia"/>
                      <w:vertAlign w:val="superscript"/>
                    </w:rPr>
                    <w:t>2</w:t>
                  </w:r>
                </w:p>
              </w:tc>
              <w:tc>
                <w:tcPr>
                  <w:tcW w:w="1090" w:type="pct"/>
                  <w:tcBorders>
                    <w:left w:val="single" w:color="auto" w:sz="4" w:space="0"/>
                  </w:tcBorders>
                  <w:vAlign w:val="center"/>
                </w:tcPr>
                <w:p>
                  <w:pPr>
                    <w:pStyle w:val="47"/>
                  </w:pPr>
                  <w:r>
                    <w:rPr>
                      <w:rFonts w:hint="eastAsia"/>
                    </w:rPr>
                    <w:t>废气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restart"/>
                  <w:vAlign w:val="center"/>
                </w:tcPr>
                <w:p>
                  <w:pPr>
                    <w:pStyle w:val="47"/>
                  </w:pPr>
                  <w:r>
                    <w:rPr>
                      <w:rFonts w:hint="eastAsia"/>
                    </w:rPr>
                    <w:t>公用工程</w:t>
                  </w:r>
                </w:p>
              </w:tc>
              <w:tc>
                <w:tcPr>
                  <w:tcW w:w="939" w:type="pct"/>
                  <w:tcBorders>
                    <w:right w:val="single" w:color="auto" w:sz="4" w:space="0"/>
                  </w:tcBorders>
                  <w:vAlign w:val="center"/>
                </w:tcPr>
                <w:p>
                  <w:pPr>
                    <w:pStyle w:val="47"/>
                  </w:pPr>
                  <w:r>
                    <w:rPr>
                      <w:rFonts w:hint="eastAsia"/>
                    </w:rPr>
                    <w:t>供水</w:t>
                  </w:r>
                </w:p>
              </w:tc>
              <w:tc>
                <w:tcPr>
                  <w:tcW w:w="2270" w:type="pct"/>
                  <w:tcBorders>
                    <w:left w:val="single" w:color="auto" w:sz="4" w:space="0"/>
                    <w:right w:val="single" w:color="auto" w:sz="4" w:space="0"/>
                  </w:tcBorders>
                  <w:vAlign w:val="center"/>
                </w:tcPr>
                <w:p>
                  <w:pPr>
                    <w:pStyle w:val="47"/>
                  </w:pPr>
                  <w:r>
                    <w:rPr>
                      <w:rFonts w:hint="eastAsia"/>
                    </w:rPr>
                    <w:t>供水管网、取水泵房</w:t>
                  </w:r>
                </w:p>
              </w:tc>
              <w:tc>
                <w:tcPr>
                  <w:tcW w:w="1090" w:type="pct"/>
                  <w:tcBorders>
                    <w:left w:val="single" w:color="auto" w:sz="4" w:space="0"/>
                  </w:tcBorders>
                  <w:vAlign w:val="center"/>
                </w:tcPr>
                <w:p>
                  <w:pPr>
                    <w:pStyle w:val="47"/>
                  </w:pPr>
                  <w:r>
                    <w:rPr>
                      <w:rFonts w:hint="eastAsia"/>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continue"/>
                  <w:vAlign w:val="center"/>
                </w:tcPr>
                <w:p>
                  <w:pPr>
                    <w:pStyle w:val="47"/>
                  </w:pPr>
                </w:p>
              </w:tc>
              <w:tc>
                <w:tcPr>
                  <w:tcW w:w="939" w:type="pct"/>
                  <w:tcBorders>
                    <w:right w:val="single" w:color="auto" w:sz="4" w:space="0"/>
                  </w:tcBorders>
                  <w:vAlign w:val="center"/>
                </w:tcPr>
                <w:p>
                  <w:pPr>
                    <w:pStyle w:val="41"/>
                  </w:pPr>
                  <w:r>
                    <w:rPr>
                      <w:rFonts w:hint="eastAsia"/>
                    </w:rPr>
                    <w:t>厂区道路</w:t>
                  </w:r>
                </w:p>
              </w:tc>
              <w:tc>
                <w:tcPr>
                  <w:tcW w:w="2270" w:type="pct"/>
                  <w:tcBorders>
                    <w:left w:val="single" w:color="auto" w:sz="4" w:space="0"/>
                    <w:right w:val="single" w:color="auto" w:sz="4" w:space="0"/>
                  </w:tcBorders>
                  <w:vAlign w:val="center"/>
                </w:tcPr>
                <w:p>
                  <w:pPr>
                    <w:pStyle w:val="41"/>
                  </w:pPr>
                  <w:r>
                    <w:rPr>
                      <w:rFonts w:hint="eastAsia"/>
                    </w:rPr>
                    <w:t>厂区道路300m</w:t>
                  </w:r>
                </w:p>
              </w:tc>
              <w:tc>
                <w:tcPr>
                  <w:tcW w:w="1090" w:type="pct"/>
                  <w:tcBorders>
                    <w:left w:val="single" w:color="auto" w:sz="4" w:space="0"/>
                  </w:tcBorders>
                  <w:vAlign w:val="center"/>
                </w:tcPr>
                <w:p>
                  <w:pPr>
                    <w:pStyle w:val="47"/>
                  </w:pPr>
                  <w:r>
                    <w:rPr>
                      <w:rFonts w:hint="eastAsia"/>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Merge w:val="continue"/>
                  <w:vAlign w:val="center"/>
                </w:tcPr>
                <w:p>
                  <w:pPr>
                    <w:pStyle w:val="47"/>
                  </w:pPr>
                </w:p>
              </w:tc>
              <w:tc>
                <w:tcPr>
                  <w:tcW w:w="939" w:type="pct"/>
                  <w:tcBorders>
                    <w:right w:val="single" w:color="auto" w:sz="4" w:space="0"/>
                  </w:tcBorders>
                  <w:vAlign w:val="center"/>
                </w:tcPr>
                <w:p>
                  <w:pPr>
                    <w:pStyle w:val="47"/>
                  </w:pPr>
                  <w:r>
                    <w:rPr>
                      <w:rFonts w:hint="eastAsia"/>
                    </w:rPr>
                    <w:t>供电</w:t>
                  </w:r>
                </w:p>
              </w:tc>
              <w:tc>
                <w:tcPr>
                  <w:tcW w:w="2270" w:type="pct"/>
                  <w:tcBorders>
                    <w:left w:val="single" w:color="auto" w:sz="4" w:space="0"/>
                    <w:right w:val="single" w:color="auto" w:sz="4" w:space="0"/>
                  </w:tcBorders>
                  <w:vAlign w:val="center"/>
                </w:tcPr>
                <w:p>
                  <w:pPr>
                    <w:pStyle w:val="47"/>
                  </w:pPr>
                  <w:r>
                    <w:rPr>
                      <w:rFonts w:hint="eastAsia"/>
                    </w:rPr>
                    <w:t>配电室一座，变压器1台</w:t>
                  </w:r>
                </w:p>
              </w:tc>
              <w:tc>
                <w:tcPr>
                  <w:tcW w:w="1090" w:type="pct"/>
                  <w:tcBorders>
                    <w:left w:val="single" w:color="auto" w:sz="4" w:space="0"/>
                  </w:tcBorders>
                  <w:vAlign w:val="center"/>
                </w:tcPr>
                <w:p>
                  <w:pPr>
                    <w:pStyle w:val="47"/>
                  </w:pPr>
                  <w:r>
                    <w:rPr>
                      <w:rFonts w:hint="eastAsia"/>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75" w:hRule="atLeast"/>
                <w:jc w:val="center"/>
              </w:trPr>
              <w:tc>
                <w:tcPr>
                  <w:tcW w:w="701" w:type="pct"/>
                  <w:vAlign w:val="center"/>
                </w:tcPr>
                <w:p>
                  <w:pPr>
                    <w:pStyle w:val="47"/>
                  </w:pPr>
                  <w:r>
                    <w:rPr>
                      <w:rFonts w:hint="eastAsia"/>
                    </w:rPr>
                    <w:t>办公及生活设施</w:t>
                  </w:r>
                </w:p>
              </w:tc>
              <w:tc>
                <w:tcPr>
                  <w:tcW w:w="939" w:type="pct"/>
                  <w:tcBorders>
                    <w:bottom w:val="single" w:color="auto" w:sz="4" w:space="0"/>
                    <w:right w:val="single" w:color="auto" w:sz="4" w:space="0"/>
                  </w:tcBorders>
                  <w:vAlign w:val="center"/>
                </w:tcPr>
                <w:p>
                  <w:pPr>
                    <w:pStyle w:val="47"/>
                  </w:pPr>
                  <w:r>
                    <w:rPr>
                      <w:rFonts w:hint="eastAsia"/>
                    </w:rPr>
                    <w:t>办公用房</w:t>
                  </w:r>
                </w:p>
              </w:tc>
              <w:tc>
                <w:tcPr>
                  <w:tcW w:w="2270" w:type="pct"/>
                  <w:tcBorders>
                    <w:left w:val="single" w:color="auto" w:sz="4" w:space="0"/>
                    <w:bottom w:val="single" w:color="auto" w:sz="4" w:space="0"/>
                    <w:right w:val="single" w:color="auto" w:sz="4" w:space="0"/>
                  </w:tcBorders>
                  <w:vAlign w:val="center"/>
                </w:tcPr>
                <w:p>
                  <w:pPr>
                    <w:pStyle w:val="47"/>
                  </w:pPr>
                  <w:r>
                    <w:rPr>
                      <w:rFonts w:hint="eastAsia"/>
                    </w:rPr>
                    <w:t>总建筑面积600m</w:t>
                  </w:r>
                  <w:r>
                    <w:rPr>
                      <w:rFonts w:hint="eastAsia"/>
                      <w:vertAlign w:val="superscript"/>
                    </w:rPr>
                    <w:t>2</w:t>
                  </w:r>
                </w:p>
              </w:tc>
              <w:tc>
                <w:tcPr>
                  <w:tcW w:w="1090" w:type="pct"/>
                  <w:tcBorders>
                    <w:left w:val="single" w:color="auto" w:sz="4" w:space="0"/>
                  </w:tcBorders>
                  <w:vAlign w:val="center"/>
                </w:tcPr>
                <w:p>
                  <w:pPr>
                    <w:pStyle w:val="47"/>
                  </w:pPr>
                  <w:r>
                    <w:rPr>
                      <w:rFonts w:hint="eastAsia"/>
                    </w:rPr>
                    <w:t>生活污水、生活垃圾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01" w:type="pct"/>
                  <w:vAlign w:val="center"/>
                </w:tcPr>
                <w:p>
                  <w:pPr>
                    <w:pStyle w:val="47"/>
                  </w:pPr>
                  <w:r>
                    <w:t>备注</w:t>
                  </w:r>
                </w:p>
              </w:tc>
              <w:tc>
                <w:tcPr>
                  <w:tcW w:w="4299" w:type="pct"/>
                  <w:gridSpan w:val="3"/>
                  <w:vAlign w:val="center"/>
                </w:tcPr>
                <w:p>
                  <w:pPr>
                    <w:pStyle w:val="47"/>
                  </w:pPr>
                  <w:r>
                    <w:rPr>
                      <w:rFonts w:hint="eastAsia"/>
                    </w:rPr>
                    <w:t>/</w:t>
                  </w:r>
                </w:p>
              </w:tc>
            </w:tr>
          </w:tbl>
          <w:p>
            <w:pPr>
              <w:pStyle w:val="37"/>
              <w:ind w:firstLine="480"/>
            </w:pPr>
            <w:r>
              <w:rPr>
                <w:rFonts w:hint="eastAsia"/>
              </w:rPr>
              <w:t>（2）原有项目主要原辅材料、产品方案及主要设施规格、数量</w:t>
            </w:r>
          </w:p>
          <w:p>
            <w:pPr>
              <w:pStyle w:val="37"/>
              <w:ind w:firstLine="480"/>
            </w:pPr>
            <w:r>
              <w:rPr>
                <w:rFonts w:hint="eastAsia"/>
              </w:rPr>
              <w:t>1）原有项目主要原（辅）料</w:t>
            </w:r>
          </w:p>
          <w:p>
            <w:pPr>
              <w:pStyle w:val="36"/>
            </w:pPr>
            <w:r>
              <w:rPr>
                <w:rFonts w:hint="eastAsia"/>
              </w:rPr>
              <w:t>表</w:t>
            </w:r>
            <w:r>
              <w:t>1-</w:t>
            </w:r>
            <w:r>
              <w:rPr>
                <w:rFonts w:hint="eastAsia"/>
              </w:rPr>
              <w:t>1</w:t>
            </w:r>
            <w:r>
              <w:t>1</w:t>
            </w:r>
            <w:r>
              <w:rPr>
                <w:rFonts w:hint="eastAsia"/>
              </w:rPr>
              <w:t>原有项目主要原（辅）材料及能耗表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2052"/>
              <w:gridCol w:w="2099"/>
              <w:gridCol w:w="3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shd w:val="clear" w:color="auto" w:fill="auto"/>
                  <w:vAlign w:val="center"/>
                </w:tcPr>
                <w:p>
                  <w:pPr>
                    <w:pStyle w:val="50"/>
                  </w:pPr>
                </w:p>
              </w:tc>
              <w:tc>
                <w:tcPr>
                  <w:tcW w:w="1132" w:type="pct"/>
                  <w:shd w:val="clear" w:color="auto" w:fill="auto"/>
                  <w:vAlign w:val="center"/>
                </w:tcPr>
                <w:p>
                  <w:pPr>
                    <w:pStyle w:val="50"/>
                  </w:pPr>
                  <w:r>
                    <w:t>名称</w:t>
                  </w:r>
                </w:p>
              </w:tc>
              <w:tc>
                <w:tcPr>
                  <w:tcW w:w="1158" w:type="pct"/>
                  <w:shd w:val="clear" w:color="auto" w:fill="auto"/>
                  <w:vAlign w:val="center"/>
                </w:tcPr>
                <w:p>
                  <w:pPr>
                    <w:pStyle w:val="50"/>
                  </w:pPr>
                  <w:r>
                    <w:t>年耗量</w:t>
                  </w:r>
                </w:p>
              </w:tc>
              <w:tc>
                <w:tcPr>
                  <w:tcW w:w="1723" w:type="pct"/>
                  <w:shd w:val="clear" w:color="auto" w:fill="auto"/>
                  <w:vAlign w:val="center"/>
                </w:tcPr>
                <w:p>
                  <w:pPr>
                    <w:pStyle w:val="50"/>
                  </w:pPr>
                  <w: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988" w:type="pct"/>
                  <w:vMerge w:val="restart"/>
                  <w:shd w:val="clear" w:color="auto" w:fill="auto"/>
                  <w:vAlign w:val="center"/>
                </w:tcPr>
                <w:p>
                  <w:pPr>
                    <w:pStyle w:val="50"/>
                  </w:pPr>
                  <w:r>
                    <w:t>主（辅）料</w:t>
                  </w:r>
                </w:p>
              </w:tc>
              <w:tc>
                <w:tcPr>
                  <w:tcW w:w="1132" w:type="pct"/>
                  <w:shd w:val="clear" w:color="auto" w:fill="auto"/>
                  <w:vAlign w:val="center"/>
                </w:tcPr>
                <w:p>
                  <w:pPr>
                    <w:pStyle w:val="50"/>
                  </w:pPr>
                  <w:r>
                    <w:rPr>
                      <w:rFonts w:hint="eastAsia"/>
                    </w:rPr>
                    <w:t>钾长石矿石</w:t>
                  </w:r>
                </w:p>
              </w:tc>
              <w:tc>
                <w:tcPr>
                  <w:tcW w:w="1158" w:type="pct"/>
                  <w:shd w:val="clear" w:color="auto" w:fill="auto"/>
                  <w:vAlign w:val="center"/>
                </w:tcPr>
                <w:p>
                  <w:pPr>
                    <w:pStyle w:val="50"/>
                  </w:pPr>
                  <w:r>
                    <w:rPr>
                      <w:rFonts w:hint="eastAsia"/>
                    </w:rPr>
                    <w:t>16万t/a</w:t>
                  </w:r>
                </w:p>
              </w:tc>
              <w:tc>
                <w:tcPr>
                  <w:tcW w:w="1723" w:type="pct"/>
                  <w:shd w:val="clear" w:color="auto" w:fill="auto"/>
                  <w:vAlign w:val="center"/>
                </w:tcPr>
                <w:p>
                  <w:pPr>
                    <w:pStyle w:val="50"/>
                  </w:pPr>
                  <w:r>
                    <w:rPr>
                      <w:rFonts w:hint="eastAsia"/>
                    </w:rPr>
                    <w:t>当地钾长石矿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988" w:type="pct"/>
                  <w:vMerge w:val="continue"/>
                  <w:shd w:val="clear" w:color="auto" w:fill="auto"/>
                  <w:vAlign w:val="center"/>
                </w:tcPr>
                <w:p>
                  <w:pPr>
                    <w:pStyle w:val="50"/>
                  </w:pPr>
                </w:p>
              </w:tc>
              <w:tc>
                <w:tcPr>
                  <w:tcW w:w="1132" w:type="pct"/>
                  <w:shd w:val="clear" w:color="auto" w:fill="auto"/>
                  <w:vAlign w:val="center"/>
                </w:tcPr>
                <w:p>
                  <w:pPr>
                    <w:pStyle w:val="50"/>
                  </w:pPr>
                  <w:r>
                    <w:rPr>
                      <w:rFonts w:hint="eastAsia"/>
                    </w:rPr>
                    <w:t>絮凝剂</w:t>
                  </w:r>
                </w:p>
              </w:tc>
              <w:tc>
                <w:tcPr>
                  <w:tcW w:w="1158" w:type="pct"/>
                  <w:shd w:val="clear" w:color="auto" w:fill="auto"/>
                  <w:vAlign w:val="center"/>
                </w:tcPr>
                <w:p>
                  <w:pPr>
                    <w:pStyle w:val="50"/>
                  </w:pPr>
                  <w:r>
                    <w:rPr>
                      <w:rFonts w:hint="eastAsia"/>
                    </w:rPr>
                    <w:t>30t/a</w:t>
                  </w:r>
                </w:p>
              </w:tc>
              <w:tc>
                <w:tcPr>
                  <w:tcW w:w="1723" w:type="pct"/>
                  <w:shd w:val="clear" w:color="auto" w:fill="auto"/>
                  <w:vAlign w:val="center"/>
                </w:tcPr>
                <w:p>
                  <w:pPr>
                    <w:pStyle w:val="50"/>
                  </w:pPr>
                  <w:r>
                    <w:rPr>
                      <w:rFonts w:hint="eastAsia"/>
                    </w:rPr>
                    <w:t>市场购买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vMerge w:val="restart"/>
                  <w:shd w:val="clear" w:color="auto" w:fill="auto"/>
                  <w:vAlign w:val="center"/>
                </w:tcPr>
                <w:p>
                  <w:pPr>
                    <w:pStyle w:val="50"/>
                  </w:pPr>
                  <w:r>
                    <w:t>能源</w:t>
                  </w:r>
                </w:p>
              </w:tc>
              <w:tc>
                <w:tcPr>
                  <w:tcW w:w="1132" w:type="pct"/>
                  <w:shd w:val="clear" w:color="auto" w:fill="auto"/>
                  <w:vAlign w:val="center"/>
                </w:tcPr>
                <w:p>
                  <w:pPr>
                    <w:pStyle w:val="50"/>
                  </w:pPr>
                  <w:r>
                    <w:rPr>
                      <w:rFonts w:hint="eastAsia"/>
                    </w:rPr>
                    <w:t>电</w:t>
                  </w:r>
                </w:p>
              </w:tc>
              <w:tc>
                <w:tcPr>
                  <w:tcW w:w="1158" w:type="pct"/>
                  <w:shd w:val="clear" w:color="auto" w:fill="auto"/>
                  <w:vAlign w:val="center"/>
                </w:tcPr>
                <w:p>
                  <w:pPr>
                    <w:pStyle w:val="50"/>
                  </w:pPr>
                  <w:r>
                    <w:rPr>
                      <w:rFonts w:hint="eastAsia"/>
                    </w:rPr>
                    <w:t>370万</w:t>
                  </w:r>
                  <w:r>
                    <w:t>Kwh</w:t>
                  </w:r>
                  <w:r>
                    <w:rPr>
                      <w:rFonts w:hint="eastAsia"/>
                    </w:rPr>
                    <w:t>/a</w:t>
                  </w:r>
                </w:p>
              </w:tc>
              <w:tc>
                <w:tcPr>
                  <w:tcW w:w="1723" w:type="pct"/>
                  <w:shd w:val="clear" w:color="auto" w:fill="auto"/>
                  <w:vAlign w:val="center"/>
                </w:tcPr>
                <w:p>
                  <w:pPr>
                    <w:pStyle w:val="47"/>
                  </w:pPr>
                  <w:r>
                    <w:rPr>
                      <w:rFonts w:hint="eastAsia"/>
                    </w:rPr>
                    <w:t>由市政电网接入供给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vMerge w:val="continue"/>
                  <w:shd w:val="clear" w:color="auto" w:fill="auto"/>
                  <w:vAlign w:val="center"/>
                </w:tcPr>
                <w:p>
                  <w:pPr>
                    <w:pStyle w:val="50"/>
                  </w:pPr>
                </w:p>
              </w:tc>
              <w:tc>
                <w:tcPr>
                  <w:tcW w:w="1132" w:type="pct"/>
                  <w:shd w:val="clear" w:color="auto" w:fill="auto"/>
                  <w:vAlign w:val="center"/>
                </w:tcPr>
                <w:p>
                  <w:pPr>
                    <w:pStyle w:val="50"/>
                  </w:pPr>
                  <w:r>
                    <w:rPr>
                      <w:rFonts w:hint="eastAsia"/>
                    </w:rPr>
                    <w:t>煤炭</w:t>
                  </w:r>
                </w:p>
              </w:tc>
              <w:tc>
                <w:tcPr>
                  <w:tcW w:w="1158" w:type="pct"/>
                  <w:shd w:val="clear" w:color="auto" w:fill="auto"/>
                  <w:vAlign w:val="center"/>
                </w:tcPr>
                <w:p>
                  <w:pPr>
                    <w:pStyle w:val="50"/>
                  </w:pPr>
                  <w:r>
                    <w:rPr>
                      <w:rFonts w:hint="eastAsia"/>
                    </w:rPr>
                    <w:t>240</w:t>
                  </w:r>
                </w:p>
              </w:tc>
              <w:tc>
                <w:tcPr>
                  <w:tcW w:w="1723" w:type="pct"/>
                  <w:shd w:val="clear" w:color="auto" w:fill="auto"/>
                  <w:vAlign w:val="center"/>
                </w:tcPr>
                <w:p>
                  <w:pPr>
                    <w:pStyle w:val="47"/>
                  </w:pPr>
                  <w:r>
                    <w:rPr>
                      <w:rFonts w:hint="eastAsia"/>
                    </w:rPr>
                    <w:t>当地煤矿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shd w:val="clear" w:color="auto" w:fill="auto"/>
                  <w:vAlign w:val="center"/>
                </w:tcPr>
                <w:p>
                  <w:pPr>
                    <w:pStyle w:val="50"/>
                  </w:pPr>
                  <w:r>
                    <w:t>水量</w:t>
                  </w:r>
                </w:p>
              </w:tc>
              <w:tc>
                <w:tcPr>
                  <w:tcW w:w="1132" w:type="pct"/>
                  <w:shd w:val="clear" w:color="auto" w:fill="auto"/>
                  <w:vAlign w:val="center"/>
                </w:tcPr>
                <w:p>
                  <w:pPr>
                    <w:pStyle w:val="50"/>
                  </w:pPr>
                  <w:r>
                    <w:rPr>
                      <w:rFonts w:hint="eastAsia"/>
                    </w:rPr>
                    <w:t>地表水</w:t>
                  </w:r>
                </w:p>
              </w:tc>
              <w:tc>
                <w:tcPr>
                  <w:tcW w:w="1158" w:type="pct"/>
                  <w:shd w:val="clear" w:color="auto" w:fill="auto"/>
                  <w:vAlign w:val="center"/>
                </w:tcPr>
                <w:p>
                  <w:pPr>
                    <w:pStyle w:val="50"/>
                  </w:pPr>
                  <w:r>
                    <w:rPr>
                      <w:rFonts w:hint="eastAsia"/>
                    </w:rPr>
                    <w:t>19.02万</w:t>
                  </w:r>
                  <w:r>
                    <w:t>t</w:t>
                  </w:r>
                  <w:r>
                    <w:rPr>
                      <w:rFonts w:hint="eastAsia"/>
                    </w:rPr>
                    <w:t>/a</w:t>
                  </w:r>
                </w:p>
              </w:tc>
              <w:tc>
                <w:tcPr>
                  <w:tcW w:w="1723" w:type="pct"/>
                  <w:shd w:val="clear" w:color="auto" w:fill="auto"/>
                  <w:vAlign w:val="center"/>
                </w:tcPr>
                <w:p>
                  <w:pPr>
                    <w:pStyle w:val="47"/>
                  </w:pPr>
                  <w:r>
                    <w:rPr>
                      <w:rFonts w:hint="eastAsia"/>
                    </w:rPr>
                    <w:t>工业：大渡河水</w:t>
                  </w:r>
                </w:p>
                <w:p>
                  <w:pPr>
                    <w:pStyle w:val="47"/>
                  </w:pPr>
                  <w:r>
                    <w:rPr>
                      <w:rFonts w:hint="eastAsia"/>
                    </w:rPr>
                    <w:t>生活：山泉水</w:t>
                  </w:r>
                </w:p>
              </w:tc>
            </w:tr>
          </w:tbl>
          <w:p>
            <w:pPr>
              <w:pStyle w:val="37"/>
              <w:ind w:firstLine="480"/>
            </w:pPr>
            <w:r>
              <w:rPr>
                <w:rFonts w:hint="eastAsia"/>
              </w:rPr>
              <w:t>原有项目物料平衡见图1-1。</w:t>
            </w:r>
          </w:p>
          <w:p>
            <w:pPr>
              <w:pStyle w:val="37"/>
              <w:ind w:firstLine="480"/>
            </w:pPr>
            <w:r>
              <w:rPr>
                <w:rFonts w:hint="eastAsia"/>
              </w:rPr>
              <w:t>2）原有项目主要设施规格、数量</w:t>
            </w:r>
          </w:p>
          <w:p>
            <w:pPr>
              <w:pStyle w:val="36"/>
            </w:pPr>
            <w:r>
              <w:rPr>
                <w:rFonts w:hint="eastAsia"/>
              </w:rPr>
              <w:t>表</w:t>
            </w:r>
            <w:r>
              <w:t>1-</w:t>
            </w:r>
            <w:r>
              <w:rPr>
                <w:rFonts w:hint="eastAsia"/>
              </w:rPr>
              <w:t>1</w:t>
            </w:r>
            <w:r>
              <w:t>2</w:t>
            </w:r>
            <w:r>
              <w:rPr>
                <w:rFonts w:hint="eastAsia"/>
              </w:rPr>
              <w:t>主要设备一览表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4125"/>
              <w:gridCol w:w="2671"/>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625" w:type="pct"/>
                  <w:shd w:val="clear" w:color="auto" w:fill="auto"/>
                </w:tcPr>
                <w:p>
                  <w:pPr>
                    <w:pStyle w:val="50"/>
                  </w:pPr>
                  <w:r>
                    <w:t>序号</w:t>
                  </w:r>
                </w:p>
              </w:tc>
              <w:tc>
                <w:tcPr>
                  <w:tcW w:w="2276" w:type="pct"/>
                  <w:shd w:val="clear" w:color="auto" w:fill="auto"/>
                </w:tcPr>
                <w:p>
                  <w:pPr>
                    <w:pStyle w:val="50"/>
                  </w:pPr>
                  <w:r>
                    <w:t>设</w:t>
                  </w:r>
                  <w:r>
                    <w:rPr>
                      <w:rFonts w:hint="eastAsia"/>
                    </w:rPr>
                    <w:t>备</w:t>
                  </w:r>
                  <w:r>
                    <w:t>名称</w:t>
                  </w:r>
                </w:p>
              </w:tc>
              <w:tc>
                <w:tcPr>
                  <w:tcW w:w="1474" w:type="pct"/>
                  <w:shd w:val="clear" w:color="auto" w:fill="auto"/>
                </w:tcPr>
                <w:p>
                  <w:pPr>
                    <w:pStyle w:val="50"/>
                  </w:pPr>
                  <w:r>
                    <w:t>规格型号</w:t>
                  </w:r>
                </w:p>
              </w:tc>
              <w:tc>
                <w:tcPr>
                  <w:tcW w:w="625" w:type="pct"/>
                  <w:shd w:val="clear" w:color="auto" w:fill="auto"/>
                </w:tcPr>
                <w:p>
                  <w:pPr>
                    <w:pStyle w:val="50"/>
                  </w:pPr>
                  <w:r>
                    <w:t>数</w:t>
                  </w:r>
                  <w:r>
                    <w:rPr>
                      <w:rFonts w:hint="eastAsia"/>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1</w:t>
                  </w:r>
                </w:p>
              </w:tc>
              <w:tc>
                <w:tcPr>
                  <w:tcW w:w="2276" w:type="pct"/>
                  <w:shd w:val="clear" w:color="auto" w:fill="auto"/>
                  <w:vAlign w:val="center"/>
                </w:tcPr>
                <w:p>
                  <w:pPr>
                    <w:pStyle w:val="50"/>
                  </w:pPr>
                  <w:r>
                    <w:rPr>
                      <w:rFonts w:hint="eastAsia"/>
                    </w:rPr>
                    <w:t>滚动分选机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2</w:t>
                  </w:r>
                </w:p>
              </w:tc>
              <w:tc>
                <w:tcPr>
                  <w:tcW w:w="2276" w:type="pct"/>
                  <w:shd w:val="clear" w:color="auto" w:fill="auto"/>
                  <w:vAlign w:val="center"/>
                </w:tcPr>
                <w:p>
                  <w:pPr>
                    <w:pStyle w:val="50"/>
                  </w:pPr>
                  <w:r>
                    <w:rPr>
                      <w:rFonts w:hint="eastAsia"/>
                    </w:rPr>
                    <w:t>球磨机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3</w:t>
                  </w:r>
                </w:p>
              </w:tc>
              <w:tc>
                <w:tcPr>
                  <w:tcW w:w="2276" w:type="pct"/>
                  <w:shd w:val="clear" w:color="auto" w:fill="auto"/>
                  <w:vAlign w:val="center"/>
                </w:tcPr>
                <w:p>
                  <w:pPr>
                    <w:pStyle w:val="50"/>
                  </w:pPr>
                  <w:r>
                    <w:rPr>
                      <w:rFonts w:hint="eastAsia"/>
                    </w:rPr>
                    <w:t>FG单螺旋分级机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4</w:t>
                  </w:r>
                </w:p>
              </w:tc>
              <w:tc>
                <w:tcPr>
                  <w:tcW w:w="2276" w:type="pct"/>
                  <w:shd w:val="clear" w:color="auto" w:fill="auto"/>
                  <w:vAlign w:val="center"/>
                </w:tcPr>
                <w:p>
                  <w:pPr>
                    <w:pStyle w:val="50"/>
                  </w:pPr>
                  <w:r>
                    <w:rPr>
                      <w:rFonts w:hint="eastAsia"/>
                    </w:rPr>
                    <w:t>脱泥斗</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5</w:t>
                  </w:r>
                </w:p>
              </w:tc>
              <w:tc>
                <w:tcPr>
                  <w:tcW w:w="2276" w:type="pct"/>
                  <w:shd w:val="clear" w:color="auto" w:fill="auto"/>
                  <w:vAlign w:val="center"/>
                </w:tcPr>
                <w:p>
                  <w:pPr>
                    <w:pStyle w:val="50"/>
                  </w:pPr>
                  <w:r>
                    <w:rPr>
                      <w:rFonts w:hint="eastAsia"/>
                    </w:rPr>
                    <w:t>永磁筒磁选机</w:t>
                  </w:r>
                </w:p>
              </w:tc>
              <w:tc>
                <w:tcPr>
                  <w:tcW w:w="1474" w:type="pct"/>
                  <w:shd w:val="clear" w:color="auto" w:fill="auto"/>
                  <w:vAlign w:val="center"/>
                </w:tcPr>
                <w:p>
                  <w:pPr>
                    <w:pStyle w:val="50"/>
                  </w:pPr>
                  <w:r>
                    <w:rPr>
                      <w:rFonts w:hint="eastAsia"/>
                    </w:rPr>
                    <w:t>1000m</w:t>
                  </w:r>
                  <w:r>
                    <w:rPr>
                      <w:rFonts w:hint="eastAsia"/>
                      <w:vertAlign w:val="superscript"/>
                    </w:rPr>
                    <w:t>3</w:t>
                  </w:r>
                  <w:r>
                    <w:rPr>
                      <w:rFonts w:hint="eastAsia"/>
                    </w:rPr>
                    <w:t>，高压</w:t>
                  </w:r>
                </w:p>
              </w:tc>
              <w:tc>
                <w:tcPr>
                  <w:tcW w:w="625" w:type="pct"/>
                  <w:shd w:val="clear" w:color="auto" w:fill="auto"/>
                  <w:vAlign w:val="center"/>
                </w:tcPr>
                <w:p>
                  <w:pPr>
                    <w:pStyle w:val="50"/>
                  </w:pPr>
                  <w:r>
                    <w:rPr>
                      <w:rFonts w:hint="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6</w:t>
                  </w:r>
                </w:p>
              </w:tc>
              <w:tc>
                <w:tcPr>
                  <w:tcW w:w="2276" w:type="pct"/>
                  <w:shd w:val="clear" w:color="auto" w:fill="auto"/>
                  <w:vAlign w:val="center"/>
                </w:tcPr>
                <w:p>
                  <w:pPr>
                    <w:pStyle w:val="50"/>
                  </w:pPr>
                  <w:r>
                    <w:rPr>
                      <w:rFonts w:hint="eastAsia"/>
                    </w:rPr>
                    <w:t>湿式强磁板式磁选机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7</w:t>
                  </w:r>
                </w:p>
              </w:tc>
              <w:tc>
                <w:tcPr>
                  <w:tcW w:w="2276" w:type="pct"/>
                  <w:shd w:val="clear" w:color="auto" w:fill="auto"/>
                  <w:vAlign w:val="center"/>
                </w:tcPr>
                <w:p>
                  <w:pPr>
                    <w:pStyle w:val="50"/>
                  </w:pPr>
                  <w:r>
                    <w:rPr>
                      <w:rFonts w:hint="eastAsia"/>
                    </w:rPr>
                    <w:t>立环高梯度磁选机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8</w:t>
                  </w:r>
                </w:p>
              </w:tc>
              <w:tc>
                <w:tcPr>
                  <w:tcW w:w="2276" w:type="pct"/>
                  <w:shd w:val="clear" w:color="auto" w:fill="auto"/>
                  <w:vAlign w:val="center"/>
                </w:tcPr>
                <w:p>
                  <w:pPr>
                    <w:pStyle w:val="50"/>
                  </w:pPr>
                  <w:r>
                    <w:rPr>
                      <w:rFonts w:hint="eastAsia"/>
                    </w:rPr>
                    <w:t>高频振动脱水筛</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9</w:t>
                  </w:r>
                </w:p>
              </w:tc>
              <w:tc>
                <w:tcPr>
                  <w:tcW w:w="2276" w:type="pct"/>
                  <w:shd w:val="clear" w:color="auto" w:fill="auto"/>
                  <w:vAlign w:val="center"/>
                </w:tcPr>
                <w:p>
                  <w:pPr>
                    <w:pStyle w:val="50"/>
                  </w:pPr>
                  <w:r>
                    <w:rPr>
                      <w:rFonts w:hint="eastAsia"/>
                    </w:rPr>
                    <w:t>浓密机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10</w:t>
                  </w:r>
                </w:p>
              </w:tc>
              <w:tc>
                <w:tcPr>
                  <w:tcW w:w="2276" w:type="pct"/>
                  <w:shd w:val="clear" w:color="auto" w:fill="auto"/>
                  <w:vAlign w:val="center"/>
                </w:tcPr>
                <w:p>
                  <w:pPr>
                    <w:pStyle w:val="50"/>
                  </w:pPr>
                  <w:r>
                    <w:rPr>
                      <w:rFonts w:hint="eastAsia"/>
                    </w:rPr>
                    <w:t>尾砂压滤机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pct"/>
                  <w:shd w:val="clear" w:color="auto" w:fill="auto"/>
                  <w:vAlign w:val="center"/>
                </w:tcPr>
                <w:p>
                  <w:pPr>
                    <w:pStyle w:val="50"/>
                  </w:pPr>
                  <w:r>
                    <w:rPr>
                      <w:rFonts w:hint="eastAsia"/>
                    </w:rPr>
                    <w:t>11</w:t>
                  </w:r>
                </w:p>
              </w:tc>
              <w:tc>
                <w:tcPr>
                  <w:tcW w:w="2276" w:type="pct"/>
                  <w:shd w:val="clear" w:color="auto" w:fill="auto"/>
                  <w:vAlign w:val="center"/>
                </w:tcPr>
                <w:p>
                  <w:pPr>
                    <w:pStyle w:val="50"/>
                  </w:pPr>
                  <w:r>
                    <w:rPr>
                      <w:rFonts w:hint="eastAsia"/>
                    </w:rPr>
                    <w:t>热风炉及滚筒式烘干机</w:t>
                  </w:r>
                </w:p>
              </w:tc>
              <w:tc>
                <w:tcPr>
                  <w:tcW w:w="1474" w:type="pct"/>
                  <w:shd w:val="clear" w:color="auto" w:fill="auto"/>
                  <w:vAlign w:val="center"/>
                </w:tcPr>
                <w:p>
                  <w:pPr>
                    <w:pStyle w:val="50"/>
                  </w:pPr>
                  <w:r>
                    <w:rPr>
                      <w:rFonts w:hint="eastAsia"/>
                    </w:rPr>
                    <w:t>/</w:t>
                  </w:r>
                </w:p>
              </w:tc>
              <w:tc>
                <w:tcPr>
                  <w:tcW w:w="625" w:type="pct"/>
                  <w:shd w:val="clear" w:color="auto" w:fill="auto"/>
                  <w:vAlign w:val="center"/>
                </w:tcPr>
                <w:p>
                  <w:pPr>
                    <w:pStyle w:val="50"/>
                  </w:pPr>
                  <w:r>
                    <w:rPr>
                      <w:rFonts w:hint="eastAsia"/>
                    </w:rPr>
                    <w:t>1套</w:t>
                  </w:r>
                </w:p>
              </w:tc>
            </w:tr>
          </w:tbl>
          <w:p>
            <w:pPr>
              <w:pStyle w:val="52"/>
              <w:ind w:firstLine="480"/>
            </w:pPr>
            <w:r>
              <w:rPr>
                <w:rFonts w:hint="eastAsia"/>
              </w:rPr>
              <w:t>3）原有项目产品方案</w:t>
            </w:r>
          </w:p>
          <w:p>
            <w:pPr>
              <w:pStyle w:val="52"/>
              <w:ind w:firstLine="480"/>
            </w:pPr>
            <w:r>
              <w:rPr>
                <w:rFonts w:hint="eastAsia"/>
              </w:rPr>
              <w:t>釉料钾长石：7.5万吨，坯料钾长石：7.5万吨</w:t>
            </w:r>
          </w:p>
          <w:p>
            <w:pPr>
              <w:pStyle w:val="52"/>
              <w:ind w:firstLine="480"/>
            </w:pPr>
          </w:p>
          <w:p>
            <w:pPr>
              <w:pStyle w:val="52"/>
              <w:ind w:firstLine="480"/>
            </w:pPr>
          </w:p>
          <w:p>
            <w:pPr>
              <w:pStyle w:val="52"/>
              <w:ind w:firstLine="480"/>
            </w:pPr>
          </w:p>
          <w:p>
            <w:pPr>
              <w:pStyle w:val="52"/>
              <w:ind w:firstLine="480"/>
            </w:pPr>
          </w:p>
          <w:p>
            <w:pPr>
              <w:pStyle w:val="52"/>
              <w:ind w:firstLine="480"/>
            </w:pPr>
          </w:p>
          <w:p>
            <w:pPr>
              <w:pStyle w:val="52"/>
              <w:ind w:firstLine="480"/>
            </w:pPr>
          </w:p>
          <w:p>
            <w:pPr>
              <w:pStyle w:val="52"/>
              <w:ind w:firstLine="480"/>
            </w:pPr>
            <w:r>
              <w:rPr>
                <w:rFonts w:hint="eastAsia"/>
              </w:rPr>
              <w:drawing>
                <wp:anchor distT="0" distB="0" distL="114300" distR="114300" simplePos="0" relativeHeight="251677696" behindDoc="1" locked="0" layoutInCell="1" allowOverlap="1">
                  <wp:simplePos x="0" y="0"/>
                  <wp:positionH relativeFrom="column">
                    <wp:posOffset>325755</wp:posOffset>
                  </wp:positionH>
                  <wp:positionV relativeFrom="paragraph">
                    <wp:posOffset>-304165</wp:posOffset>
                  </wp:positionV>
                  <wp:extent cx="4850765" cy="3250565"/>
                  <wp:effectExtent l="19050" t="0" r="7128" b="0"/>
                  <wp:wrapTight wrapText="bothSides">
                    <wp:wrapPolygon>
                      <wp:start x="-85" y="0"/>
                      <wp:lineTo x="-85" y="21520"/>
                      <wp:lineTo x="21632" y="21520"/>
                      <wp:lineTo x="21632" y="0"/>
                      <wp:lineTo x="-85" y="0"/>
                    </wp:wrapPolygon>
                  </wp:wrapTight>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noChangeArrowheads="1"/>
                          </pic:cNvPicPr>
                        </pic:nvPicPr>
                        <pic:blipFill>
                          <a:blip r:embed="rId11" cstate="print"/>
                          <a:srcRect/>
                          <a:stretch>
                            <a:fillRect/>
                          </a:stretch>
                        </pic:blipFill>
                        <pic:spPr>
                          <a:xfrm>
                            <a:off x="0" y="0"/>
                            <a:ext cx="4850622" cy="3250612"/>
                          </a:xfrm>
                          <a:prstGeom prst="rect">
                            <a:avLst/>
                          </a:prstGeom>
                          <a:noFill/>
                          <a:ln w="9525">
                            <a:noFill/>
                            <a:miter lim="800000"/>
                            <a:headEnd/>
                            <a:tailEnd/>
                          </a:ln>
                        </pic:spPr>
                      </pic:pic>
                    </a:graphicData>
                  </a:graphic>
                </wp:anchor>
              </w:drawing>
            </w:r>
          </w:p>
          <w:p>
            <w:pPr>
              <w:pStyle w:val="52"/>
              <w:ind w:firstLine="480"/>
            </w:pPr>
          </w:p>
          <w:p>
            <w:pPr>
              <w:pStyle w:val="52"/>
              <w:ind w:firstLine="480"/>
            </w:pPr>
          </w:p>
          <w:p>
            <w:pPr>
              <w:pStyle w:val="52"/>
              <w:ind w:firstLine="480"/>
            </w:pPr>
          </w:p>
          <w:p>
            <w:pPr>
              <w:pStyle w:val="52"/>
              <w:ind w:firstLine="480"/>
            </w:pPr>
          </w:p>
          <w:p>
            <w:pPr>
              <w:pStyle w:val="52"/>
              <w:ind w:firstLine="480"/>
            </w:pPr>
          </w:p>
          <w:p>
            <w:pPr>
              <w:pStyle w:val="52"/>
              <w:ind w:firstLine="480"/>
            </w:pPr>
            <w:r>
              <w:rPr>
                <w:rFonts w:hint="eastAsia"/>
              </w:rPr>
              <w:t xml:space="preserve">  </w:t>
            </w:r>
          </w:p>
          <w:p>
            <w:pPr>
              <w:pStyle w:val="52"/>
              <w:ind w:firstLine="480"/>
            </w:pPr>
          </w:p>
          <w:p>
            <w:pPr>
              <w:pStyle w:val="52"/>
              <w:ind w:firstLine="480"/>
            </w:pPr>
          </w:p>
          <w:p>
            <w:pPr>
              <w:pStyle w:val="52"/>
              <w:ind w:firstLine="480"/>
            </w:pPr>
          </w:p>
          <w:p>
            <w:pPr>
              <w:pStyle w:val="52"/>
              <w:ind w:firstLine="480"/>
              <w:jc w:val="center"/>
            </w:pPr>
            <w:r>
              <w:rPr>
                <w:rFonts w:hint="eastAsia"/>
              </w:rPr>
              <w:t>图1-1  原有项目物料平衡图</w:t>
            </w:r>
          </w:p>
          <w:p>
            <w:pPr>
              <w:pStyle w:val="52"/>
              <w:ind w:firstLine="480"/>
            </w:pPr>
            <w:r>
              <w:rPr>
                <w:rFonts w:hint="eastAsia"/>
              </w:rPr>
              <w:t>（3）原有项目劳动定员及生产制度</w:t>
            </w:r>
          </w:p>
          <w:p>
            <w:pPr>
              <w:pStyle w:val="52"/>
              <w:ind w:firstLine="480"/>
            </w:pPr>
            <w:r>
              <w:rPr>
                <w:rFonts w:hint="eastAsia"/>
              </w:rPr>
              <w:t>劳动定员为23人，采用三班制，每班8小时，年工作300天。</w:t>
            </w:r>
          </w:p>
          <w:p>
            <w:pPr>
              <w:pStyle w:val="52"/>
              <w:ind w:firstLine="480"/>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61"/>
              <w:ind w:firstLine="480"/>
              <w:rPr>
                <w:b w:val="0"/>
                <w:color w:val="FF0000"/>
              </w:rPr>
            </w:pPr>
          </w:p>
          <w:p>
            <w:pPr>
              <w:pStyle w:val="52"/>
              <w:ind w:firstLine="480"/>
            </w:pPr>
            <w:r>
              <w:rPr>
                <w:rFonts w:hint="eastAsia"/>
              </w:rPr>
              <w:t>（4）原有项目生产工艺及产污环节</w:t>
            </w:r>
          </w:p>
          <w:p>
            <w:pPr>
              <w:pStyle w:val="52"/>
              <w:ind w:firstLine="480"/>
              <w:jc w:val="center"/>
            </w:pPr>
            <w:r>
              <w:rPr>
                <w:rFonts w:hint="eastAsia"/>
              </w:rPr>
              <w:drawing>
                <wp:anchor distT="0" distB="0" distL="114300" distR="114300" simplePos="0" relativeHeight="251675648" behindDoc="1" locked="0" layoutInCell="1" allowOverlap="1">
                  <wp:simplePos x="0" y="0"/>
                  <wp:positionH relativeFrom="column">
                    <wp:posOffset>102235</wp:posOffset>
                  </wp:positionH>
                  <wp:positionV relativeFrom="paragraph">
                    <wp:posOffset>302895</wp:posOffset>
                  </wp:positionV>
                  <wp:extent cx="5714365" cy="6527165"/>
                  <wp:effectExtent l="19050" t="0" r="635" b="0"/>
                  <wp:wrapTight wrapText="bothSides">
                    <wp:wrapPolygon>
                      <wp:start x="-72" y="0"/>
                      <wp:lineTo x="-72" y="21560"/>
                      <wp:lineTo x="21602" y="21560"/>
                      <wp:lineTo x="21602" y="0"/>
                      <wp:lineTo x="-72" y="0"/>
                    </wp:wrapPolygon>
                  </wp:wrapTight>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noChangeArrowheads="1"/>
                          </pic:cNvPicPr>
                        </pic:nvPicPr>
                        <pic:blipFill>
                          <a:blip r:embed="rId12" cstate="print"/>
                          <a:srcRect/>
                          <a:stretch>
                            <a:fillRect/>
                          </a:stretch>
                        </pic:blipFill>
                        <pic:spPr>
                          <a:xfrm>
                            <a:off x="0" y="0"/>
                            <a:ext cx="5714365" cy="6527165"/>
                          </a:xfrm>
                          <a:prstGeom prst="rect">
                            <a:avLst/>
                          </a:prstGeom>
                          <a:noFill/>
                          <a:ln w="9525">
                            <a:noFill/>
                            <a:miter lim="800000"/>
                            <a:headEnd/>
                            <a:tailEnd/>
                          </a:ln>
                        </pic:spPr>
                      </pic:pic>
                    </a:graphicData>
                  </a:graphic>
                </wp:anchor>
              </w:drawing>
            </w:r>
            <w:r>
              <w:rPr>
                <w:rFonts w:hint="eastAsia"/>
              </w:rPr>
              <w:t>图1-2  原有项目工艺流程及产污环节</w:t>
            </w:r>
          </w:p>
          <w:p>
            <w:pPr>
              <w:pStyle w:val="61"/>
              <w:ind w:firstLine="480"/>
              <w:rPr>
                <w:b w:val="0"/>
                <w:color w:val="FF0000"/>
              </w:rPr>
            </w:pPr>
          </w:p>
          <w:p>
            <w:pPr>
              <w:pStyle w:val="61"/>
              <w:ind w:firstLine="480"/>
              <w:rPr>
                <w:b w:val="0"/>
                <w:color w:val="FF0000"/>
              </w:rPr>
            </w:pPr>
          </w:p>
          <w:p>
            <w:pPr>
              <w:pStyle w:val="61"/>
              <w:ind w:firstLine="480"/>
              <w:rPr>
                <w:b w:val="0"/>
              </w:rPr>
            </w:pPr>
            <w:r>
              <w:rPr>
                <w:rFonts w:hint="eastAsia"/>
                <w:b w:val="0"/>
              </w:rPr>
              <w:t>2、原有项目三废排放及治理措施</w:t>
            </w:r>
          </w:p>
          <w:p>
            <w:pPr>
              <w:pStyle w:val="52"/>
              <w:ind w:firstLine="480"/>
            </w:pPr>
            <w:r>
              <w:rPr>
                <w:rFonts w:hint="eastAsia"/>
              </w:rPr>
              <w:t>（1）废水</w:t>
            </w:r>
          </w:p>
          <w:p>
            <w:pPr>
              <w:pStyle w:val="52"/>
              <w:ind w:firstLine="480"/>
            </w:pPr>
            <w:r>
              <w:rPr>
                <w:rFonts w:hint="eastAsia"/>
              </w:rPr>
              <w:t>原有项目废水主要为生产废水及生活污水。生产废水采用废水循环沉淀处理系统处理后，全部循环使用，生活污水依托厂区原有化粪池处理后排入乡镇污水管网。</w:t>
            </w:r>
          </w:p>
          <w:p>
            <w:pPr>
              <w:pStyle w:val="52"/>
              <w:ind w:firstLine="480"/>
            </w:pPr>
            <w:r>
              <w:rPr>
                <w:rFonts w:hint="eastAsia"/>
              </w:rPr>
              <w:t>本项目仅对钾长石原矿进行磁选除铁加工，不进行浮选，不适用化学药剂。生产废水主要来自于洗矿废水、脱泥废水、磁选冲铁废水、振动脱水废水、压滤废水以及滤袋反冲洗废水等。本项目生产过程中产生的锡矿废水、脱泥废水、磁选冲铁废水、振动脱水废水等经浓密池收集沉淀后经水力澄清池（2个，单个350m</w:t>
            </w:r>
            <w:r>
              <w:rPr>
                <w:rFonts w:hint="eastAsia"/>
                <w:vertAlign w:val="superscript"/>
              </w:rPr>
              <w:t>3</w:t>
            </w:r>
            <w:r>
              <w:rPr>
                <w:rFonts w:hint="eastAsia"/>
              </w:rPr>
              <w:t>）暂存后返回磁选生产线循环使用，成品压滤废水及袋式压滤机反冲洗废水经11个水力澄清池（400m</w:t>
            </w:r>
            <w:r>
              <w:rPr>
                <w:rFonts w:hint="eastAsia"/>
                <w:vertAlign w:val="superscript"/>
              </w:rPr>
              <w:t>3</w:t>
            </w:r>
            <w:r>
              <w:rPr>
                <w:rFonts w:hint="eastAsia"/>
              </w:rPr>
              <w:t>/个）沉淀处理后返回磁选生产线使用，不外排。</w:t>
            </w:r>
          </w:p>
          <w:p>
            <w:pPr>
              <w:pStyle w:val="52"/>
              <w:ind w:firstLine="480"/>
            </w:pPr>
            <w:r>
              <w:rPr>
                <w:rFonts w:hint="eastAsia"/>
              </w:rPr>
              <w:t>废水治理工艺流程图见图1-2，水平衡图见图1-3。</w:t>
            </w:r>
          </w:p>
          <w:p>
            <w:pPr>
              <w:pStyle w:val="52"/>
              <w:ind w:firstLine="480"/>
            </w:pPr>
            <w:r>
              <w:rPr>
                <w:rFonts w:hint="eastAsia"/>
              </w:rPr>
              <w:t>（2）废气</w:t>
            </w:r>
          </w:p>
          <w:p>
            <w:pPr>
              <w:pStyle w:val="52"/>
              <w:ind w:firstLine="480"/>
            </w:pPr>
            <w:r>
              <w:rPr>
                <w:rFonts w:hint="eastAsia"/>
              </w:rPr>
              <w:t>项目厂区内不设置生活锅炉，无燃煤锅炉废气，项目使用的原料是在矿山经洗选筛分后的矿石，在厂区内的加工过程全部为湿法作业，故项目生产加工过程中几乎不产生粉尘。</w:t>
            </w:r>
          </w:p>
          <w:p>
            <w:pPr>
              <w:pStyle w:val="52"/>
              <w:ind w:firstLine="480"/>
            </w:pPr>
            <w:r>
              <w:rPr>
                <w:rFonts w:hint="eastAsia"/>
              </w:rPr>
              <w:t>1）烘干废气</w:t>
            </w:r>
          </w:p>
          <w:p>
            <w:pPr>
              <w:pStyle w:val="52"/>
              <w:ind w:firstLine="480"/>
            </w:pPr>
            <w:r>
              <w:rPr>
                <w:rFonts w:hint="eastAsia"/>
              </w:rPr>
              <w:t>本项目部分磁选出的微钾长石粉采用回转式烘干窑进行烘干，烘干窑采用燃煤作为燃料，利用煤炭燃烧产生的高温烟气烘干钾长石粉。烘干微钾长石粉年产量为1万吨，每天工作8小时，耗煤量为100kg/h（240t/a）。主要污染物为SO</w:t>
            </w:r>
            <w:r>
              <w:rPr>
                <w:rFonts w:hint="eastAsia"/>
                <w:vertAlign w:val="subscript"/>
              </w:rPr>
              <w:t>2</w:t>
            </w:r>
            <w:r>
              <w:rPr>
                <w:rFonts w:hint="eastAsia"/>
              </w:rPr>
              <w:t>、NO</w:t>
            </w:r>
            <w:r>
              <w:rPr>
                <w:rFonts w:hint="eastAsia"/>
                <w:vertAlign w:val="subscript"/>
              </w:rPr>
              <w:t>X</w:t>
            </w:r>
            <w:r>
              <w:rPr>
                <w:rFonts w:hint="eastAsia"/>
              </w:rPr>
              <w:t>、烟粉尘，采用旋风除尘+布袋除尘处理后，由15m排气筒排放。</w:t>
            </w:r>
          </w:p>
          <w:p>
            <w:pPr>
              <w:pStyle w:val="52"/>
              <w:ind w:firstLine="480"/>
            </w:pPr>
            <w:r>
              <w:rPr>
                <w:rFonts w:hint="eastAsia"/>
              </w:rPr>
              <w:t>根据验收监测报告，烘干炉烟气经处理后烟尘、NO</w:t>
            </w:r>
            <w:r>
              <w:rPr>
                <w:rFonts w:hint="eastAsia"/>
                <w:vertAlign w:val="subscript"/>
              </w:rPr>
              <w:t>x</w:t>
            </w:r>
            <w:r>
              <w:rPr>
                <w:rFonts w:hint="eastAsia"/>
              </w:rPr>
              <w:t>和SO</w:t>
            </w:r>
            <w:r>
              <w:rPr>
                <w:rFonts w:hint="eastAsia"/>
                <w:vertAlign w:val="subscript"/>
              </w:rPr>
              <w:t>2</w:t>
            </w:r>
            <w:r>
              <w:rPr>
                <w:rFonts w:hint="eastAsia"/>
              </w:rPr>
              <w:t>排放浓度均值，均符合《工业窑炉大气污染物排放标准》（GB9078-1996）二级标准，烟尘排放量0.216t/a，SO</w:t>
            </w:r>
            <w:r>
              <w:rPr>
                <w:rFonts w:hint="eastAsia"/>
                <w:vertAlign w:val="subscript"/>
              </w:rPr>
              <w:t>2</w:t>
            </w:r>
            <w:r>
              <w:rPr>
                <w:rFonts w:hint="eastAsia"/>
              </w:rPr>
              <w:t>排放量0.168t/a，NO</w:t>
            </w:r>
            <w:r>
              <w:rPr>
                <w:rFonts w:hint="eastAsia"/>
                <w:vertAlign w:val="subscript"/>
              </w:rPr>
              <w:t>x</w:t>
            </w:r>
            <w:r>
              <w:rPr>
                <w:rFonts w:hint="eastAsia"/>
              </w:rPr>
              <w:t>排放量0.24 t/a。</w:t>
            </w:r>
          </w:p>
          <w:p>
            <w:pPr>
              <w:pStyle w:val="52"/>
              <w:ind w:firstLine="480"/>
            </w:pPr>
            <w:r>
              <w:rPr>
                <w:rFonts w:hint="eastAsia"/>
              </w:rPr>
              <w:t>2）无组织排放粉尘</w:t>
            </w:r>
          </w:p>
          <w:p>
            <w:pPr>
              <w:pStyle w:val="52"/>
              <w:ind w:firstLine="480"/>
            </w:pPr>
            <w:r>
              <w:rPr>
                <w:rFonts w:hint="eastAsia"/>
              </w:rPr>
              <w:t>无组织排放源主要有原料堆场、产品堆场和公路运输等，通过产品堆场搭棚，对原料堆场、产品堆场及场内道路进行洒水作业，配套洒水设备降低粉尘产生。</w:t>
            </w:r>
          </w:p>
          <w:p>
            <w:pPr>
              <w:pStyle w:val="52"/>
              <w:ind w:firstLine="480"/>
            </w:pPr>
            <w:r>
              <w:rPr>
                <w:rFonts w:hint="eastAsia"/>
              </w:rPr>
              <w:t>根据验收监测报告，厂界无组织排放颗粒物均符合《大气污染物综合排放标准》GB16297-1996表2周界外标准限值。</w:t>
            </w:r>
          </w:p>
          <w:p>
            <w:pPr>
              <w:pStyle w:val="52"/>
              <w:ind w:firstLine="480"/>
            </w:pPr>
            <w:r>
              <w:rPr>
                <w:rFonts w:hint="eastAsia"/>
              </w:rPr>
              <w:drawing>
                <wp:anchor distT="0" distB="0" distL="114300" distR="114300" simplePos="0" relativeHeight="251668480" behindDoc="1" locked="0" layoutInCell="1" allowOverlap="1">
                  <wp:simplePos x="0" y="0"/>
                  <wp:positionH relativeFrom="column">
                    <wp:posOffset>186690</wp:posOffset>
                  </wp:positionH>
                  <wp:positionV relativeFrom="paragraph">
                    <wp:posOffset>137160</wp:posOffset>
                  </wp:positionV>
                  <wp:extent cx="5274945" cy="6384925"/>
                  <wp:effectExtent l="19050" t="0" r="1905" b="0"/>
                  <wp:wrapTight wrapText="bothSides">
                    <wp:wrapPolygon>
                      <wp:start x="-78" y="0"/>
                      <wp:lineTo x="-78" y="21525"/>
                      <wp:lineTo x="21608" y="21525"/>
                      <wp:lineTo x="21608" y="0"/>
                      <wp:lineTo x="-78"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3" cstate="print"/>
                          <a:srcRect/>
                          <a:stretch>
                            <a:fillRect/>
                          </a:stretch>
                        </pic:blipFill>
                        <pic:spPr>
                          <a:xfrm>
                            <a:off x="0" y="0"/>
                            <a:ext cx="5274945" cy="6384925"/>
                          </a:xfrm>
                          <a:prstGeom prst="rect">
                            <a:avLst/>
                          </a:prstGeom>
                          <a:noFill/>
                          <a:ln w="9525">
                            <a:noFill/>
                            <a:miter lim="800000"/>
                            <a:headEnd/>
                            <a:tailEnd/>
                          </a:ln>
                        </pic:spPr>
                      </pic:pic>
                    </a:graphicData>
                  </a:graphic>
                </wp:anchor>
              </w:drawing>
            </w:r>
          </w:p>
          <w:p>
            <w:pPr>
              <w:pStyle w:val="52"/>
              <w:ind w:firstLine="480"/>
            </w:pPr>
          </w:p>
          <w:p>
            <w:pPr>
              <w:pStyle w:val="52"/>
              <w:ind w:firstLine="480"/>
            </w:pPr>
          </w:p>
          <w:p>
            <w:pPr>
              <w:pStyle w:val="52"/>
              <w:ind w:firstLine="480"/>
            </w:pPr>
          </w:p>
          <w:p>
            <w:pPr>
              <w:pStyle w:val="52"/>
              <w:ind w:firstLine="480"/>
            </w:pPr>
          </w:p>
          <w:p>
            <w:pPr>
              <w:pStyle w:val="52"/>
              <w:ind w:firstLine="480"/>
            </w:pPr>
          </w:p>
          <w:p>
            <w:pPr>
              <w:pStyle w:val="61"/>
              <w:ind w:firstLine="480"/>
              <w:rPr>
                <w:b w:val="0"/>
              </w:rPr>
            </w:pPr>
          </w:p>
          <w:p>
            <w:pPr>
              <w:pStyle w:val="61"/>
              <w:ind w:firstLine="480"/>
              <w:rPr>
                <w:b w:val="0"/>
              </w:rPr>
            </w:pPr>
          </w:p>
          <w:p>
            <w:pPr>
              <w:pStyle w:val="61"/>
              <w:ind w:firstLine="480"/>
              <w:rPr>
                <w:b w:val="0"/>
              </w:rPr>
            </w:pPr>
          </w:p>
          <w:p>
            <w:pPr>
              <w:pStyle w:val="61"/>
              <w:ind w:firstLine="480"/>
              <w:rPr>
                <w:b w:val="0"/>
              </w:rPr>
            </w:pPr>
          </w:p>
          <w:p>
            <w:pPr>
              <w:pStyle w:val="61"/>
              <w:ind w:firstLine="480"/>
              <w:rPr>
                <w:b w:val="0"/>
              </w:rPr>
            </w:pPr>
          </w:p>
          <w:p>
            <w:pPr>
              <w:pStyle w:val="61"/>
              <w:ind w:firstLine="480"/>
              <w:rPr>
                <w:b w:val="0"/>
              </w:rPr>
            </w:pPr>
          </w:p>
          <w:p>
            <w:pPr>
              <w:pStyle w:val="61"/>
              <w:ind w:firstLine="480"/>
              <w:rPr>
                <w:b w:val="0"/>
              </w:rPr>
            </w:pPr>
          </w:p>
          <w:p>
            <w:pPr>
              <w:pStyle w:val="61"/>
              <w:ind w:firstLine="480"/>
              <w:rPr>
                <w:b w:val="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0"/>
              <w:rPr>
                <w:color w:val="FF0000"/>
              </w:rPr>
            </w:pPr>
          </w:p>
          <w:p>
            <w:pPr>
              <w:pStyle w:val="52"/>
              <w:ind w:firstLine="482"/>
            </w:pPr>
            <w:r>
              <w:rPr>
                <w:b/>
              </w:rPr>
              <w:pict>
                <v:shape id="_x0000_s1050" o:spid="_x0000_s1050" o:spt="202" type="#_x0000_t202" style="position:absolute;left:0pt;margin-left:106.3pt;margin-top:-43.4pt;height:25.4pt;width:43.75pt;z-index:251670528;mso-width-relative:page;mso-height-relative:page;" stroked="f" coordsize="21600,21600">
                  <v:path/>
                  <v:fill focussize="0,0"/>
                  <v:stroke on="f" weight="1pt" dashstyle="dash" endarrowwidth="narrow" endarrowlength="long"/>
                  <v:imagedata o:title=""/>
                  <o:lock v:ext="edit"/>
                  <v:textbox>
                    <w:txbxContent>
                      <w:p>
                        <w:pPr>
                          <w:rPr>
                            <w:b/>
                            <w:sz w:val="21"/>
                            <w:szCs w:val="21"/>
                          </w:rPr>
                        </w:pPr>
                        <w:r>
                          <w:rPr>
                            <w:rFonts w:hint="eastAsia"/>
                            <w:b/>
                            <w:sz w:val="21"/>
                            <w:szCs w:val="21"/>
                          </w:rPr>
                          <w:t>图1-2</w:t>
                        </w:r>
                      </w:p>
                    </w:txbxContent>
                  </v:textbox>
                </v:shape>
              </w:pict>
            </w:r>
            <w:r>
              <w:rPr>
                <w:rFonts w:hint="eastAsia"/>
              </w:rPr>
              <w:t>（3）噪声</w:t>
            </w:r>
          </w:p>
          <w:p>
            <w:pPr>
              <w:pStyle w:val="52"/>
              <w:ind w:firstLine="480"/>
              <w:rPr>
                <w:rStyle w:val="38"/>
                <w:rFonts w:cs="Times New Roman"/>
              </w:rPr>
            </w:pPr>
            <w:r>
              <w:rPr>
                <w:rFonts w:hint="eastAsia"/>
              </w:rPr>
              <w:t>全厂主要噪声源为球磨机、螺旋分级机、槽式洗矿机、压滤机、空压机和水泵等，声源强度在</w:t>
            </w:r>
            <w:r>
              <w:rPr>
                <w:rStyle w:val="38"/>
                <w:rFonts w:hint="eastAsia" w:cs="Times New Roman"/>
              </w:rPr>
              <w:t>80</w:t>
            </w:r>
            <w:r>
              <w:rPr>
                <w:rStyle w:val="38"/>
                <w:rFonts w:cs="Times New Roman"/>
              </w:rPr>
              <w:t>～</w:t>
            </w:r>
            <w:r>
              <w:rPr>
                <w:rStyle w:val="38"/>
                <w:rFonts w:hint="eastAsia" w:cs="Times New Roman"/>
              </w:rPr>
              <w:t>95dB（A）。</w:t>
            </w:r>
          </w:p>
          <w:p>
            <w:pPr>
              <w:pStyle w:val="52"/>
              <w:ind w:firstLine="480"/>
            </w:pPr>
            <w:r>
              <w:rPr>
                <w:rFonts w:hint="eastAsia"/>
              </w:rPr>
              <w:t>根据验收监测报告，厂界昼、夜间噪声均符合《工业企业厂界环境噪声排放标准》GB（12348-2008）的3类标准。</w:t>
            </w:r>
          </w:p>
          <w:p>
            <w:pPr>
              <w:pStyle w:val="61"/>
              <w:ind w:firstLine="480"/>
              <w:jc w:val="center"/>
              <w:rPr>
                <w:b w:val="0"/>
              </w:rPr>
            </w:pPr>
            <w:r>
              <w:rPr>
                <w:b w:val="0"/>
              </w:rPr>
              <w:pict>
                <v:rect id="_x0000_s1058" o:spid="_x0000_s1058" o:spt="1" style="position:absolute;left:0pt;margin-left:413.3pt;margin-top:-481.95pt;height:156.1pt;width:42.85pt;z-index:251672576;mso-width-relative:page;mso-height-relative:page;" stroked="f" coordsize="21600,21600">
                  <v:path/>
                  <v:fill focussize="0,0"/>
                  <v:stroke on="f" weight="1pt" dashstyle="dash" endarrowwidth="narrow" endarrowlength="long"/>
                  <v:imagedata o:title=""/>
                  <o:lock v:ext="edit"/>
                </v:rect>
              </w:pict>
            </w:r>
            <w:r>
              <w:rPr>
                <w:rFonts w:hint="eastAsia"/>
                <w:b w:val="0"/>
              </w:rPr>
              <w:drawing>
                <wp:anchor distT="0" distB="0" distL="114300" distR="114300" simplePos="0" relativeHeight="251671552" behindDoc="1" locked="0" layoutInCell="1" allowOverlap="1">
                  <wp:simplePos x="0" y="0"/>
                  <wp:positionH relativeFrom="column">
                    <wp:posOffset>82550</wp:posOffset>
                  </wp:positionH>
                  <wp:positionV relativeFrom="paragraph">
                    <wp:posOffset>287020</wp:posOffset>
                  </wp:positionV>
                  <wp:extent cx="5748020" cy="7388860"/>
                  <wp:effectExtent l="19050" t="0" r="5080" b="0"/>
                  <wp:wrapTight wrapText="bothSides">
                    <wp:wrapPolygon>
                      <wp:start x="-72" y="0"/>
                      <wp:lineTo x="-72" y="21552"/>
                      <wp:lineTo x="21619" y="21552"/>
                      <wp:lineTo x="21619" y="0"/>
                      <wp:lineTo x="-72" y="0"/>
                    </wp:wrapPolygon>
                  </wp:wrapTight>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14" cstate="print"/>
                          <a:srcRect/>
                          <a:stretch>
                            <a:fillRect/>
                          </a:stretch>
                        </pic:blipFill>
                        <pic:spPr>
                          <a:xfrm>
                            <a:off x="0" y="0"/>
                            <a:ext cx="5748020" cy="7388860"/>
                          </a:xfrm>
                          <a:prstGeom prst="rect">
                            <a:avLst/>
                          </a:prstGeom>
                          <a:noFill/>
                          <a:ln w="9525">
                            <a:noFill/>
                            <a:miter lim="800000"/>
                            <a:headEnd/>
                            <a:tailEnd/>
                          </a:ln>
                        </pic:spPr>
                      </pic:pic>
                    </a:graphicData>
                  </a:graphic>
                </wp:anchor>
              </w:drawing>
            </w:r>
            <w:r>
              <w:rPr>
                <w:rFonts w:hint="eastAsia"/>
                <w:b w:val="0"/>
              </w:rPr>
              <w:t>图1-3  原项目水平衡图（m</w:t>
            </w:r>
            <w:r>
              <w:rPr>
                <w:rFonts w:hint="eastAsia"/>
                <w:b w:val="0"/>
                <w:vertAlign w:val="superscript"/>
              </w:rPr>
              <w:t>3</w:t>
            </w:r>
            <w:r>
              <w:rPr>
                <w:rFonts w:hint="eastAsia"/>
                <w:b w:val="0"/>
              </w:rPr>
              <w:t>/d）</w:t>
            </w:r>
          </w:p>
          <w:p>
            <w:pPr>
              <w:pStyle w:val="61"/>
              <w:ind w:firstLine="480"/>
              <w:rPr>
                <w:b w:val="0"/>
              </w:rPr>
            </w:pPr>
          </w:p>
          <w:p>
            <w:pPr>
              <w:pStyle w:val="52"/>
              <w:ind w:firstLine="480"/>
            </w:pPr>
            <w:r>
              <w:rPr>
                <w:rFonts w:hint="eastAsia"/>
              </w:rPr>
              <w:t>（4）</w:t>
            </w:r>
            <w:r>
              <w:t>固废</w:t>
            </w:r>
          </w:p>
          <w:p>
            <w:pPr>
              <w:pStyle w:val="61"/>
              <w:ind w:firstLine="480"/>
              <w:rPr>
                <w:b w:val="0"/>
              </w:rPr>
            </w:pPr>
            <w:r>
              <w:rPr>
                <w:rFonts w:hint="eastAsia"/>
                <w:b w:val="0"/>
              </w:rPr>
              <w:t>项目厂区固废主要包括压滤机泥饼、含铁固废、燃煤灰渣及生活垃圾，生活垃圾产生量2.3t/a，由环卫部门统一清运；燃煤灰渣产生量72t/a，外售做建筑材料使用不外排；压滤机泥饼产生量35000t/a，外售做建筑材料使用不外排；检修废油产生量0.5t/a，用于厂区设备润滑处理。</w:t>
            </w:r>
          </w:p>
          <w:p>
            <w:pPr>
              <w:pStyle w:val="61"/>
              <w:ind w:firstLine="480"/>
              <w:rPr>
                <w:b w:val="0"/>
              </w:rPr>
            </w:pPr>
            <w:r>
              <w:rPr>
                <w:rFonts w:hint="eastAsia"/>
                <w:b w:val="0"/>
              </w:rPr>
              <w:t>3、主要环境问题分析</w:t>
            </w:r>
          </w:p>
          <w:p>
            <w:pPr>
              <w:pStyle w:val="61"/>
              <w:ind w:firstLine="480"/>
              <w:rPr>
                <w:b w:val="0"/>
              </w:rPr>
            </w:pPr>
            <w:r>
              <w:rPr>
                <w:rFonts w:hint="eastAsia"/>
                <w:b w:val="0"/>
              </w:rPr>
              <w:t>（1）改扩建前环保设施运行情况及</w:t>
            </w:r>
            <w:r>
              <w:rPr>
                <w:b w:val="0"/>
              </w:rPr>
              <w:t>存在的主要环境问题</w:t>
            </w:r>
          </w:p>
          <w:p>
            <w:pPr>
              <w:pStyle w:val="52"/>
              <w:ind w:firstLine="480"/>
            </w:pPr>
            <w:r>
              <w:rPr>
                <w:rFonts w:hint="eastAsia"/>
              </w:rPr>
              <w:t>根据</w:t>
            </w:r>
            <w:r>
              <w:t>现场踏勘</w:t>
            </w:r>
            <w:r>
              <w:rPr>
                <w:rFonts w:hint="eastAsia"/>
              </w:rPr>
              <w:t>，现将改扩建前环保设施实际完成、运行情况及企业存在的主要环境问题归纳如下：</w:t>
            </w:r>
          </w:p>
          <w:p>
            <w:pPr>
              <w:pStyle w:val="36"/>
            </w:pPr>
            <w:r>
              <w:t>表1-</w:t>
            </w:r>
            <w:r>
              <w:rPr>
                <w:rFonts w:hint="eastAsia"/>
              </w:rPr>
              <w:t>1</w:t>
            </w:r>
            <w:r>
              <w:t>3项目环保设施落实情况</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252"/>
              <w:gridCol w:w="2101"/>
              <w:gridCol w:w="1943"/>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Align w:val="center"/>
                </w:tcPr>
                <w:p>
                  <w:pPr>
                    <w:pStyle w:val="47"/>
                  </w:pPr>
                  <w:r>
                    <w:t>污</w:t>
                  </w:r>
                  <w:r>
                    <w:rPr>
                      <w:rFonts w:hint="eastAsia"/>
                    </w:rPr>
                    <w:t>染</w:t>
                  </w:r>
                  <w:r>
                    <w:t>类别</w:t>
                  </w:r>
                </w:p>
              </w:tc>
              <w:tc>
                <w:tcPr>
                  <w:tcW w:w="691" w:type="pct"/>
                  <w:vAlign w:val="center"/>
                </w:tcPr>
                <w:p>
                  <w:pPr>
                    <w:pStyle w:val="47"/>
                  </w:pPr>
                  <w:r>
                    <w:t>处理</w:t>
                  </w:r>
                  <w:r>
                    <w:rPr>
                      <w:rFonts w:hint="eastAsia"/>
                    </w:rPr>
                    <w:t>前</w:t>
                  </w:r>
                  <w:r>
                    <w:t>情况</w:t>
                  </w:r>
                </w:p>
              </w:tc>
              <w:tc>
                <w:tcPr>
                  <w:tcW w:w="1159" w:type="pct"/>
                  <w:vAlign w:val="center"/>
                </w:tcPr>
                <w:p>
                  <w:pPr>
                    <w:pStyle w:val="47"/>
                  </w:pPr>
                  <w:r>
                    <w:t>排</w:t>
                  </w:r>
                  <w:r>
                    <w:rPr>
                      <w:rFonts w:hint="eastAsia"/>
                    </w:rPr>
                    <w:t>放</w:t>
                  </w:r>
                  <w:r>
                    <w:t>（处置）情况</w:t>
                  </w:r>
                </w:p>
              </w:tc>
              <w:tc>
                <w:tcPr>
                  <w:tcW w:w="1072" w:type="pct"/>
                  <w:vAlign w:val="center"/>
                </w:tcPr>
                <w:p>
                  <w:pPr>
                    <w:pStyle w:val="47"/>
                  </w:pPr>
                  <w:r>
                    <w:t>存在的环境问题</w:t>
                  </w:r>
                </w:p>
              </w:tc>
              <w:tc>
                <w:tcPr>
                  <w:tcW w:w="1469" w:type="pct"/>
                  <w:vAlign w:val="center"/>
                </w:tcPr>
                <w:p>
                  <w:pPr>
                    <w:pStyle w:val="47"/>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restart"/>
                  <w:vAlign w:val="center"/>
                </w:tcPr>
                <w:p>
                  <w:pPr>
                    <w:pStyle w:val="47"/>
                  </w:pPr>
                  <w:r>
                    <w:t>废水</w:t>
                  </w:r>
                </w:p>
              </w:tc>
              <w:tc>
                <w:tcPr>
                  <w:tcW w:w="691" w:type="pct"/>
                  <w:vAlign w:val="center"/>
                </w:tcPr>
                <w:p>
                  <w:pPr>
                    <w:pStyle w:val="47"/>
                    <w:rPr>
                      <w:kern w:val="0"/>
                    </w:rPr>
                  </w:pPr>
                  <w:r>
                    <w:rPr>
                      <w:rFonts w:hint="eastAsia"/>
                      <w:kern w:val="0"/>
                    </w:rPr>
                    <w:t>生产废水</w:t>
                  </w:r>
                </w:p>
              </w:tc>
              <w:tc>
                <w:tcPr>
                  <w:tcW w:w="1159" w:type="pct"/>
                  <w:vAlign w:val="center"/>
                </w:tcPr>
                <w:p>
                  <w:pPr>
                    <w:pStyle w:val="47"/>
                  </w:pPr>
                  <w:r>
                    <w:rPr>
                      <w:rFonts w:hint="eastAsia"/>
                    </w:rPr>
                    <w:t>采用废水循环沉淀处理系统处理后循环使用，不外排</w:t>
                  </w:r>
                </w:p>
              </w:tc>
              <w:tc>
                <w:tcPr>
                  <w:tcW w:w="1072" w:type="pct"/>
                  <w:vAlign w:val="center"/>
                </w:tcPr>
                <w:p>
                  <w:pPr>
                    <w:pStyle w:val="47"/>
                  </w:pPr>
                  <w:r>
                    <w:rPr>
                      <w:rFonts w:hint="eastAsia"/>
                    </w:rPr>
                    <w:t>原料堆场部分未搭棚，雨污合流，存在混排风险</w:t>
                  </w:r>
                </w:p>
              </w:tc>
              <w:tc>
                <w:tcPr>
                  <w:tcW w:w="1469" w:type="pct"/>
                  <w:vAlign w:val="center"/>
                </w:tcPr>
                <w:p>
                  <w:pPr>
                    <w:pStyle w:val="47"/>
                  </w:pPr>
                  <w:r>
                    <w:rPr>
                      <w:rFonts w:hint="eastAsia"/>
                    </w:rPr>
                    <w:t>本次改扩建后，将对未搭棚的原料堆场进行搭棚，增设喷雾系统，并完善雨污分流管网建设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pPr>
                    <w:pStyle w:val="47"/>
                  </w:pPr>
                </w:p>
              </w:tc>
              <w:tc>
                <w:tcPr>
                  <w:tcW w:w="691" w:type="pct"/>
                  <w:vAlign w:val="center"/>
                </w:tcPr>
                <w:p>
                  <w:pPr>
                    <w:pStyle w:val="47"/>
                    <w:rPr>
                      <w:kern w:val="0"/>
                    </w:rPr>
                  </w:pPr>
                  <w:r>
                    <w:rPr>
                      <w:rFonts w:hint="eastAsia"/>
                      <w:kern w:val="0"/>
                    </w:rPr>
                    <w:t>生活污水</w:t>
                  </w:r>
                </w:p>
              </w:tc>
              <w:tc>
                <w:tcPr>
                  <w:tcW w:w="1159" w:type="pct"/>
                  <w:vAlign w:val="center"/>
                </w:tcPr>
                <w:p>
                  <w:pPr>
                    <w:pStyle w:val="47"/>
                  </w:pPr>
                  <w:r>
                    <w:rPr>
                      <w:rFonts w:hint="eastAsia"/>
                    </w:rPr>
                    <w:t>化粪池处理后排入乡镇污水管网</w:t>
                  </w:r>
                </w:p>
              </w:tc>
              <w:tc>
                <w:tcPr>
                  <w:tcW w:w="1072" w:type="pct"/>
                  <w:vAlign w:val="center"/>
                </w:tcPr>
                <w:p>
                  <w:pPr>
                    <w:pStyle w:val="47"/>
                  </w:pPr>
                  <w:r>
                    <w:rPr>
                      <w:rFonts w:hint="eastAsia"/>
                    </w:rPr>
                    <w:t>/</w:t>
                  </w:r>
                </w:p>
              </w:tc>
              <w:tc>
                <w:tcPr>
                  <w:tcW w:w="1469" w:type="pct"/>
                  <w:vAlign w:val="center"/>
                </w:tcPr>
                <w:p>
                  <w:pPr>
                    <w:pStyle w:val="47"/>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09" w:type="pct"/>
                  <w:vMerge w:val="restart"/>
                  <w:vAlign w:val="center"/>
                </w:tcPr>
                <w:p>
                  <w:pPr>
                    <w:pStyle w:val="47"/>
                  </w:pPr>
                  <w:r>
                    <w:t>废气</w:t>
                  </w:r>
                </w:p>
              </w:tc>
              <w:tc>
                <w:tcPr>
                  <w:tcW w:w="691" w:type="pct"/>
                  <w:vAlign w:val="center"/>
                </w:tcPr>
                <w:p>
                  <w:pPr>
                    <w:pStyle w:val="47"/>
                  </w:pPr>
                  <w:r>
                    <w:rPr>
                      <w:rFonts w:hint="eastAsia"/>
                    </w:rPr>
                    <w:t>烘干废气</w:t>
                  </w:r>
                </w:p>
              </w:tc>
              <w:tc>
                <w:tcPr>
                  <w:tcW w:w="1159" w:type="pct"/>
                  <w:vAlign w:val="center"/>
                </w:tcPr>
                <w:p>
                  <w:pPr>
                    <w:pStyle w:val="47"/>
                  </w:pPr>
                  <w:r>
                    <w:rPr>
                      <w:rFonts w:hint="eastAsia"/>
                    </w:rPr>
                    <w:t>采用旋风除尘器+布袋除尘</w:t>
                  </w:r>
                </w:p>
              </w:tc>
              <w:tc>
                <w:tcPr>
                  <w:tcW w:w="1072" w:type="pct"/>
                  <w:vAlign w:val="center"/>
                </w:tcPr>
                <w:p>
                  <w:pPr>
                    <w:pStyle w:val="47"/>
                  </w:pPr>
                  <w:r>
                    <w:rPr>
                      <w:rFonts w:hint="eastAsia"/>
                    </w:rPr>
                    <w:t>/</w:t>
                  </w:r>
                </w:p>
              </w:tc>
              <w:tc>
                <w:tcPr>
                  <w:tcW w:w="1469" w:type="pct"/>
                  <w:vAlign w:val="center"/>
                </w:tcPr>
                <w:p>
                  <w:pPr>
                    <w:pStyle w:val="47"/>
                    <w:rPr>
                      <w:color w:val="FF0000"/>
                    </w:rPr>
                  </w:pPr>
                  <w:r>
                    <w:rPr>
                      <w:rFonts w:hint="eastAsia"/>
                      <w:color w:val="FF0000"/>
                    </w:rPr>
                    <w:t>建设监测平台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09" w:type="pct"/>
                  <w:vMerge w:val="continue"/>
                  <w:vAlign w:val="center"/>
                </w:tcPr>
                <w:p>
                  <w:pPr>
                    <w:pStyle w:val="47"/>
                  </w:pPr>
                </w:p>
              </w:tc>
              <w:tc>
                <w:tcPr>
                  <w:tcW w:w="691" w:type="pct"/>
                  <w:vAlign w:val="center"/>
                </w:tcPr>
                <w:p>
                  <w:pPr>
                    <w:pStyle w:val="47"/>
                  </w:pPr>
                  <w:r>
                    <w:rPr>
                      <w:rFonts w:hint="eastAsia"/>
                    </w:rPr>
                    <w:t>厂区内扬尘</w:t>
                  </w:r>
                </w:p>
              </w:tc>
              <w:tc>
                <w:tcPr>
                  <w:tcW w:w="1159" w:type="pct"/>
                  <w:vAlign w:val="center"/>
                </w:tcPr>
                <w:p>
                  <w:pPr>
                    <w:pStyle w:val="47"/>
                  </w:pPr>
                  <w:r>
                    <w:rPr>
                      <w:rFonts w:hint="eastAsia"/>
                    </w:rPr>
                    <w:t>采用雾炮机喷雾降尘</w:t>
                  </w:r>
                </w:p>
              </w:tc>
              <w:tc>
                <w:tcPr>
                  <w:tcW w:w="1072" w:type="pct"/>
                  <w:vAlign w:val="center"/>
                </w:tcPr>
                <w:p>
                  <w:pPr>
                    <w:pStyle w:val="47"/>
                  </w:pPr>
                  <w:r>
                    <w:rPr>
                      <w:rFonts w:hint="eastAsia"/>
                    </w:rPr>
                    <w:t>/</w:t>
                  </w:r>
                </w:p>
              </w:tc>
              <w:tc>
                <w:tcPr>
                  <w:tcW w:w="1469" w:type="pct"/>
                  <w:vAlign w:val="center"/>
                </w:tcPr>
                <w:p>
                  <w:pPr>
                    <w:pStyle w:val="47"/>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Align w:val="center"/>
                </w:tcPr>
                <w:p>
                  <w:pPr>
                    <w:pStyle w:val="47"/>
                  </w:pPr>
                  <w:r>
                    <w:t>噪声</w:t>
                  </w:r>
                </w:p>
              </w:tc>
              <w:tc>
                <w:tcPr>
                  <w:tcW w:w="691" w:type="pct"/>
                  <w:vAlign w:val="center"/>
                </w:tcPr>
                <w:p>
                  <w:pPr>
                    <w:pStyle w:val="47"/>
                  </w:pPr>
                  <w:r>
                    <w:rPr>
                      <w:rFonts w:hint="eastAsia"/>
                    </w:rPr>
                    <w:t>设备噪声</w:t>
                  </w:r>
                </w:p>
              </w:tc>
              <w:tc>
                <w:tcPr>
                  <w:tcW w:w="1159" w:type="pct"/>
                  <w:vAlign w:val="center"/>
                </w:tcPr>
                <w:p>
                  <w:pPr>
                    <w:pStyle w:val="47"/>
                  </w:pPr>
                  <w:r>
                    <w:rPr>
                      <w:rFonts w:hint="eastAsia"/>
                    </w:rPr>
                    <w:t>设备基础减振</w:t>
                  </w:r>
                </w:p>
              </w:tc>
              <w:tc>
                <w:tcPr>
                  <w:tcW w:w="1072" w:type="pct"/>
                  <w:vAlign w:val="center"/>
                </w:tcPr>
                <w:p>
                  <w:pPr>
                    <w:pStyle w:val="47"/>
                  </w:pPr>
                  <w:r>
                    <w:rPr>
                      <w:rFonts w:hint="eastAsia"/>
                    </w:rPr>
                    <w:t>/</w:t>
                  </w:r>
                </w:p>
              </w:tc>
              <w:tc>
                <w:tcPr>
                  <w:tcW w:w="1469" w:type="pct"/>
                  <w:vAlign w:val="center"/>
                </w:tcPr>
                <w:p>
                  <w:pPr>
                    <w:pStyle w:val="47"/>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Align w:val="center"/>
                </w:tcPr>
                <w:p>
                  <w:pPr>
                    <w:pStyle w:val="47"/>
                  </w:pPr>
                  <w:r>
                    <w:t>固废</w:t>
                  </w:r>
                </w:p>
              </w:tc>
              <w:tc>
                <w:tcPr>
                  <w:tcW w:w="691" w:type="pct"/>
                  <w:vAlign w:val="center"/>
                </w:tcPr>
                <w:p>
                  <w:pPr>
                    <w:pStyle w:val="47"/>
                  </w:pPr>
                  <w:r>
                    <w:t>生活垃圾</w:t>
                  </w:r>
                </w:p>
              </w:tc>
              <w:tc>
                <w:tcPr>
                  <w:tcW w:w="1159" w:type="pct"/>
                  <w:vAlign w:val="center"/>
                </w:tcPr>
                <w:p>
                  <w:pPr>
                    <w:pStyle w:val="47"/>
                  </w:pPr>
                  <w:r>
                    <w:rPr>
                      <w:rFonts w:hint="eastAsia"/>
                    </w:rPr>
                    <w:t>交由环卫部门统一清运处理</w:t>
                  </w:r>
                </w:p>
              </w:tc>
              <w:tc>
                <w:tcPr>
                  <w:tcW w:w="1072" w:type="pct"/>
                  <w:vAlign w:val="center"/>
                </w:tcPr>
                <w:p>
                  <w:pPr>
                    <w:pStyle w:val="47"/>
                  </w:pPr>
                  <w:r>
                    <w:rPr>
                      <w:rFonts w:hint="eastAsia"/>
                    </w:rPr>
                    <w:t>/</w:t>
                  </w:r>
                </w:p>
              </w:tc>
              <w:tc>
                <w:tcPr>
                  <w:tcW w:w="1469" w:type="pct"/>
                  <w:vAlign w:val="center"/>
                </w:tcPr>
                <w:p>
                  <w:pPr>
                    <w:pStyle w:val="47"/>
                  </w:pPr>
                  <w:r>
                    <w:rPr>
                      <w:rFonts w:hint="eastAsia"/>
                    </w:rPr>
                    <w:t>/</w:t>
                  </w:r>
                </w:p>
              </w:tc>
            </w:tr>
          </w:tbl>
          <w:p>
            <w:pPr>
              <w:pStyle w:val="61"/>
              <w:ind w:firstLine="480"/>
              <w:rPr>
                <w:b w:val="0"/>
                <w:color w:val="FF0000"/>
              </w:rPr>
            </w:pPr>
            <w:r>
              <w:rPr>
                <w:rFonts w:hint="eastAsia"/>
                <w:b w:val="0"/>
                <w:color w:val="FF0000"/>
              </w:rPr>
              <w:t>根据上述分析，本项目目前主要环境问题为废水混排风险，本次改扩建后，后期将完善雨污分流管网，消除混排风险，烘干废气排气筒建设监测平台，对原料堆场搭棚，增设喷洒措施。</w:t>
            </w:r>
          </w:p>
          <w:p>
            <w:pPr>
              <w:pStyle w:val="61"/>
              <w:ind w:firstLine="480"/>
              <w:rPr>
                <w:b w:val="0"/>
              </w:rPr>
            </w:pPr>
            <w:r>
              <w:rPr>
                <w:rFonts w:hint="eastAsia"/>
                <w:b w:val="0"/>
              </w:rPr>
              <w:t>（2）改扩建前后变化情况</w:t>
            </w:r>
          </w:p>
          <w:p>
            <w:pPr>
              <w:pStyle w:val="61"/>
              <w:ind w:firstLine="480"/>
              <w:rPr>
                <w:b w:val="0"/>
              </w:rPr>
            </w:pPr>
            <w:r>
              <w:rPr>
                <w:rFonts w:hint="eastAsia"/>
                <w:b w:val="0"/>
              </w:rPr>
              <w:t>本次改扩建前后，工程变化情况如下表：</w:t>
            </w:r>
          </w:p>
          <w:p>
            <w:pPr>
              <w:pStyle w:val="36"/>
            </w:pPr>
            <w:r>
              <w:rPr>
                <w:rFonts w:hint="eastAsia"/>
              </w:rPr>
              <w:t>表1-1</w:t>
            </w:r>
            <w:r>
              <w:t>4</w:t>
            </w:r>
            <w:r>
              <w:rPr>
                <w:rFonts w:hint="eastAsia"/>
              </w:rPr>
              <w:t>改扩建前后工程变化情况一览表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
              <w:gridCol w:w="1129"/>
              <w:gridCol w:w="2702"/>
              <w:gridCol w:w="2175"/>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gridSpan w:val="2"/>
                  <w:shd w:val="clear" w:color="auto" w:fill="auto"/>
                  <w:vAlign w:val="center"/>
                </w:tcPr>
                <w:p>
                  <w:pPr>
                    <w:pStyle w:val="47"/>
                  </w:pPr>
                  <w:r>
                    <w:rPr>
                      <w:rFonts w:hint="eastAsia"/>
                    </w:rPr>
                    <w:t>类别</w:t>
                  </w:r>
                </w:p>
              </w:tc>
              <w:tc>
                <w:tcPr>
                  <w:tcW w:w="1491" w:type="pct"/>
                  <w:shd w:val="clear" w:color="auto" w:fill="auto"/>
                  <w:vAlign w:val="center"/>
                </w:tcPr>
                <w:p>
                  <w:pPr>
                    <w:pStyle w:val="47"/>
                  </w:pPr>
                  <w:r>
                    <w:rPr>
                      <w:rFonts w:hint="eastAsia"/>
                    </w:rPr>
                    <w:t>改扩建前</w:t>
                  </w:r>
                </w:p>
              </w:tc>
              <w:tc>
                <w:tcPr>
                  <w:tcW w:w="1200" w:type="pct"/>
                  <w:shd w:val="clear" w:color="auto" w:fill="auto"/>
                  <w:vAlign w:val="center"/>
                </w:tcPr>
                <w:p>
                  <w:pPr>
                    <w:pStyle w:val="47"/>
                    <w:rPr>
                      <w:color w:val="FF0000"/>
                    </w:rPr>
                  </w:pPr>
                  <w:r>
                    <w:rPr>
                      <w:rFonts w:hint="eastAsia"/>
                      <w:color w:val="FF0000"/>
                    </w:rPr>
                    <w:t xml:space="preserve">已完成 </w:t>
                  </w:r>
                </w:p>
              </w:tc>
              <w:tc>
                <w:tcPr>
                  <w:tcW w:w="1151" w:type="pct"/>
                  <w:shd w:val="clear" w:color="auto" w:fill="auto"/>
                  <w:vAlign w:val="center"/>
                </w:tcPr>
                <w:p>
                  <w:pPr>
                    <w:pStyle w:val="47"/>
                  </w:pPr>
                  <w:r>
                    <w:rPr>
                      <w:rFonts w:hint="eastAsia"/>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restart"/>
                  <w:shd w:val="clear" w:color="auto" w:fill="auto"/>
                  <w:vAlign w:val="center"/>
                </w:tcPr>
                <w:p>
                  <w:pPr>
                    <w:pStyle w:val="47"/>
                  </w:pPr>
                  <w:r>
                    <w:rPr>
                      <w:rFonts w:hint="eastAsia"/>
                    </w:rPr>
                    <w:t>主体工程</w:t>
                  </w:r>
                </w:p>
              </w:tc>
              <w:tc>
                <w:tcPr>
                  <w:tcW w:w="623" w:type="pct"/>
                  <w:shd w:val="clear" w:color="auto" w:fill="auto"/>
                  <w:vAlign w:val="center"/>
                </w:tcPr>
                <w:p>
                  <w:pPr>
                    <w:pStyle w:val="47"/>
                  </w:pPr>
                  <w:r>
                    <w:rPr>
                      <w:rFonts w:hint="eastAsia"/>
                    </w:rPr>
                    <w:t>釉料钾长石生产线</w:t>
                  </w:r>
                </w:p>
              </w:tc>
              <w:tc>
                <w:tcPr>
                  <w:tcW w:w="1491" w:type="pct"/>
                  <w:shd w:val="clear" w:color="auto" w:fill="auto"/>
                  <w:vAlign w:val="center"/>
                </w:tcPr>
                <w:p>
                  <w:pPr>
                    <w:pStyle w:val="47"/>
                  </w:pPr>
                  <w:r>
                    <w:rPr>
                      <w:rFonts w:hint="eastAsia"/>
                    </w:rPr>
                    <w:t>从矿山购买的原矿做生产原料，经水洗、球磨、分级、脱泥、除铁、精制、脱水后形成釉料成品，年洗选釉料钾长石7.5万吨，主要配套有球磨机、螺旋分级机、除铁机、浓密机、袋式压滤机等</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坯料钾长石生产线</w:t>
                  </w:r>
                </w:p>
              </w:tc>
              <w:tc>
                <w:tcPr>
                  <w:tcW w:w="1491" w:type="pct"/>
                  <w:shd w:val="clear" w:color="auto" w:fill="auto"/>
                  <w:vAlign w:val="center"/>
                </w:tcPr>
                <w:p>
                  <w:pPr>
                    <w:pStyle w:val="47"/>
                  </w:pPr>
                  <w:r>
                    <w:rPr>
                      <w:rFonts w:hint="eastAsia"/>
                    </w:rPr>
                    <w:t>从矿山购买的原矿做生产原料，经水洗、球磨、分级、脱泥、除铁、精制、脱水后形成釉料成品，年洗选</w:t>
                  </w:r>
                  <w:r>
                    <w:rPr>
                      <w:rFonts w:hint="eastAsia"/>
                      <w:color w:val="FF0000"/>
                    </w:rPr>
                    <w:t>坯</w:t>
                  </w:r>
                  <w:r>
                    <w:rPr>
                      <w:rFonts w:hint="eastAsia"/>
                    </w:rPr>
                    <w:t>料钾长石7.5万吨，主要配套有球磨机、螺旋分级机、除铁机、浓密机、袋式压滤机等</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水洗生产线</w:t>
                  </w:r>
                </w:p>
              </w:tc>
              <w:tc>
                <w:tcPr>
                  <w:tcW w:w="1491" w:type="pct"/>
                  <w:shd w:val="clear" w:color="auto" w:fill="auto"/>
                  <w:vAlign w:val="center"/>
                </w:tcPr>
                <w:p>
                  <w:pPr>
                    <w:pStyle w:val="47"/>
                  </w:pPr>
                  <w:r>
                    <w:rPr>
                      <w:rFonts w:hint="eastAsia"/>
                    </w:rPr>
                    <w:t>位于厂区中部，设置有单螺旋分级机2台、脱泥斗2台</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钾长石磁选生产线</w:t>
                  </w:r>
                </w:p>
              </w:tc>
              <w:tc>
                <w:tcPr>
                  <w:tcW w:w="1491" w:type="pct"/>
                  <w:shd w:val="clear" w:color="auto" w:fill="auto"/>
                  <w:vAlign w:val="center"/>
                </w:tcPr>
                <w:p>
                  <w:pPr>
                    <w:pStyle w:val="47"/>
                  </w:pPr>
                  <w:r>
                    <w:rPr>
                      <w:rFonts w:hint="eastAsia"/>
                    </w:rPr>
                    <w:t>/</w:t>
                  </w:r>
                </w:p>
              </w:tc>
              <w:tc>
                <w:tcPr>
                  <w:tcW w:w="1200" w:type="pct"/>
                  <w:shd w:val="clear" w:color="auto" w:fill="auto"/>
                  <w:vAlign w:val="center"/>
                </w:tcPr>
                <w:p>
                  <w:pPr>
                    <w:pStyle w:val="47"/>
                  </w:pPr>
                  <w:r>
                    <w:rPr>
                      <w:rFonts w:hint="eastAsia"/>
                    </w:rPr>
                    <w:t>位于水洗生产线南侧，占地面积约300m</w:t>
                  </w:r>
                  <w:r>
                    <w:rPr>
                      <w:rFonts w:hint="eastAsia"/>
                      <w:vertAlign w:val="superscript"/>
                    </w:rPr>
                    <w:t>2</w:t>
                  </w:r>
                  <w:r>
                    <w:rPr>
                      <w:rFonts w:hint="eastAsia"/>
                    </w:rPr>
                    <w:t>，购置安装有立环式高梯度磁选机2套、浓密机1台、平板磁选机1套、球磨机1套、分选机一套，安装一条钾长石磁选生产线，达到年生产釉用玻璃级钾长石粉、陶瓷用钾长石粉5万吨生产能力</w:t>
                  </w:r>
                </w:p>
              </w:tc>
              <w:tc>
                <w:tcPr>
                  <w:tcW w:w="1151" w:type="pct"/>
                  <w:shd w:val="clear" w:color="auto" w:fill="auto"/>
                  <w:vAlign w:val="center"/>
                </w:tcPr>
                <w:p>
                  <w:pPr>
                    <w:pStyle w:val="47"/>
                  </w:pPr>
                  <w:r>
                    <w:rPr>
                      <w:rFonts w:hint="eastAsia"/>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restart"/>
                  <w:shd w:val="clear" w:color="auto" w:fill="auto"/>
                  <w:vAlign w:val="center"/>
                </w:tcPr>
                <w:p>
                  <w:pPr>
                    <w:pStyle w:val="47"/>
                  </w:pPr>
                  <w:r>
                    <w:rPr>
                      <w:rFonts w:hint="eastAsia"/>
                    </w:rPr>
                    <w:t>配套工程</w:t>
                  </w:r>
                </w:p>
              </w:tc>
              <w:tc>
                <w:tcPr>
                  <w:tcW w:w="623" w:type="pct"/>
                  <w:shd w:val="clear" w:color="auto" w:fill="auto"/>
                  <w:vAlign w:val="center"/>
                </w:tcPr>
                <w:p>
                  <w:pPr>
                    <w:pStyle w:val="47"/>
                  </w:pPr>
                  <w:r>
                    <w:rPr>
                      <w:rFonts w:hint="eastAsia"/>
                    </w:rPr>
                    <w:t>脱水车间</w:t>
                  </w:r>
                </w:p>
              </w:tc>
              <w:tc>
                <w:tcPr>
                  <w:tcW w:w="1491" w:type="pct"/>
                  <w:shd w:val="clear" w:color="auto" w:fill="auto"/>
                  <w:vAlign w:val="center"/>
                </w:tcPr>
                <w:p>
                  <w:pPr>
                    <w:pStyle w:val="47"/>
                  </w:pPr>
                  <w:r>
                    <w:rPr>
                      <w:rFonts w:hint="eastAsia"/>
                    </w:rPr>
                    <w:t>位于厂区东南面，安装2台脱水机、压滤机</w:t>
                  </w:r>
                </w:p>
              </w:tc>
              <w:tc>
                <w:tcPr>
                  <w:tcW w:w="1200" w:type="pct"/>
                  <w:shd w:val="clear" w:color="auto" w:fill="auto"/>
                  <w:vAlign w:val="center"/>
                </w:tcPr>
                <w:p>
                  <w:pPr>
                    <w:pStyle w:val="47"/>
                  </w:pPr>
                  <w:r>
                    <w:rPr>
                      <w:rFonts w:hint="eastAsia"/>
                    </w:rPr>
                    <w:t>新购置1台陶瓷过滤机、1台脱水机等设备</w:t>
                  </w:r>
                </w:p>
              </w:tc>
              <w:tc>
                <w:tcPr>
                  <w:tcW w:w="1151" w:type="pct"/>
                  <w:shd w:val="clear" w:color="auto" w:fill="auto"/>
                  <w:vAlign w:val="center"/>
                </w:tcPr>
                <w:p>
                  <w:pPr>
                    <w:pStyle w:val="47"/>
                  </w:pPr>
                  <w:r>
                    <w:rPr>
                      <w:rFonts w:hint="eastAsia"/>
                    </w:rPr>
                    <w:t>改扩建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原料堆场</w:t>
                  </w:r>
                </w:p>
              </w:tc>
              <w:tc>
                <w:tcPr>
                  <w:tcW w:w="1491" w:type="pct"/>
                  <w:shd w:val="clear" w:color="auto" w:fill="auto"/>
                  <w:vAlign w:val="center"/>
                </w:tcPr>
                <w:p>
                  <w:pPr>
                    <w:pStyle w:val="47"/>
                  </w:pPr>
                  <w:r>
                    <w:rPr>
                      <w:rFonts w:hint="eastAsia"/>
                    </w:rPr>
                    <w:t>位于厂区西南侧，占地面积约1000m</w:t>
                  </w:r>
                  <w:r>
                    <w:rPr>
                      <w:rFonts w:hint="eastAsia"/>
                      <w:vertAlign w:val="superscript"/>
                    </w:rPr>
                    <w:t>2</w:t>
                  </w:r>
                  <w:r>
                    <w:rPr>
                      <w:rFonts w:hint="eastAsia"/>
                    </w:rPr>
                    <w:t>，原料入口与西侧乡村道路相连</w:t>
                  </w:r>
                </w:p>
              </w:tc>
              <w:tc>
                <w:tcPr>
                  <w:tcW w:w="1200" w:type="pct"/>
                  <w:shd w:val="clear" w:color="auto" w:fill="auto"/>
                  <w:vAlign w:val="center"/>
                </w:tcPr>
                <w:p>
                  <w:pPr>
                    <w:pStyle w:val="47"/>
                  </w:pPr>
                  <w:r>
                    <w:rPr>
                      <w:rFonts w:hint="eastAsia"/>
                    </w:rPr>
                    <w:t>/</w:t>
                  </w:r>
                </w:p>
              </w:tc>
              <w:tc>
                <w:tcPr>
                  <w:tcW w:w="1151" w:type="pct"/>
                  <w:shd w:val="clear" w:color="auto" w:fill="auto"/>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产品堆场</w:t>
                  </w:r>
                </w:p>
              </w:tc>
              <w:tc>
                <w:tcPr>
                  <w:tcW w:w="1491" w:type="pct"/>
                  <w:shd w:val="clear" w:color="auto" w:fill="auto"/>
                  <w:vAlign w:val="center"/>
                </w:tcPr>
                <w:p>
                  <w:pPr>
                    <w:pStyle w:val="47"/>
                  </w:pPr>
                  <w:r>
                    <w:rPr>
                      <w:rFonts w:hint="eastAsia"/>
                    </w:rPr>
                    <w:t>位于厂区中部，占地面积约1000m</w:t>
                  </w:r>
                  <w:r>
                    <w:rPr>
                      <w:rFonts w:hint="eastAsia"/>
                      <w:vertAlign w:val="superscript"/>
                    </w:rPr>
                    <w:t>2</w:t>
                  </w:r>
                </w:p>
              </w:tc>
              <w:tc>
                <w:tcPr>
                  <w:tcW w:w="1200" w:type="pct"/>
                  <w:shd w:val="clear" w:color="auto" w:fill="auto"/>
                  <w:vAlign w:val="center"/>
                </w:tcPr>
                <w:p>
                  <w:pPr>
                    <w:pStyle w:val="47"/>
                  </w:pPr>
                  <w:r>
                    <w:rPr>
                      <w:rFonts w:hint="eastAsia"/>
                    </w:rPr>
                    <w:t>/</w:t>
                  </w:r>
                </w:p>
              </w:tc>
              <w:tc>
                <w:tcPr>
                  <w:tcW w:w="1151" w:type="pct"/>
                  <w:shd w:val="clear" w:color="auto" w:fill="auto"/>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烘干车间</w:t>
                  </w:r>
                </w:p>
              </w:tc>
              <w:tc>
                <w:tcPr>
                  <w:tcW w:w="1491" w:type="pct"/>
                  <w:shd w:val="clear" w:color="auto" w:fill="auto"/>
                  <w:vAlign w:val="center"/>
                </w:tcPr>
                <w:p>
                  <w:pPr>
                    <w:pStyle w:val="47"/>
                  </w:pPr>
                  <w:r>
                    <w:rPr>
                      <w:rFonts w:hint="eastAsia"/>
                    </w:rPr>
                    <w:t>位于厂区东侧，内设滚筒式烘干机1台，采用煤炭作为能源，年烘干1万吨钾长石粉</w:t>
                  </w:r>
                </w:p>
              </w:tc>
              <w:tc>
                <w:tcPr>
                  <w:tcW w:w="1200" w:type="pct"/>
                  <w:shd w:val="clear" w:color="auto" w:fill="auto"/>
                  <w:vAlign w:val="center"/>
                </w:tcPr>
                <w:p>
                  <w:pPr>
                    <w:pStyle w:val="47"/>
                  </w:pPr>
                  <w:r>
                    <w:rPr>
                      <w:rFonts w:hint="eastAsia"/>
                    </w:rPr>
                    <w:t>/</w:t>
                  </w:r>
                </w:p>
              </w:tc>
              <w:tc>
                <w:tcPr>
                  <w:tcW w:w="1151" w:type="pct"/>
                  <w:shd w:val="clear" w:color="auto" w:fill="auto"/>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检验室</w:t>
                  </w:r>
                </w:p>
              </w:tc>
              <w:tc>
                <w:tcPr>
                  <w:tcW w:w="1491" w:type="pct"/>
                  <w:shd w:val="clear" w:color="auto" w:fill="auto"/>
                  <w:vAlign w:val="center"/>
                </w:tcPr>
                <w:p>
                  <w:pPr>
                    <w:pStyle w:val="47"/>
                  </w:pPr>
                  <w:r>
                    <w:rPr>
                      <w:rFonts w:hint="eastAsia"/>
                    </w:rPr>
                    <w:t>位于办公用房内，建筑面积约40m</w:t>
                  </w:r>
                  <w:r>
                    <w:rPr>
                      <w:rFonts w:hint="eastAsia"/>
                      <w:vertAlign w:val="superscript"/>
                    </w:rPr>
                    <w:t>2</w:t>
                  </w:r>
                </w:p>
              </w:tc>
              <w:tc>
                <w:tcPr>
                  <w:tcW w:w="1200" w:type="pct"/>
                  <w:shd w:val="clear" w:color="auto" w:fill="auto"/>
                  <w:vAlign w:val="center"/>
                </w:tcPr>
                <w:p>
                  <w:pPr>
                    <w:pStyle w:val="47"/>
                  </w:pPr>
                  <w:r>
                    <w:rPr>
                      <w:rFonts w:hint="eastAsia"/>
                    </w:rPr>
                    <w:t>/</w:t>
                  </w:r>
                </w:p>
              </w:tc>
              <w:tc>
                <w:tcPr>
                  <w:tcW w:w="1151" w:type="pct"/>
                  <w:shd w:val="clear" w:color="auto" w:fill="auto"/>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车轮冲洗池</w:t>
                  </w:r>
                </w:p>
              </w:tc>
              <w:tc>
                <w:tcPr>
                  <w:tcW w:w="1491" w:type="pct"/>
                  <w:shd w:val="clear" w:color="auto" w:fill="auto"/>
                  <w:vAlign w:val="center"/>
                </w:tcPr>
                <w:p>
                  <w:pPr>
                    <w:pStyle w:val="47"/>
                  </w:pPr>
                  <w:r>
                    <w:rPr>
                      <w:rFonts w:hint="eastAsia"/>
                    </w:rPr>
                    <w:t>位于厂区北侧货车出口前，设置一车轮冲洗池（容积约10</w:t>
                  </w:r>
                  <w:r>
                    <w:rPr>
                      <w:rFonts w:hint="eastAsia"/>
                      <w:vertAlign w:val="superscript"/>
                    </w:rPr>
                    <w:t>3</w:t>
                  </w:r>
                  <w:r>
                    <w:rPr>
                      <w:rFonts w:hint="eastAsia"/>
                    </w:rPr>
                    <w:t>），对出厂车辆车轮进行冲洗</w:t>
                  </w:r>
                </w:p>
              </w:tc>
              <w:tc>
                <w:tcPr>
                  <w:tcW w:w="1200" w:type="pct"/>
                  <w:shd w:val="clear" w:color="auto" w:fill="auto"/>
                  <w:vAlign w:val="center"/>
                </w:tcPr>
                <w:p>
                  <w:pPr>
                    <w:pStyle w:val="47"/>
                  </w:pPr>
                  <w:r>
                    <w:rPr>
                      <w:rFonts w:hint="eastAsia"/>
                    </w:rPr>
                    <w:t>/</w:t>
                  </w:r>
                </w:p>
              </w:tc>
              <w:tc>
                <w:tcPr>
                  <w:tcW w:w="1151" w:type="pct"/>
                  <w:shd w:val="clear" w:color="auto" w:fill="auto"/>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废水循环处理系统</w:t>
                  </w:r>
                </w:p>
              </w:tc>
              <w:tc>
                <w:tcPr>
                  <w:tcW w:w="1491" w:type="pct"/>
                  <w:shd w:val="clear" w:color="auto" w:fill="auto"/>
                  <w:vAlign w:val="center"/>
                </w:tcPr>
                <w:p>
                  <w:pPr>
                    <w:pStyle w:val="47"/>
                  </w:pPr>
                  <w:r>
                    <w:rPr>
                      <w:rFonts w:hint="eastAsia"/>
                    </w:rPr>
                    <w:t>浓密池、絮凝沉淀池、清水池等，共计13个，总容积约5100m</w:t>
                  </w:r>
                  <w:r>
                    <w:rPr>
                      <w:rFonts w:hint="eastAsia"/>
                      <w:vertAlign w:val="superscript"/>
                    </w:rPr>
                    <w:t>3</w:t>
                  </w:r>
                </w:p>
              </w:tc>
              <w:tc>
                <w:tcPr>
                  <w:tcW w:w="1200" w:type="pct"/>
                  <w:shd w:val="clear" w:color="auto" w:fill="auto"/>
                  <w:vAlign w:val="center"/>
                </w:tcPr>
                <w:p>
                  <w:pPr>
                    <w:pStyle w:val="47"/>
                  </w:pPr>
                  <w:r>
                    <w:rPr>
                      <w:rFonts w:hint="eastAsia"/>
                    </w:rPr>
                    <w:t>本次改扩建新增一浓密池，容积约</w:t>
                  </w:r>
                  <w:r>
                    <w:t>10</w:t>
                  </w:r>
                  <w:r>
                    <w:rPr>
                      <w:rFonts w:hint="eastAsia"/>
                    </w:rPr>
                    <w:t>00m</w:t>
                  </w:r>
                  <w:r>
                    <w:rPr>
                      <w:rFonts w:hint="eastAsia"/>
                      <w:vertAlign w:val="superscript"/>
                    </w:rPr>
                    <w:t>3</w:t>
                  </w:r>
                </w:p>
              </w:tc>
              <w:tc>
                <w:tcPr>
                  <w:tcW w:w="1151" w:type="pct"/>
                  <w:shd w:val="clear" w:color="auto" w:fill="auto"/>
                  <w:vAlign w:val="center"/>
                </w:tcPr>
                <w:p>
                  <w:pPr>
                    <w:pStyle w:val="47"/>
                  </w:pPr>
                  <w:r>
                    <w:rPr>
                      <w:rFonts w:hint="eastAsia"/>
                    </w:rPr>
                    <w:t>改扩建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restart"/>
                  <w:shd w:val="clear" w:color="auto" w:fill="auto"/>
                  <w:vAlign w:val="center"/>
                </w:tcPr>
                <w:p>
                  <w:pPr>
                    <w:pStyle w:val="47"/>
                  </w:pPr>
                  <w:r>
                    <w:rPr>
                      <w:rFonts w:hint="eastAsia"/>
                    </w:rPr>
                    <w:t>公用工程</w:t>
                  </w:r>
                </w:p>
              </w:tc>
              <w:tc>
                <w:tcPr>
                  <w:tcW w:w="623" w:type="pct"/>
                  <w:shd w:val="clear" w:color="auto" w:fill="auto"/>
                  <w:vAlign w:val="center"/>
                </w:tcPr>
                <w:p>
                  <w:pPr>
                    <w:pStyle w:val="47"/>
                  </w:pPr>
                  <w:r>
                    <w:rPr>
                      <w:rFonts w:hint="eastAsia"/>
                    </w:rPr>
                    <w:t>供水</w:t>
                  </w:r>
                </w:p>
              </w:tc>
              <w:tc>
                <w:tcPr>
                  <w:tcW w:w="1491" w:type="pct"/>
                  <w:shd w:val="clear" w:color="auto" w:fill="auto"/>
                  <w:vAlign w:val="center"/>
                </w:tcPr>
                <w:p>
                  <w:pPr>
                    <w:pStyle w:val="47"/>
                  </w:pPr>
                  <w:r>
                    <w:rPr>
                      <w:rFonts w:hint="eastAsia"/>
                    </w:rPr>
                    <w:t>生活用水取用山泉水；生产用水取用大渡河河水</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排水</w:t>
                  </w:r>
                </w:p>
              </w:tc>
              <w:tc>
                <w:tcPr>
                  <w:tcW w:w="1491" w:type="pct"/>
                  <w:shd w:val="clear" w:color="auto" w:fill="auto"/>
                  <w:vAlign w:val="center"/>
                </w:tcPr>
                <w:p>
                  <w:pPr>
                    <w:pStyle w:val="47"/>
                  </w:pPr>
                  <w:r>
                    <w:rPr>
                      <w:rFonts w:hint="eastAsia"/>
                    </w:rPr>
                    <w:t>生活污水采用化粪池处理后排入乡镇污水管网，生产废水采用废水处理系统处理后循环使用</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供电</w:t>
                  </w:r>
                </w:p>
              </w:tc>
              <w:tc>
                <w:tcPr>
                  <w:tcW w:w="1491" w:type="pct"/>
                  <w:shd w:val="clear" w:color="auto" w:fill="auto"/>
                  <w:vAlign w:val="center"/>
                </w:tcPr>
                <w:p>
                  <w:pPr>
                    <w:pStyle w:val="47"/>
                  </w:pPr>
                  <w:r>
                    <w:rPr>
                      <w:rFonts w:hint="eastAsia"/>
                    </w:rPr>
                    <w:t>现有工程配电室内新增200KVA干式变压器一台</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shd w:val="clear" w:color="auto" w:fill="auto"/>
                  <w:vAlign w:val="center"/>
                </w:tcPr>
                <w:p>
                  <w:pPr>
                    <w:pStyle w:val="47"/>
                  </w:pPr>
                  <w:r>
                    <w:rPr>
                      <w:rFonts w:hint="eastAsia"/>
                    </w:rPr>
                    <w:t>办公及生活设施</w:t>
                  </w:r>
                </w:p>
              </w:tc>
              <w:tc>
                <w:tcPr>
                  <w:tcW w:w="623" w:type="pct"/>
                  <w:shd w:val="clear" w:color="auto" w:fill="auto"/>
                  <w:vAlign w:val="center"/>
                </w:tcPr>
                <w:p>
                  <w:pPr>
                    <w:pStyle w:val="47"/>
                  </w:pPr>
                  <w:r>
                    <w:rPr>
                      <w:rFonts w:hint="eastAsia"/>
                    </w:rPr>
                    <w:t>办公生活用房</w:t>
                  </w:r>
                </w:p>
              </w:tc>
              <w:tc>
                <w:tcPr>
                  <w:tcW w:w="1491" w:type="pct"/>
                  <w:shd w:val="clear" w:color="auto" w:fill="auto"/>
                  <w:vAlign w:val="center"/>
                </w:tcPr>
                <w:p>
                  <w:pPr>
                    <w:pStyle w:val="47"/>
                  </w:pPr>
                  <w:r>
                    <w:rPr>
                      <w:rFonts w:hint="eastAsia"/>
                    </w:rPr>
                    <w:t>位于厂区西侧，建筑面积约600m</w:t>
                  </w:r>
                  <w:r>
                    <w:rPr>
                      <w:rFonts w:hint="eastAsia"/>
                      <w:vertAlign w:val="superscript"/>
                    </w:rPr>
                    <w:t>2</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shd w:val="clear" w:color="auto" w:fill="auto"/>
                  <w:vAlign w:val="center"/>
                </w:tcPr>
                <w:p>
                  <w:pPr>
                    <w:pStyle w:val="47"/>
                  </w:pPr>
                  <w:r>
                    <w:rPr>
                      <w:rFonts w:hint="eastAsia"/>
                    </w:rPr>
                    <w:t>仓储设施</w:t>
                  </w:r>
                </w:p>
              </w:tc>
              <w:tc>
                <w:tcPr>
                  <w:tcW w:w="623" w:type="pct"/>
                  <w:shd w:val="clear" w:color="auto" w:fill="auto"/>
                  <w:vAlign w:val="center"/>
                </w:tcPr>
                <w:p>
                  <w:pPr>
                    <w:pStyle w:val="47"/>
                  </w:pPr>
                  <w:r>
                    <w:rPr>
                      <w:rFonts w:hint="eastAsia"/>
                    </w:rPr>
                    <w:t>储油罐</w:t>
                  </w:r>
                </w:p>
              </w:tc>
              <w:tc>
                <w:tcPr>
                  <w:tcW w:w="1491" w:type="pct"/>
                  <w:shd w:val="clear" w:color="auto" w:fill="auto"/>
                  <w:vAlign w:val="center"/>
                </w:tcPr>
                <w:p>
                  <w:pPr>
                    <w:pStyle w:val="47"/>
                  </w:pPr>
                  <w:r>
                    <w:rPr>
                      <w:rFonts w:hint="eastAsia"/>
                    </w:rPr>
                    <w:t>厂区内设置有2个15m</w:t>
                  </w:r>
                  <w:r>
                    <w:rPr>
                      <w:rFonts w:hint="eastAsia"/>
                      <w:vertAlign w:val="superscript"/>
                    </w:rPr>
                    <w:t>3</w:t>
                  </w:r>
                  <w:r>
                    <w:rPr>
                      <w:rFonts w:hint="eastAsia"/>
                    </w:rPr>
                    <w:t>柴油储罐，主要用于储存厂区机械使用的柴油</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restart"/>
                  <w:shd w:val="clear" w:color="auto" w:fill="auto"/>
                  <w:vAlign w:val="center"/>
                </w:tcPr>
                <w:p>
                  <w:pPr>
                    <w:pStyle w:val="47"/>
                  </w:pPr>
                  <w:r>
                    <w:rPr>
                      <w:rFonts w:hint="eastAsia"/>
                    </w:rPr>
                    <w:t>环保工程</w:t>
                  </w:r>
                </w:p>
              </w:tc>
              <w:tc>
                <w:tcPr>
                  <w:tcW w:w="623" w:type="pct"/>
                  <w:vMerge w:val="restart"/>
                  <w:shd w:val="clear" w:color="auto" w:fill="auto"/>
                  <w:vAlign w:val="center"/>
                </w:tcPr>
                <w:p>
                  <w:pPr>
                    <w:pStyle w:val="47"/>
                  </w:pPr>
                  <w:r>
                    <w:rPr>
                      <w:rFonts w:hint="eastAsia"/>
                    </w:rPr>
                    <w:t>废水</w:t>
                  </w:r>
                </w:p>
              </w:tc>
              <w:tc>
                <w:tcPr>
                  <w:tcW w:w="1491" w:type="pct"/>
                  <w:shd w:val="clear" w:color="auto" w:fill="auto"/>
                  <w:vAlign w:val="center"/>
                </w:tcPr>
                <w:p>
                  <w:pPr>
                    <w:pStyle w:val="47"/>
                  </w:pPr>
                  <w:r>
                    <w:rPr>
                      <w:rFonts w:hint="eastAsia"/>
                    </w:rPr>
                    <w:t>生活污水采用化粪池处理后排入乡镇污水管网</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vMerge w:val="continue"/>
                  <w:shd w:val="clear" w:color="auto" w:fill="auto"/>
                  <w:vAlign w:val="center"/>
                </w:tcPr>
                <w:p>
                  <w:pPr>
                    <w:pStyle w:val="47"/>
                  </w:pPr>
                </w:p>
              </w:tc>
              <w:tc>
                <w:tcPr>
                  <w:tcW w:w="1491" w:type="pct"/>
                  <w:shd w:val="clear" w:color="auto" w:fill="auto"/>
                  <w:vAlign w:val="center"/>
                </w:tcPr>
                <w:p>
                  <w:pPr>
                    <w:pStyle w:val="47"/>
                  </w:pPr>
                  <w:r>
                    <w:rPr>
                      <w:rFonts w:hint="eastAsia"/>
                    </w:rPr>
                    <w:t>生产废水采用废水处理系统处理后循环使用不外排</w:t>
                  </w:r>
                </w:p>
              </w:tc>
              <w:tc>
                <w:tcPr>
                  <w:tcW w:w="1200" w:type="pct"/>
                  <w:shd w:val="clear" w:color="auto" w:fill="auto"/>
                  <w:vAlign w:val="center"/>
                </w:tcPr>
                <w:p>
                  <w:pPr>
                    <w:pStyle w:val="47"/>
                  </w:pPr>
                  <w:r>
                    <w:rPr>
                      <w:rFonts w:hint="eastAsia"/>
                    </w:rPr>
                    <w:t>增加1个浓密池，容积为</w:t>
                  </w:r>
                  <w:r>
                    <w:t>10</w:t>
                  </w:r>
                  <w:r>
                    <w:rPr>
                      <w:rFonts w:hint="eastAsia"/>
                    </w:rPr>
                    <w:t>00m</w:t>
                  </w:r>
                  <w:r>
                    <w:rPr>
                      <w:rFonts w:hint="eastAsia"/>
                      <w:vertAlign w:val="superscript"/>
                    </w:rPr>
                    <w:t>3</w:t>
                  </w:r>
                </w:p>
              </w:tc>
              <w:tc>
                <w:tcPr>
                  <w:tcW w:w="1151" w:type="pct"/>
                  <w:shd w:val="clear" w:color="auto" w:fill="auto"/>
                  <w:vAlign w:val="center"/>
                </w:tcPr>
                <w:p>
                  <w:pPr>
                    <w:pStyle w:val="47"/>
                  </w:pPr>
                  <w:r>
                    <w:rPr>
                      <w:rFonts w:hint="eastAsia"/>
                    </w:rPr>
                    <w:t>改扩建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固废</w:t>
                  </w:r>
                </w:p>
              </w:tc>
              <w:tc>
                <w:tcPr>
                  <w:tcW w:w="1491" w:type="pct"/>
                  <w:shd w:val="clear" w:color="auto" w:fill="auto"/>
                  <w:vAlign w:val="center"/>
                </w:tcPr>
                <w:p>
                  <w:pPr>
                    <w:pStyle w:val="47"/>
                  </w:pPr>
                  <w:r>
                    <w:rPr>
                      <w:rFonts w:hint="eastAsia"/>
                    </w:rPr>
                    <w:t>生活垃圾经场站内垃圾桶收集后交由当地环卫部门处置</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pct"/>
                  <w:vMerge w:val="continue"/>
                  <w:shd w:val="clear" w:color="auto" w:fill="auto"/>
                  <w:vAlign w:val="center"/>
                </w:tcPr>
                <w:p>
                  <w:pPr>
                    <w:pStyle w:val="47"/>
                  </w:pPr>
                </w:p>
              </w:tc>
              <w:tc>
                <w:tcPr>
                  <w:tcW w:w="623" w:type="pct"/>
                  <w:shd w:val="clear" w:color="auto" w:fill="auto"/>
                  <w:vAlign w:val="center"/>
                </w:tcPr>
                <w:p>
                  <w:pPr>
                    <w:pStyle w:val="47"/>
                  </w:pPr>
                  <w:r>
                    <w:rPr>
                      <w:rFonts w:hint="eastAsia"/>
                    </w:rPr>
                    <w:t>废气</w:t>
                  </w:r>
                </w:p>
              </w:tc>
              <w:tc>
                <w:tcPr>
                  <w:tcW w:w="1491" w:type="pct"/>
                  <w:shd w:val="clear" w:color="auto" w:fill="auto"/>
                  <w:vAlign w:val="center"/>
                </w:tcPr>
                <w:p>
                  <w:pPr>
                    <w:pStyle w:val="47"/>
                  </w:pPr>
                  <w:r>
                    <w:rPr>
                      <w:rFonts w:hint="eastAsia"/>
                    </w:rPr>
                    <w:t>烘干废气采用旋风除尘器+布袋除尘器处理后由15m排气筒排放</w:t>
                  </w:r>
                </w:p>
              </w:tc>
              <w:tc>
                <w:tcPr>
                  <w:tcW w:w="1200" w:type="pct"/>
                  <w:shd w:val="clear" w:color="auto" w:fill="auto"/>
                  <w:vAlign w:val="center"/>
                </w:tcPr>
                <w:p>
                  <w:pPr>
                    <w:pStyle w:val="47"/>
                  </w:pPr>
                  <w:r>
                    <w:rPr>
                      <w:rFonts w:hint="eastAsia"/>
                    </w:rPr>
                    <w:t>/</w:t>
                  </w:r>
                </w:p>
              </w:tc>
              <w:tc>
                <w:tcPr>
                  <w:tcW w:w="1151" w:type="pct"/>
                  <w:shd w:val="clear" w:color="auto" w:fill="auto"/>
                  <w:vAlign w:val="center"/>
                </w:tcPr>
                <w:p>
                  <w:pPr>
                    <w:pStyle w:val="47"/>
                  </w:pPr>
                  <w:r>
                    <w:rPr>
                      <w:rFonts w:hint="eastAsia"/>
                    </w:rPr>
                    <w:t>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gridSpan w:val="2"/>
                  <w:shd w:val="clear" w:color="auto" w:fill="auto"/>
                  <w:vAlign w:val="center"/>
                </w:tcPr>
                <w:p>
                  <w:pPr>
                    <w:pStyle w:val="47"/>
                  </w:pPr>
                  <w:r>
                    <w:rPr>
                      <w:rFonts w:hint="eastAsia"/>
                    </w:rPr>
                    <w:t>生产能力</w:t>
                  </w:r>
                </w:p>
              </w:tc>
              <w:tc>
                <w:tcPr>
                  <w:tcW w:w="1491" w:type="pct"/>
                  <w:shd w:val="clear" w:color="auto" w:fill="auto"/>
                  <w:vAlign w:val="center"/>
                </w:tcPr>
                <w:p>
                  <w:pPr>
                    <w:pStyle w:val="47"/>
                  </w:pPr>
                  <w:r>
                    <w:rPr>
                      <w:rFonts w:hint="eastAsia"/>
                    </w:rPr>
                    <w:t>15万吨/年</w:t>
                  </w:r>
                </w:p>
              </w:tc>
              <w:tc>
                <w:tcPr>
                  <w:tcW w:w="1200" w:type="pct"/>
                  <w:shd w:val="clear" w:color="auto" w:fill="auto"/>
                  <w:vAlign w:val="center"/>
                </w:tcPr>
                <w:p>
                  <w:pPr>
                    <w:pStyle w:val="47"/>
                  </w:pPr>
                  <w:r>
                    <w:rPr>
                      <w:rFonts w:hint="eastAsia"/>
                    </w:rPr>
                    <w:t>5万吨/年</w:t>
                  </w:r>
                </w:p>
              </w:tc>
              <w:tc>
                <w:tcPr>
                  <w:tcW w:w="1151" w:type="pct"/>
                  <w:shd w:val="clear" w:color="auto" w:fill="auto"/>
                  <w:vAlign w:val="center"/>
                </w:tcPr>
                <w:p>
                  <w:pPr>
                    <w:pStyle w:val="47"/>
                  </w:pPr>
                  <w:r>
                    <w:rPr>
                      <w:rFonts w:hint="eastAsia"/>
                    </w:rPr>
                    <w:t>改扩建完成后总生产能力为20万吨/年钾长石粉</w:t>
                  </w:r>
                </w:p>
              </w:tc>
            </w:tr>
          </w:tbl>
          <w:p>
            <w:pPr>
              <w:pStyle w:val="37"/>
              <w:ind w:firstLine="480"/>
              <w:rPr>
                <w:rFonts w:ascii="SimSun" w:hAnsi="SimSun"/>
              </w:rPr>
            </w:pPr>
          </w:p>
        </w:tc>
      </w:tr>
    </w:tbl>
    <w:p>
      <w:pPr>
        <w:pStyle w:val="2"/>
      </w:pPr>
      <w:r>
        <w:rPr>
          <w:sz w:val="24"/>
        </w:rPr>
        <w:br w:type="page"/>
      </w:r>
      <w:bookmarkStart w:id="3" w:name="_Toc496518914"/>
      <w:bookmarkStart w:id="4" w:name="_Toc34472022"/>
      <w:r>
        <w:rPr>
          <w:rFonts w:hint="eastAsia"/>
        </w:rPr>
        <w:t>表二建设项目所在地自然环境社会环境简况</w:t>
      </w:r>
      <w:bookmarkEnd w:id="3"/>
      <w:bookmarkEnd w:id="4"/>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51" w:hRule="atLeast"/>
        </w:trPr>
        <w:tc>
          <w:tcPr>
            <w:tcW w:w="9286" w:type="dxa"/>
          </w:tcPr>
          <w:p>
            <w:pPr>
              <w:pStyle w:val="3"/>
            </w:pPr>
            <w:r>
              <w:rPr>
                <w:rFonts w:hint="eastAsia"/>
              </w:rPr>
              <w:t>自然环境简况</w:t>
            </w:r>
            <w:r>
              <w:t>(</w:t>
            </w:r>
            <w:r>
              <w:rPr>
                <w:rFonts w:hint="eastAsia"/>
              </w:rPr>
              <w:t>地形、地貌、地质、气候、气象、水文、植被、生物多样性等</w:t>
            </w:r>
            <w:r>
              <w:t>)</w:t>
            </w:r>
            <w:r>
              <w:rPr>
                <w:rFonts w:hint="eastAsia"/>
              </w:rPr>
              <w:t>：</w:t>
            </w:r>
          </w:p>
          <w:p>
            <w:pPr>
              <w:pStyle w:val="4"/>
              <w:ind w:firstLine="482"/>
            </w:pPr>
            <w:r>
              <w:rPr>
                <w:rFonts w:hint="eastAsia"/>
              </w:rPr>
              <w:t>一、地理位置</w:t>
            </w:r>
          </w:p>
          <w:p>
            <w:pPr>
              <w:pStyle w:val="37"/>
              <w:ind w:firstLine="480"/>
              <w:rPr>
                <w:color w:val="FF0000"/>
              </w:rPr>
            </w:pPr>
            <w:r>
              <w:rPr>
                <w:rFonts w:hint="eastAsia"/>
              </w:rPr>
              <w:t>峨边彝族自治县位于四川省乐山市西南部，峨嵋山南麓，大凉山北麓，乐山市与凉山彝族自治州结合部。北邻峨眉山市，东邻沐川县，东南邻马边彝族自治县，南邻凉山州美姑县，西邻凉山州甘洛县，西北与乐山市金口河区毗邻。地理位置界于东经102°54′～103°38′，北纬28°39′～29°19′之间。东西宽56km，南北长73km，全县幅员面积2382km</w:t>
            </w:r>
            <w:r>
              <w:rPr>
                <w:rFonts w:hint="eastAsia"/>
                <w:vertAlign w:val="superscript"/>
              </w:rPr>
              <w:t>2</w:t>
            </w:r>
            <w:r>
              <w:rPr>
                <w:rFonts w:hint="eastAsia"/>
              </w:rPr>
              <w:t>。五渡镇位于县境东北部，距县府125公里，面积169.92平方千米，辖街村、胡坝、田村、双凤、新街、茶店、大村、胜利、葛村、工农、葛坝、向阳、先锋13个村委会。</w:t>
            </w:r>
          </w:p>
          <w:p>
            <w:pPr>
              <w:pStyle w:val="37"/>
              <w:ind w:firstLine="480"/>
            </w:pPr>
            <w:r>
              <w:rPr>
                <w:rFonts w:hint="eastAsia"/>
              </w:rPr>
              <w:t>本项目建设地点位于峨边彝族自治县五渡镇工农村2组，</w:t>
            </w:r>
            <w:r>
              <w:t>项目地理位置图见附图1。</w:t>
            </w:r>
          </w:p>
          <w:p>
            <w:pPr>
              <w:pStyle w:val="4"/>
              <w:ind w:firstLine="482"/>
            </w:pPr>
            <w:r>
              <w:rPr>
                <w:rFonts w:hint="eastAsia"/>
              </w:rPr>
              <w:t>二、地形、地貌、构造</w:t>
            </w:r>
          </w:p>
          <w:p>
            <w:pPr>
              <w:pStyle w:val="37"/>
              <w:ind w:firstLine="480"/>
            </w:pPr>
            <w:r>
              <w:rPr>
                <w:rFonts w:hint="eastAsia"/>
              </w:rPr>
              <w:t>峨边彝族自治县位于四川省西南山地的北部，地处大相岭东南坡，小凉山和小相岭东北麓，并居横断山脉的东侧，是四川盆地与云贵高原的过渡地带，属于高山地低洼河谷类型。地壳受一系列南北向褶皱和大逆断层所控制，县内山川走向大体成南北纵向伸展，岭谷相间，平行排列。境内中部区域受横贯县境的大渡河影响，切割急剧加深，谷壁陡峭，形成谷地狭窄的山地河谷地带。按其切割程度的不同，全县地貌依次可分为高山、中山、低山（山地河谷）等三个地貌单元。境内海拔一般在1000至4000米之间，山脊约为3000米左右，平均海拔为1200米。西南边缘的马鞍山主峰是最高峰，海拔4288米，东北部五渡镇的大沙坝，海拔仅469米，为最低点，相对高差悬殊，达到3800余米，形成西，南高东北低的逐渐倾斜地势。由于高差悬殊，使得地貌、气候、植被、土壤、及农业利用方式，都呈明显的垂直分布规律。</w:t>
            </w:r>
          </w:p>
          <w:p>
            <w:pPr>
              <w:pStyle w:val="37"/>
              <w:ind w:firstLine="480"/>
            </w:pPr>
            <w:r>
              <w:rPr>
                <w:rFonts w:hint="eastAsia"/>
              </w:rPr>
              <w:t>峨边彝族自治县在大地构造上属于扬子准地台西缘的康滇地轴北段，前震旦系变质岩及上古生代、中生代沉积岩有广泛出露，主要为浅变质的沉积岩。火山岩多为浅灰，肉黄及墨黑等色的花岗岩组成。变质岩则主要为浅变质的钙质干枚岩，板岩，石灰岩等。除断层众多以外，矿产丰富亦是峨边地区地质构造上的显著特点。</w:t>
            </w:r>
          </w:p>
          <w:p>
            <w:pPr>
              <w:pStyle w:val="4"/>
              <w:ind w:firstLine="482"/>
            </w:pPr>
            <w:r>
              <w:rPr>
                <w:rFonts w:hint="eastAsia"/>
              </w:rPr>
              <w:t>三、气候</w:t>
            </w:r>
          </w:p>
          <w:p>
            <w:pPr>
              <w:pStyle w:val="37"/>
              <w:ind w:firstLine="480"/>
            </w:pPr>
            <w:r>
              <w:rPr>
                <w:rFonts w:hint="eastAsia"/>
              </w:rPr>
              <w:t>本项目所在区域属亚热带气候，多雨、炎热、潮湿，年平均气温16.8℃，历史最高气温38.3℃，最低为-4.4℃；年平均相对湿度77%，年平均降水量为1250㎜，多年平均蒸发量为1321.2㎜，日照全年时间仅为1014h；风向以北北东和东北居多，风力较小，静风频率约占37%。</w:t>
            </w:r>
          </w:p>
          <w:p>
            <w:pPr>
              <w:pStyle w:val="37"/>
              <w:ind w:firstLine="480"/>
            </w:pPr>
            <w:r>
              <w:rPr>
                <w:rFonts w:hint="eastAsia"/>
              </w:rPr>
              <w:t>主要气象参数为：</w:t>
            </w:r>
          </w:p>
          <w:p>
            <w:pPr>
              <w:pStyle w:val="37"/>
              <w:ind w:firstLine="480"/>
            </w:pPr>
            <w:r>
              <w:rPr>
                <w:rFonts w:hint="eastAsia"/>
              </w:rPr>
              <w:t>多年平均气温                   16.4℃</w:t>
            </w:r>
          </w:p>
          <w:p>
            <w:pPr>
              <w:pStyle w:val="37"/>
              <w:ind w:firstLine="480"/>
            </w:pPr>
            <w:r>
              <w:rPr>
                <w:rFonts w:hint="eastAsia"/>
              </w:rPr>
              <w:t>极端最高气温                   36.1 ℃</w:t>
            </w:r>
          </w:p>
          <w:p>
            <w:pPr>
              <w:pStyle w:val="37"/>
              <w:ind w:firstLine="480"/>
            </w:pPr>
            <w:r>
              <w:rPr>
                <w:rFonts w:hint="eastAsia"/>
              </w:rPr>
              <w:t>极端最低气温                   -3.2 ℃</w:t>
            </w:r>
          </w:p>
          <w:p>
            <w:pPr>
              <w:pStyle w:val="37"/>
              <w:ind w:firstLine="480"/>
            </w:pPr>
            <w:r>
              <w:rPr>
                <w:rFonts w:hint="eastAsia"/>
              </w:rPr>
              <w:t>多年平均相对湿度               77%</w:t>
            </w:r>
          </w:p>
          <w:p>
            <w:pPr>
              <w:pStyle w:val="37"/>
              <w:ind w:firstLine="480"/>
            </w:pPr>
            <w:r>
              <w:rPr>
                <w:rFonts w:hint="eastAsia"/>
              </w:rPr>
              <w:t>多年平均降水量                 1250mm</w:t>
            </w:r>
          </w:p>
          <w:p>
            <w:pPr>
              <w:pStyle w:val="37"/>
              <w:ind w:firstLine="480"/>
            </w:pPr>
            <w:r>
              <w:rPr>
                <w:rFonts w:hint="eastAsia"/>
              </w:rPr>
              <w:t>多年平均蒸发量                 1321.2mm</w:t>
            </w:r>
          </w:p>
          <w:p>
            <w:pPr>
              <w:pStyle w:val="37"/>
              <w:ind w:firstLine="480"/>
            </w:pPr>
            <w:r>
              <w:rPr>
                <w:rFonts w:hint="eastAsia"/>
              </w:rPr>
              <w:t>年平均日照时数                 1014h</w:t>
            </w:r>
          </w:p>
          <w:p>
            <w:pPr>
              <w:pStyle w:val="37"/>
              <w:ind w:firstLine="480"/>
            </w:pPr>
            <w:r>
              <w:rPr>
                <w:rFonts w:hint="eastAsia"/>
              </w:rPr>
              <w:t>常年主导风向、平均风速        NE风、年平均风速1.7m/s、最大风速17.3m/s</w:t>
            </w:r>
          </w:p>
          <w:p>
            <w:pPr>
              <w:pStyle w:val="37"/>
              <w:ind w:firstLine="480"/>
            </w:pPr>
            <w:r>
              <w:rPr>
                <w:rFonts w:hint="eastAsia"/>
              </w:rPr>
              <w:t>常年静风频率                   37%</w:t>
            </w:r>
          </w:p>
          <w:p>
            <w:pPr>
              <w:pStyle w:val="4"/>
              <w:ind w:firstLine="482"/>
            </w:pPr>
            <w:r>
              <w:rPr>
                <w:rFonts w:hint="eastAsia"/>
              </w:rPr>
              <w:t>四、水文特征</w:t>
            </w:r>
          </w:p>
          <w:p>
            <w:pPr>
              <w:pStyle w:val="37"/>
              <w:ind w:firstLine="480"/>
            </w:pPr>
            <w:r>
              <w:rPr>
                <w:rFonts w:hint="eastAsia"/>
              </w:rPr>
              <w:t>峨边彝族自治县河流均属大渡河水系，全县有大小河流42条，其中官料河、长滩河、西河、白沙河等河流流域面积大，流域内植被良好、水量丰沛，径流稳定，河床落差大。本项目所在地表水系为大渡河水系，主要为茅杆河及其支流，茅杆河流量50L/s，其水体功能主要为泄洪、灌溉，由北向南流经矿区外西侧，在矿区外南侧汇入大渡河。</w:t>
            </w:r>
          </w:p>
          <w:p>
            <w:pPr>
              <w:pStyle w:val="37"/>
              <w:ind w:firstLine="480"/>
            </w:pPr>
            <w:r>
              <w:t>大渡河：大渡河是岷江最大支流，发源于青海省果洛山东南麓，分东、西两源，东源为足木足河，西源为绰斯甲河，以东源为主源。东、西两源于双江口汇合后，向南流经金川、丹巴、泸定，于石棉折向东流，再经汉源、峨边、沙湾等城镇，在乐山市中区草鞋渡纳青衣江后，于乐山市城南注入岷江。大渡河干流全长1062km，四川省境内长852km。天然落差4175m，四川省境内2788m。流域面积7.74万km</w:t>
            </w:r>
            <w:r>
              <w:rPr>
                <w:vertAlign w:val="superscript"/>
              </w:rPr>
              <w:t>2</w:t>
            </w:r>
            <w:r>
              <w:t>，其中四川省境内6.80万km</w:t>
            </w:r>
            <w:r>
              <w:rPr>
                <w:vertAlign w:val="superscript"/>
              </w:rPr>
              <w:t>2</w:t>
            </w:r>
            <w:r>
              <w:t>，占全流域面积的91.5％。</w:t>
            </w:r>
          </w:p>
          <w:p>
            <w:pPr>
              <w:pStyle w:val="4"/>
              <w:ind w:firstLine="482"/>
            </w:pPr>
            <w:r>
              <w:rPr>
                <w:rFonts w:hint="eastAsia"/>
              </w:rPr>
              <w:t>五、矿藏、动植物</w:t>
            </w:r>
          </w:p>
          <w:p>
            <w:pPr>
              <w:pStyle w:val="37"/>
              <w:ind w:firstLine="480"/>
            </w:pPr>
            <w:r>
              <w:rPr>
                <w:rFonts w:hint="eastAsia"/>
              </w:rPr>
              <w:t>峨边彝族自治县森林植被属于亚热带常绿阔叶林区，川东盆地偏湿性常绿阔叶林亚带，全县森林覆盖率为77%，河源地区森林覆盖率达62.2%。由于受山地地形制约，形成了相应的山地生物垂直带，植被垂直带谱明显，由低到高依次为：</w:t>
            </w:r>
          </w:p>
          <w:p>
            <w:pPr>
              <w:pStyle w:val="37"/>
              <w:ind w:firstLine="480"/>
            </w:pPr>
            <w:r>
              <w:rPr>
                <w:rFonts w:hint="eastAsia"/>
              </w:rPr>
              <w:t>海拔1300～2000m，为亚热带常绿阔叶林带；海拔2000～2400m，为针阔叶林混交林带；海拔2400～3700m，为暗针叶林带；海拔3700以上，为高山灌丛和草甸带。</w:t>
            </w:r>
          </w:p>
          <w:p>
            <w:pPr>
              <w:pStyle w:val="37"/>
              <w:ind w:firstLine="480"/>
            </w:pPr>
            <w:r>
              <w:rPr>
                <w:rFonts w:hint="eastAsia"/>
              </w:rPr>
              <w:t>峨边彝族自治县有林草地面积25.09万公顷，占全县总面积的37.1%，天然草场面积33.44万公顷，占全县总面积的49.4%。</w:t>
            </w:r>
          </w:p>
          <w:p>
            <w:pPr>
              <w:pStyle w:val="37"/>
              <w:ind w:firstLine="480"/>
            </w:pPr>
            <w:r>
              <w:rPr>
                <w:rFonts w:hint="eastAsia"/>
              </w:rPr>
              <w:t>据调查，峨边彝族自治县树种包括针叶树种、阔叶树种、灌木树种及经济树种。其中针叶树种主要包括松科的云杉属、冷杉属、铁杉属、落叶松属、松属，柏科的侧柏属，树种有云杉、巴山冷杉、苍山冷杉、云南铁杉、红杉、云南松、高山松和侧柏等；阔叶乔木树种主要包括杨柳科、壳斗科、桦木科的山杨、川杨、青杨、刺叶栎、细叶青冈和红桦等；灌木树种主要有枸子木、三颗针、野蔷薇和杜鹃等。全县主要草种有高山寒草、高山早熟禾、珠牙蓼、黑花苔草、羊茅、披碱草等，主要分布在海拔3700m以上的高山宽谷、缓坡和小型台地。</w:t>
            </w:r>
          </w:p>
          <w:p>
            <w:pPr>
              <w:pStyle w:val="37"/>
              <w:ind w:firstLine="480"/>
            </w:pPr>
            <w:r>
              <w:rPr>
                <w:rFonts w:hint="eastAsia"/>
              </w:rPr>
              <w:t>国家珍稀保护的野生动物如大熊猫、羚羊、豹、小熊猫、黑熊、岩羊等均分布在黑竹沟自然保护区、黑竹沟风景名胜区和黑竹沟森林公园内的高海拔林区，不受工程建设的影响。</w:t>
            </w:r>
          </w:p>
          <w:p>
            <w:pPr>
              <w:pStyle w:val="37"/>
              <w:keepNext/>
              <w:ind w:firstLine="482"/>
              <w:rPr>
                <w:rFonts w:ascii="SimSun" w:hAnsi="SimSun"/>
                <w:b/>
                <w:bCs/>
              </w:rPr>
            </w:pPr>
            <w:r>
              <w:rPr>
                <w:rFonts w:hint="eastAsia"/>
                <w:b/>
              </w:rPr>
              <w:t>根据现场踏勘及查阅相关资料，项目评价范围内无珍稀、濒危动植物，无生态保护物种和自然保护区等生态敏感点，不在拟定的生态红线区内。</w:t>
            </w:r>
          </w:p>
          <w:p>
            <w:pPr>
              <w:pStyle w:val="37"/>
              <w:keepNext/>
              <w:ind w:firstLine="482"/>
              <w:rPr>
                <w:rFonts w:ascii="SimSun" w:hAnsi="SimSun"/>
                <w:b/>
                <w:bCs/>
              </w:rPr>
            </w:pPr>
          </w:p>
          <w:p>
            <w:pPr>
              <w:pStyle w:val="37"/>
              <w:keepNext/>
              <w:ind w:firstLine="482"/>
              <w:rPr>
                <w:rFonts w:ascii="SimSun" w:hAnsi="SimSun"/>
                <w:b/>
                <w:bCs/>
              </w:rPr>
            </w:pPr>
          </w:p>
        </w:tc>
      </w:tr>
    </w:tbl>
    <w:p>
      <w:pPr>
        <w:pStyle w:val="2"/>
      </w:pPr>
      <w:r>
        <w:br w:type="page"/>
      </w:r>
      <w:bookmarkStart w:id="5" w:name="_Toc34472023"/>
      <w:bookmarkStart w:id="6" w:name="_Toc496518915"/>
      <w:r>
        <w:rPr>
          <w:rFonts w:hint="eastAsia"/>
        </w:rPr>
        <w:t>表三环境质量状况</w:t>
      </w:r>
      <w:bookmarkEnd w:id="5"/>
      <w:bookmarkEnd w:id="6"/>
    </w:p>
    <w:tbl>
      <w:tblPr>
        <w:tblStyle w:val="25"/>
        <w:tblW w:w="928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288" w:type="dxa"/>
          </w:tcPr>
          <w:p>
            <w:pPr>
              <w:pStyle w:val="3"/>
              <w:rPr>
                <w:rFonts w:ascii="SimSun"/>
              </w:rPr>
            </w:pPr>
            <w:r>
              <w:rPr>
                <w:rFonts w:hint="eastAsia"/>
              </w:rPr>
              <w:t>建设项目所在地区域环境质量现状及主要环境问题：</w:t>
            </w:r>
          </w:p>
          <w:p>
            <w:pPr>
              <w:pStyle w:val="37"/>
              <w:keepNext/>
              <w:ind w:firstLine="480"/>
            </w:pPr>
            <w:r>
              <w:rPr>
                <w:rFonts w:hint="eastAsia"/>
              </w:rPr>
              <w:t>本项目属于改扩建项目，位于峨边彝族自治县五渡镇工农村2组（原厂址中部）。为了解区域环境质量现状，本次评价查阅了当地2017年环境质量公报及乐山市2018年环境质量公报，拟引用其中环境空气、地表水监测数据开展本项目环境空气、地表水质量现状评价。受乐山市峨边盛和矿业有限公司委托，四川同佳检测有限责任公司于2019年10月22日~23日对项目所在区域环境噪声进行了监测，本次评价拟引用其监测结果开展环境噪声现状评价。监测结果统计数据如下：</w:t>
            </w:r>
          </w:p>
          <w:p>
            <w:pPr>
              <w:pStyle w:val="4"/>
              <w:ind w:firstLine="482"/>
            </w:pPr>
            <w:r>
              <w:rPr>
                <w:rFonts w:hint="eastAsia"/>
              </w:rPr>
              <w:t>1</w:t>
            </w:r>
            <w:r>
              <w:t>、</w:t>
            </w:r>
            <w:r>
              <w:rPr>
                <w:rFonts w:hint="eastAsia"/>
              </w:rPr>
              <w:t>环境</w:t>
            </w:r>
            <w:r>
              <w:t>空气质量</w:t>
            </w:r>
          </w:p>
          <w:p>
            <w:pPr>
              <w:pStyle w:val="37"/>
              <w:keepNext/>
              <w:ind w:firstLine="480"/>
            </w:pPr>
            <w:r>
              <w:rPr>
                <w:rFonts w:hint="eastAsia"/>
              </w:rPr>
              <w:t>本项目属原址改扩建项目，位于峨边彝族自治县五渡镇工农村2组，根据2017年峨边彝族自治县环境质量状况监测数据，峨边彝族自治县环境空气质量主要指标见表3-1。区域内首要污染物为PM</w:t>
            </w:r>
            <w:r>
              <w:rPr>
                <w:rFonts w:hint="eastAsia"/>
                <w:vertAlign w:val="subscript"/>
              </w:rPr>
              <w:t>10</w:t>
            </w:r>
            <w:r>
              <w:rPr>
                <w:rFonts w:hint="eastAsia"/>
              </w:rPr>
              <w:t>、PM</w:t>
            </w:r>
            <w:r>
              <w:rPr>
                <w:rFonts w:hint="eastAsia"/>
                <w:vertAlign w:val="subscript"/>
              </w:rPr>
              <w:t>2.5</w:t>
            </w:r>
            <w:r>
              <w:rPr>
                <w:rFonts w:hint="eastAsia"/>
              </w:rPr>
              <w:t>，其中PM</w:t>
            </w:r>
            <w:r>
              <w:rPr>
                <w:rFonts w:hint="eastAsia"/>
                <w:vertAlign w:val="subscript"/>
              </w:rPr>
              <w:t>10</w:t>
            </w:r>
            <w:r>
              <w:rPr>
                <w:rFonts w:hint="eastAsia"/>
              </w:rPr>
              <w:t>年均浓度值为89.2</w:t>
            </w:r>
            <w:r>
              <w:rPr>
                <w:rFonts w:cs="Times New Roman"/>
              </w:rPr>
              <w:t>μ</w:t>
            </w:r>
            <w:r>
              <w:rPr>
                <w:rFonts w:hint="eastAsia"/>
              </w:rPr>
              <w:t>g/m</w:t>
            </w:r>
            <w:r>
              <w:rPr>
                <w:rFonts w:hint="eastAsia"/>
                <w:vertAlign w:val="superscript"/>
              </w:rPr>
              <w:t>3</w:t>
            </w:r>
            <w:r>
              <w:rPr>
                <w:rFonts w:hint="eastAsia"/>
              </w:rPr>
              <w:t>，超标倍数为0.274，PM</w:t>
            </w:r>
            <w:r>
              <w:rPr>
                <w:rFonts w:hint="eastAsia"/>
                <w:vertAlign w:val="subscript"/>
              </w:rPr>
              <w:t>2.5</w:t>
            </w:r>
            <w:r>
              <w:rPr>
                <w:rFonts w:hint="eastAsia"/>
              </w:rPr>
              <w:t>年均浓度值为53.9</w:t>
            </w:r>
            <w:r>
              <w:rPr>
                <w:rFonts w:cs="Times New Roman"/>
              </w:rPr>
              <w:t>μ</w:t>
            </w:r>
            <w:r>
              <w:rPr>
                <w:rFonts w:hint="eastAsia"/>
              </w:rPr>
              <w:t>g/m</w:t>
            </w:r>
            <w:r>
              <w:rPr>
                <w:rFonts w:hint="eastAsia"/>
                <w:vertAlign w:val="superscript"/>
              </w:rPr>
              <w:t>3</w:t>
            </w:r>
            <w:r>
              <w:rPr>
                <w:rFonts w:hint="eastAsia"/>
              </w:rPr>
              <w:t>，超标倍数为0.54，项目所在区域属不达标区域。乐山市于2017年发布了《乐山市大气环境质量限期达标规划（2016年-2025年）》，规划到2020年PM</w:t>
            </w:r>
            <w:r>
              <w:rPr>
                <w:rFonts w:hint="eastAsia"/>
                <w:vertAlign w:val="subscript"/>
              </w:rPr>
              <w:t>10</w:t>
            </w:r>
            <w:r>
              <w:rPr>
                <w:rFonts w:hint="eastAsia"/>
              </w:rPr>
              <w:t>年均浓度达到《环境空气质量标准》（GB3095-2012）二级标准限值，到2025年PM</w:t>
            </w:r>
            <w:r>
              <w:rPr>
                <w:rFonts w:hint="eastAsia"/>
                <w:vertAlign w:val="subscript"/>
              </w:rPr>
              <w:t>2.5</w:t>
            </w:r>
            <w:r>
              <w:rPr>
                <w:rFonts w:hint="eastAsia"/>
              </w:rPr>
              <w:t>年均浓度达到《环境空气质量标准》（GB3095-2012）二级标准限值。</w:t>
            </w:r>
          </w:p>
          <w:p>
            <w:pPr>
              <w:pStyle w:val="36"/>
              <w:keepNext/>
            </w:pPr>
            <w:r>
              <w:t>表</w:t>
            </w:r>
            <w:r>
              <w:rPr>
                <w:rFonts w:hint="eastAsia"/>
              </w:rPr>
              <w:t>3</w:t>
            </w:r>
            <w:r>
              <w:t>-1 区域空气质量现状评价表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2797"/>
              <w:gridCol w:w="1573"/>
              <w:gridCol w:w="1263"/>
              <w:gridCol w:w="1044"/>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28" w:type="pct"/>
                  <w:shd w:val="clear" w:color="auto" w:fill="auto"/>
                  <w:vAlign w:val="center"/>
                </w:tcPr>
                <w:p>
                  <w:pPr>
                    <w:pStyle w:val="47"/>
                    <w:keepNext/>
                  </w:pPr>
                  <w:r>
                    <w:rPr>
                      <w:rFonts w:hint="eastAsia"/>
                    </w:rPr>
                    <w:t>污染物</w:t>
                  </w:r>
                </w:p>
              </w:tc>
              <w:tc>
                <w:tcPr>
                  <w:tcW w:w="1543" w:type="pct"/>
                  <w:shd w:val="clear" w:color="auto" w:fill="auto"/>
                  <w:vAlign w:val="center"/>
                </w:tcPr>
                <w:p>
                  <w:pPr>
                    <w:pStyle w:val="47"/>
                    <w:keepNext/>
                  </w:pPr>
                  <w:r>
                    <w:rPr>
                      <w:rFonts w:hint="eastAsia"/>
                    </w:rPr>
                    <w:t>年评价指标</w:t>
                  </w:r>
                </w:p>
              </w:tc>
              <w:tc>
                <w:tcPr>
                  <w:tcW w:w="868" w:type="pct"/>
                  <w:shd w:val="clear" w:color="auto" w:fill="auto"/>
                  <w:vAlign w:val="center"/>
                </w:tcPr>
                <w:p>
                  <w:pPr>
                    <w:pStyle w:val="47"/>
                    <w:keepNext/>
                  </w:pPr>
                  <w:r>
                    <w:rPr>
                      <w:rFonts w:hint="eastAsia"/>
                    </w:rPr>
                    <w:t>现状浓度</w:t>
                  </w:r>
                </w:p>
                <w:p>
                  <w:pPr>
                    <w:pStyle w:val="47"/>
                    <w:keepNext/>
                  </w:pPr>
                  <w:r>
                    <w:rPr>
                      <w:rFonts w:hint="eastAsia"/>
                    </w:rPr>
                    <w:t>（</w:t>
                  </w:r>
                  <w:r>
                    <w:t>μg/m</w:t>
                  </w:r>
                  <w:r>
                    <w:rPr>
                      <w:rStyle w:val="49"/>
                      <w:vertAlign w:val="superscript"/>
                    </w:rPr>
                    <w:t>3</w:t>
                  </w:r>
                  <w:r>
                    <w:rPr>
                      <w:rFonts w:hint="eastAsia"/>
                    </w:rPr>
                    <w:t>）</w:t>
                  </w:r>
                </w:p>
              </w:tc>
              <w:tc>
                <w:tcPr>
                  <w:tcW w:w="697" w:type="pct"/>
                  <w:shd w:val="clear" w:color="auto" w:fill="auto"/>
                  <w:vAlign w:val="center"/>
                </w:tcPr>
                <w:p>
                  <w:pPr>
                    <w:pStyle w:val="47"/>
                    <w:keepNext/>
                  </w:pPr>
                  <w:r>
                    <w:rPr>
                      <w:rFonts w:hint="eastAsia"/>
                    </w:rPr>
                    <w:t>标准值</w:t>
                  </w:r>
                </w:p>
                <w:p>
                  <w:pPr>
                    <w:pStyle w:val="47"/>
                    <w:keepNext/>
                  </w:pPr>
                  <w:r>
                    <w:rPr>
                      <w:rFonts w:hint="eastAsia"/>
                    </w:rPr>
                    <w:t>（</w:t>
                  </w:r>
                  <w:r>
                    <w:t>μg/m</w:t>
                  </w:r>
                  <w:r>
                    <w:rPr>
                      <w:rStyle w:val="49"/>
                      <w:vertAlign w:val="superscript"/>
                    </w:rPr>
                    <w:t>3</w:t>
                  </w:r>
                  <w:r>
                    <w:rPr>
                      <w:rFonts w:hint="eastAsia"/>
                    </w:rPr>
                    <w:t>）</w:t>
                  </w:r>
                </w:p>
              </w:tc>
              <w:tc>
                <w:tcPr>
                  <w:tcW w:w="576" w:type="pct"/>
                  <w:shd w:val="clear" w:color="auto" w:fill="auto"/>
                  <w:vAlign w:val="center"/>
                </w:tcPr>
                <w:p>
                  <w:pPr>
                    <w:pStyle w:val="47"/>
                    <w:keepNext/>
                  </w:pPr>
                  <w:r>
                    <w:rPr>
                      <w:rFonts w:hint="eastAsia"/>
                    </w:rPr>
                    <w:t>占标率%</w:t>
                  </w:r>
                </w:p>
              </w:tc>
              <w:tc>
                <w:tcPr>
                  <w:tcW w:w="589" w:type="pct"/>
                  <w:shd w:val="clear" w:color="auto" w:fill="auto"/>
                  <w:vAlign w:val="center"/>
                </w:tcPr>
                <w:p>
                  <w:pPr>
                    <w:pStyle w:val="47"/>
                    <w:keepNext/>
                  </w:pPr>
                  <w:r>
                    <w:rPr>
                      <w:rFonts w:hint="eastAsia"/>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S</w:t>
                  </w:r>
                  <w:r>
                    <w:t>O</w:t>
                  </w:r>
                  <w:r>
                    <w:rPr>
                      <w:vertAlign w:val="subscript"/>
                    </w:rPr>
                    <w:t>2</w:t>
                  </w:r>
                </w:p>
              </w:tc>
              <w:tc>
                <w:tcPr>
                  <w:tcW w:w="1543" w:type="pct"/>
                  <w:vMerge w:val="restart"/>
                  <w:shd w:val="clear" w:color="auto" w:fill="auto"/>
                  <w:vAlign w:val="center"/>
                </w:tcPr>
                <w:p>
                  <w:pPr>
                    <w:pStyle w:val="47"/>
                    <w:keepNext/>
                  </w:pPr>
                  <w:r>
                    <w:t>年平均质量浓度</w:t>
                  </w:r>
                </w:p>
              </w:tc>
              <w:tc>
                <w:tcPr>
                  <w:tcW w:w="868" w:type="pct"/>
                  <w:shd w:val="clear" w:color="auto" w:fill="auto"/>
                  <w:vAlign w:val="center"/>
                </w:tcPr>
                <w:p>
                  <w:pPr>
                    <w:pStyle w:val="47"/>
                    <w:keepNext/>
                  </w:pPr>
                  <w:r>
                    <w:rPr>
                      <w:rFonts w:hint="eastAsia"/>
                    </w:rPr>
                    <w:t>1</w:t>
                  </w:r>
                  <w:r>
                    <w:t>6.2</w:t>
                  </w:r>
                </w:p>
              </w:tc>
              <w:tc>
                <w:tcPr>
                  <w:tcW w:w="697" w:type="pct"/>
                  <w:shd w:val="clear" w:color="auto" w:fill="auto"/>
                  <w:vAlign w:val="center"/>
                </w:tcPr>
                <w:p>
                  <w:pPr>
                    <w:pStyle w:val="47"/>
                    <w:keepNext/>
                  </w:pPr>
                  <w:r>
                    <w:rPr>
                      <w:rFonts w:hint="eastAsia"/>
                    </w:rPr>
                    <w:t>6</w:t>
                  </w:r>
                  <w:r>
                    <w:t>0</w:t>
                  </w:r>
                </w:p>
              </w:tc>
              <w:tc>
                <w:tcPr>
                  <w:tcW w:w="576" w:type="pct"/>
                  <w:shd w:val="clear" w:color="auto" w:fill="auto"/>
                  <w:vAlign w:val="center"/>
                </w:tcPr>
                <w:p>
                  <w:pPr>
                    <w:pStyle w:val="47"/>
                    <w:keepNext/>
                  </w:pPr>
                  <w:r>
                    <w:rPr>
                      <w:rFonts w:hint="eastAsia"/>
                    </w:rPr>
                    <w:t>2</w:t>
                  </w:r>
                  <w:r>
                    <w:t>7</w:t>
                  </w:r>
                </w:p>
              </w:tc>
              <w:tc>
                <w:tcPr>
                  <w:tcW w:w="589" w:type="pct"/>
                  <w:vMerge w:val="restart"/>
                  <w:shd w:val="clear" w:color="auto" w:fill="auto"/>
                  <w:vAlign w:val="center"/>
                </w:tcPr>
                <w:p>
                  <w:pPr>
                    <w:pStyle w:val="47"/>
                    <w:keepNext/>
                  </w:pPr>
                  <w:r>
                    <w:rPr>
                      <w:rFonts w:hint="eastAsia"/>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N</w:t>
                  </w:r>
                  <w:r>
                    <w:t>O</w:t>
                  </w:r>
                  <w:r>
                    <w:rPr>
                      <w:vertAlign w:val="subscript"/>
                    </w:rPr>
                    <w:t>2</w:t>
                  </w:r>
                </w:p>
              </w:tc>
              <w:tc>
                <w:tcPr>
                  <w:tcW w:w="1543" w:type="pct"/>
                  <w:vMerge w:val="continue"/>
                  <w:shd w:val="clear" w:color="auto" w:fill="auto"/>
                  <w:vAlign w:val="center"/>
                </w:tcPr>
                <w:p>
                  <w:pPr>
                    <w:pStyle w:val="47"/>
                    <w:keepNext/>
                  </w:pPr>
                </w:p>
              </w:tc>
              <w:tc>
                <w:tcPr>
                  <w:tcW w:w="868" w:type="pct"/>
                  <w:shd w:val="clear" w:color="auto" w:fill="auto"/>
                  <w:vAlign w:val="center"/>
                </w:tcPr>
                <w:p>
                  <w:pPr>
                    <w:pStyle w:val="47"/>
                    <w:keepNext/>
                  </w:pPr>
                  <w:r>
                    <w:rPr>
                      <w:rFonts w:hint="eastAsia"/>
                    </w:rPr>
                    <w:t>2</w:t>
                  </w:r>
                  <w:r>
                    <w:t>4.6</w:t>
                  </w:r>
                </w:p>
              </w:tc>
              <w:tc>
                <w:tcPr>
                  <w:tcW w:w="697" w:type="pct"/>
                  <w:shd w:val="clear" w:color="auto" w:fill="auto"/>
                  <w:vAlign w:val="center"/>
                </w:tcPr>
                <w:p>
                  <w:pPr>
                    <w:pStyle w:val="47"/>
                    <w:keepNext/>
                  </w:pPr>
                  <w:r>
                    <w:rPr>
                      <w:rFonts w:hint="eastAsia"/>
                    </w:rPr>
                    <w:t>4</w:t>
                  </w:r>
                  <w:r>
                    <w:t>0</w:t>
                  </w:r>
                </w:p>
              </w:tc>
              <w:tc>
                <w:tcPr>
                  <w:tcW w:w="576" w:type="pct"/>
                  <w:shd w:val="clear" w:color="auto" w:fill="auto"/>
                  <w:vAlign w:val="center"/>
                </w:tcPr>
                <w:p>
                  <w:pPr>
                    <w:pStyle w:val="47"/>
                    <w:keepNext/>
                  </w:pPr>
                  <w:r>
                    <w:rPr>
                      <w:rFonts w:hint="eastAsia"/>
                    </w:rPr>
                    <w:t>6</w:t>
                  </w:r>
                  <w:r>
                    <w:t>1.5</w:t>
                  </w:r>
                </w:p>
              </w:tc>
              <w:tc>
                <w:tcPr>
                  <w:tcW w:w="589" w:type="pct"/>
                  <w:vMerge w:val="continue"/>
                  <w:shd w:val="clear" w:color="auto" w:fill="auto"/>
                  <w:vAlign w:val="center"/>
                </w:tcPr>
                <w:p>
                  <w:pPr>
                    <w:pStyle w:val="47"/>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P</w:t>
                  </w:r>
                  <w:r>
                    <w:t>M</w:t>
                  </w:r>
                  <w:r>
                    <w:rPr>
                      <w:vertAlign w:val="subscript"/>
                    </w:rPr>
                    <w:t>10</w:t>
                  </w:r>
                </w:p>
              </w:tc>
              <w:tc>
                <w:tcPr>
                  <w:tcW w:w="1543" w:type="pct"/>
                  <w:vMerge w:val="continue"/>
                  <w:shd w:val="clear" w:color="auto" w:fill="auto"/>
                  <w:vAlign w:val="center"/>
                </w:tcPr>
                <w:p>
                  <w:pPr>
                    <w:pStyle w:val="47"/>
                    <w:keepNext/>
                  </w:pPr>
                </w:p>
              </w:tc>
              <w:tc>
                <w:tcPr>
                  <w:tcW w:w="868" w:type="pct"/>
                  <w:shd w:val="clear" w:color="auto" w:fill="auto"/>
                  <w:vAlign w:val="center"/>
                </w:tcPr>
                <w:p>
                  <w:pPr>
                    <w:pStyle w:val="47"/>
                    <w:keepNext/>
                  </w:pPr>
                  <w:r>
                    <w:rPr>
                      <w:rFonts w:hint="eastAsia"/>
                    </w:rPr>
                    <w:t>8</w:t>
                  </w:r>
                  <w:r>
                    <w:t>3.7</w:t>
                  </w:r>
                </w:p>
              </w:tc>
              <w:tc>
                <w:tcPr>
                  <w:tcW w:w="697" w:type="pct"/>
                  <w:shd w:val="clear" w:color="auto" w:fill="auto"/>
                  <w:vAlign w:val="center"/>
                </w:tcPr>
                <w:p>
                  <w:pPr>
                    <w:pStyle w:val="47"/>
                    <w:keepNext/>
                  </w:pPr>
                  <w:r>
                    <w:rPr>
                      <w:rFonts w:hint="eastAsia"/>
                    </w:rPr>
                    <w:t>7</w:t>
                  </w:r>
                  <w:r>
                    <w:t>0</w:t>
                  </w:r>
                </w:p>
              </w:tc>
              <w:tc>
                <w:tcPr>
                  <w:tcW w:w="576" w:type="pct"/>
                  <w:shd w:val="clear" w:color="auto" w:fill="auto"/>
                  <w:vAlign w:val="center"/>
                </w:tcPr>
                <w:p>
                  <w:pPr>
                    <w:pStyle w:val="47"/>
                    <w:keepNext/>
                  </w:pPr>
                  <w:r>
                    <w:rPr>
                      <w:rFonts w:hint="eastAsia"/>
                    </w:rPr>
                    <w:t>1</w:t>
                  </w:r>
                  <w:r>
                    <w:t>19.5</w:t>
                  </w:r>
                </w:p>
              </w:tc>
              <w:tc>
                <w:tcPr>
                  <w:tcW w:w="589" w:type="pct"/>
                  <w:vMerge w:val="continue"/>
                  <w:shd w:val="clear" w:color="auto" w:fill="auto"/>
                  <w:vAlign w:val="center"/>
                </w:tcPr>
                <w:p>
                  <w:pPr>
                    <w:pStyle w:val="47"/>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P</w:t>
                  </w:r>
                  <w:r>
                    <w:t>M</w:t>
                  </w:r>
                  <w:r>
                    <w:rPr>
                      <w:vertAlign w:val="subscript"/>
                    </w:rPr>
                    <w:t>2.5</w:t>
                  </w:r>
                </w:p>
              </w:tc>
              <w:tc>
                <w:tcPr>
                  <w:tcW w:w="1543" w:type="pct"/>
                  <w:vMerge w:val="continue"/>
                  <w:shd w:val="clear" w:color="auto" w:fill="auto"/>
                  <w:vAlign w:val="center"/>
                </w:tcPr>
                <w:p>
                  <w:pPr>
                    <w:pStyle w:val="47"/>
                    <w:keepNext/>
                  </w:pPr>
                </w:p>
              </w:tc>
              <w:tc>
                <w:tcPr>
                  <w:tcW w:w="868" w:type="pct"/>
                  <w:shd w:val="clear" w:color="auto" w:fill="auto"/>
                  <w:vAlign w:val="center"/>
                </w:tcPr>
                <w:p>
                  <w:pPr>
                    <w:pStyle w:val="47"/>
                    <w:keepNext/>
                  </w:pPr>
                  <w:r>
                    <w:rPr>
                      <w:rFonts w:hint="eastAsia"/>
                    </w:rPr>
                    <w:t>5</w:t>
                  </w:r>
                  <w:r>
                    <w:t>5.3</w:t>
                  </w:r>
                </w:p>
              </w:tc>
              <w:tc>
                <w:tcPr>
                  <w:tcW w:w="697" w:type="pct"/>
                  <w:shd w:val="clear" w:color="auto" w:fill="auto"/>
                  <w:vAlign w:val="center"/>
                </w:tcPr>
                <w:p>
                  <w:pPr>
                    <w:pStyle w:val="47"/>
                    <w:keepNext/>
                  </w:pPr>
                  <w:r>
                    <w:rPr>
                      <w:rFonts w:hint="eastAsia"/>
                    </w:rPr>
                    <w:t>3</w:t>
                  </w:r>
                  <w:r>
                    <w:t>5</w:t>
                  </w:r>
                </w:p>
              </w:tc>
              <w:tc>
                <w:tcPr>
                  <w:tcW w:w="576" w:type="pct"/>
                  <w:shd w:val="clear" w:color="auto" w:fill="auto"/>
                  <w:vAlign w:val="center"/>
                </w:tcPr>
                <w:p>
                  <w:pPr>
                    <w:pStyle w:val="47"/>
                    <w:keepNext/>
                  </w:pPr>
                  <w:r>
                    <w:rPr>
                      <w:rFonts w:hint="eastAsia"/>
                    </w:rPr>
                    <w:t>1</w:t>
                  </w:r>
                  <w:r>
                    <w:t>58</w:t>
                  </w:r>
                </w:p>
              </w:tc>
              <w:tc>
                <w:tcPr>
                  <w:tcW w:w="589" w:type="pct"/>
                  <w:vMerge w:val="continue"/>
                  <w:shd w:val="clear" w:color="auto" w:fill="auto"/>
                  <w:vAlign w:val="center"/>
                </w:tcPr>
                <w:p>
                  <w:pPr>
                    <w:pStyle w:val="47"/>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一氧化碳</w:t>
                  </w:r>
                </w:p>
              </w:tc>
              <w:tc>
                <w:tcPr>
                  <w:tcW w:w="1543" w:type="pct"/>
                  <w:shd w:val="clear" w:color="auto" w:fill="auto"/>
                  <w:vAlign w:val="center"/>
                </w:tcPr>
                <w:p>
                  <w:pPr>
                    <w:pStyle w:val="47"/>
                    <w:keepNext/>
                  </w:pPr>
                  <w:r>
                    <w:rPr>
                      <w:rFonts w:hint="eastAsia"/>
                    </w:rPr>
                    <w:t>日均浓度第9</w:t>
                  </w:r>
                  <w:r>
                    <w:t>5百分位数</w:t>
                  </w:r>
                </w:p>
              </w:tc>
              <w:tc>
                <w:tcPr>
                  <w:tcW w:w="868" w:type="pct"/>
                  <w:shd w:val="clear" w:color="auto" w:fill="auto"/>
                  <w:vAlign w:val="center"/>
                </w:tcPr>
                <w:p>
                  <w:pPr>
                    <w:pStyle w:val="47"/>
                    <w:keepNext/>
                  </w:pPr>
                  <w:r>
                    <w:rPr>
                      <w:rFonts w:hint="eastAsia"/>
                    </w:rPr>
                    <w:t>1</w:t>
                  </w:r>
                  <w:r>
                    <w:t>.4</w:t>
                  </w:r>
                </w:p>
              </w:tc>
              <w:tc>
                <w:tcPr>
                  <w:tcW w:w="697" w:type="pct"/>
                  <w:shd w:val="clear" w:color="auto" w:fill="auto"/>
                  <w:vAlign w:val="center"/>
                </w:tcPr>
                <w:p>
                  <w:pPr>
                    <w:pStyle w:val="47"/>
                    <w:keepNext/>
                  </w:pPr>
                  <w:r>
                    <w:rPr>
                      <w:rFonts w:hint="eastAsia"/>
                    </w:rPr>
                    <w:t>4</w:t>
                  </w:r>
                </w:p>
              </w:tc>
              <w:tc>
                <w:tcPr>
                  <w:tcW w:w="576" w:type="pct"/>
                  <w:shd w:val="clear" w:color="auto" w:fill="auto"/>
                  <w:vAlign w:val="center"/>
                </w:tcPr>
                <w:p>
                  <w:pPr>
                    <w:pStyle w:val="47"/>
                    <w:keepNext/>
                  </w:pPr>
                  <w:r>
                    <w:rPr>
                      <w:rFonts w:hint="eastAsia"/>
                    </w:rPr>
                    <w:t>3</w:t>
                  </w:r>
                  <w:r>
                    <w:t>5</w:t>
                  </w:r>
                </w:p>
              </w:tc>
              <w:tc>
                <w:tcPr>
                  <w:tcW w:w="589" w:type="pct"/>
                  <w:vMerge w:val="continue"/>
                  <w:shd w:val="clear" w:color="auto" w:fill="auto"/>
                  <w:vAlign w:val="center"/>
                </w:tcPr>
                <w:p>
                  <w:pPr>
                    <w:pStyle w:val="47"/>
                    <w:keepNex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 w:type="pct"/>
                  <w:shd w:val="clear" w:color="auto" w:fill="auto"/>
                  <w:vAlign w:val="center"/>
                </w:tcPr>
                <w:p>
                  <w:pPr>
                    <w:pStyle w:val="47"/>
                    <w:keepNext/>
                  </w:pPr>
                  <w:r>
                    <w:rPr>
                      <w:rFonts w:hint="eastAsia"/>
                    </w:rPr>
                    <w:t>臭氧</w:t>
                  </w:r>
                </w:p>
              </w:tc>
              <w:tc>
                <w:tcPr>
                  <w:tcW w:w="1543" w:type="pct"/>
                  <w:shd w:val="clear" w:color="auto" w:fill="auto"/>
                  <w:vAlign w:val="center"/>
                </w:tcPr>
                <w:p>
                  <w:pPr>
                    <w:pStyle w:val="47"/>
                    <w:keepNext/>
                  </w:pPr>
                  <w:r>
                    <w:rPr>
                      <w:rFonts w:hint="eastAsia"/>
                    </w:rPr>
                    <w:t>最大8小时平均浓度第9</w:t>
                  </w:r>
                  <w:r>
                    <w:t>0百分位数</w:t>
                  </w:r>
                </w:p>
              </w:tc>
              <w:tc>
                <w:tcPr>
                  <w:tcW w:w="868" w:type="pct"/>
                  <w:shd w:val="clear" w:color="auto" w:fill="auto"/>
                  <w:vAlign w:val="center"/>
                </w:tcPr>
                <w:p>
                  <w:pPr>
                    <w:pStyle w:val="47"/>
                    <w:keepNext/>
                  </w:pPr>
                  <w:r>
                    <w:rPr>
                      <w:rFonts w:hint="eastAsia"/>
                    </w:rPr>
                    <w:t>1</w:t>
                  </w:r>
                  <w:r>
                    <w:t>29.4</w:t>
                  </w:r>
                </w:p>
              </w:tc>
              <w:tc>
                <w:tcPr>
                  <w:tcW w:w="697" w:type="pct"/>
                  <w:shd w:val="clear" w:color="auto" w:fill="auto"/>
                  <w:vAlign w:val="center"/>
                </w:tcPr>
                <w:p>
                  <w:pPr>
                    <w:pStyle w:val="47"/>
                    <w:keepNext/>
                  </w:pPr>
                  <w:r>
                    <w:rPr>
                      <w:rFonts w:hint="eastAsia"/>
                    </w:rPr>
                    <w:t>1</w:t>
                  </w:r>
                  <w:r>
                    <w:t>60</w:t>
                  </w:r>
                </w:p>
              </w:tc>
              <w:tc>
                <w:tcPr>
                  <w:tcW w:w="576" w:type="pct"/>
                  <w:shd w:val="clear" w:color="auto" w:fill="auto"/>
                  <w:vAlign w:val="center"/>
                </w:tcPr>
                <w:p>
                  <w:pPr>
                    <w:pStyle w:val="47"/>
                    <w:keepNext/>
                  </w:pPr>
                  <w:r>
                    <w:rPr>
                      <w:rFonts w:hint="eastAsia"/>
                    </w:rPr>
                    <w:t>8</w:t>
                  </w:r>
                  <w:r>
                    <w:t>0.8</w:t>
                  </w:r>
                </w:p>
              </w:tc>
              <w:tc>
                <w:tcPr>
                  <w:tcW w:w="589" w:type="pct"/>
                  <w:vMerge w:val="continue"/>
                  <w:shd w:val="clear" w:color="auto" w:fill="auto"/>
                  <w:vAlign w:val="center"/>
                </w:tcPr>
                <w:p>
                  <w:pPr>
                    <w:pStyle w:val="47"/>
                    <w:keepNext/>
                  </w:pPr>
                </w:p>
              </w:tc>
            </w:tr>
          </w:tbl>
          <w:p>
            <w:pPr>
              <w:pStyle w:val="36"/>
              <w:keepNext/>
            </w:pPr>
            <w:r>
              <w:rPr>
                <w:rFonts w:hint="eastAsia"/>
              </w:rPr>
              <w:t>表3-2 乐山市空气质量达标规划指标</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21"/>
              <w:gridCol w:w="2884"/>
              <w:gridCol w:w="981"/>
              <w:gridCol w:w="1082"/>
              <w:gridCol w:w="1000"/>
              <w:gridCol w:w="1122"/>
              <w:gridCol w:w="1232"/>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3" w:hRule="atLeast"/>
                <w:jc w:val="center"/>
              </w:trPr>
              <w:tc>
                <w:tcPr>
                  <w:tcW w:w="177" w:type="pct"/>
                  <w:vMerge w:val="restart"/>
                  <w:vAlign w:val="center"/>
                </w:tcPr>
                <w:p>
                  <w:pPr>
                    <w:pStyle w:val="47"/>
                  </w:pPr>
                  <w:r>
                    <w:rPr>
                      <w:rFonts w:hint="eastAsia"/>
                    </w:rPr>
                    <w:t>序</w:t>
                  </w:r>
                </w:p>
                <w:p>
                  <w:pPr>
                    <w:pStyle w:val="47"/>
                  </w:pPr>
                  <w:r>
                    <w:rPr>
                      <w:rFonts w:hint="eastAsia"/>
                    </w:rPr>
                    <w:t>号</w:t>
                  </w:r>
                </w:p>
              </w:tc>
              <w:tc>
                <w:tcPr>
                  <w:tcW w:w="1591" w:type="pct"/>
                  <w:vMerge w:val="restart"/>
                  <w:vAlign w:val="center"/>
                </w:tcPr>
                <w:p>
                  <w:pPr>
                    <w:pStyle w:val="47"/>
                  </w:pPr>
                  <w:r>
                    <w:rPr>
                      <w:rFonts w:hint="eastAsia"/>
                    </w:rPr>
                    <w:t>环境质量指标单位：（</w:t>
                  </w:r>
                  <w:r>
                    <w:t>μ</w:t>
                  </w:r>
                  <w:r>
                    <w:rPr>
                      <w:rFonts w:hint="eastAsia"/>
                    </w:rPr>
                    <w:t>g/m</w:t>
                  </w:r>
                  <w:r>
                    <w:rPr>
                      <w:rFonts w:hint="eastAsia"/>
                      <w:vertAlign w:val="superscript"/>
                    </w:rPr>
                    <w:t>3</w:t>
                  </w:r>
                  <w:r>
                    <w:rPr>
                      <w:rFonts w:hint="eastAsia"/>
                    </w:rPr>
                    <w:t>）</w:t>
                  </w:r>
                </w:p>
              </w:tc>
              <w:tc>
                <w:tcPr>
                  <w:tcW w:w="541" w:type="pct"/>
                  <w:vMerge w:val="restart"/>
                  <w:vAlign w:val="center"/>
                </w:tcPr>
                <w:p>
                  <w:pPr>
                    <w:pStyle w:val="47"/>
                  </w:pPr>
                  <w:r>
                    <w:rPr>
                      <w:rFonts w:hint="eastAsia"/>
                    </w:rPr>
                    <w:t>2015年基数</w:t>
                  </w:r>
                </w:p>
              </w:tc>
              <w:tc>
                <w:tcPr>
                  <w:tcW w:w="597" w:type="pct"/>
                  <w:vMerge w:val="restart"/>
                  <w:vAlign w:val="center"/>
                </w:tcPr>
                <w:p>
                  <w:pPr>
                    <w:pStyle w:val="47"/>
                  </w:pPr>
                  <w:r>
                    <w:rPr>
                      <w:rFonts w:hint="eastAsia"/>
                    </w:rPr>
                    <w:t>2017年现状值</w:t>
                  </w:r>
                </w:p>
              </w:tc>
              <w:tc>
                <w:tcPr>
                  <w:tcW w:w="1171" w:type="pct"/>
                  <w:gridSpan w:val="2"/>
                  <w:vAlign w:val="center"/>
                </w:tcPr>
                <w:p>
                  <w:pPr>
                    <w:pStyle w:val="47"/>
                  </w:pPr>
                  <w:r>
                    <w:rPr>
                      <w:rFonts w:hint="eastAsia"/>
                    </w:rPr>
                    <w:t>目标值</w:t>
                  </w:r>
                </w:p>
              </w:tc>
              <w:tc>
                <w:tcPr>
                  <w:tcW w:w="680" w:type="pct"/>
                  <w:vMerge w:val="restart"/>
                  <w:vAlign w:val="center"/>
                </w:tcPr>
                <w:p>
                  <w:pPr>
                    <w:pStyle w:val="47"/>
                  </w:pPr>
                  <w:r>
                    <w:rPr>
                      <w:rFonts w:hint="eastAsia"/>
                    </w:rPr>
                    <w:t>国家空气质量标准</w:t>
                  </w:r>
                </w:p>
              </w:tc>
              <w:tc>
                <w:tcPr>
                  <w:tcW w:w="243" w:type="pct"/>
                  <w:vMerge w:val="restart"/>
                  <w:vAlign w:val="center"/>
                </w:tcPr>
                <w:p>
                  <w:pPr>
                    <w:pStyle w:val="47"/>
                  </w:pPr>
                  <w:r>
                    <w:rPr>
                      <w:rFonts w:hint="eastAsia"/>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177" w:type="pct"/>
                  <w:vMerge w:val="continue"/>
                  <w:vAlign w:val="center"/>
                </w:tcPr>
                <w:p>
                  <w:pPr>
                    <w:pStyle w:val="47"/>
                  </w:pPr>
                </w:p>
              </w:tc>
              <w:tc>
                <w:tcPr>
                  <w:tcW w:w="1591" w:type="pct"/>
                  <w:vMerge w:val="continue"/>
                  <w:vAlign w:val="center"/>
                </w:tcPr>
                <w:p>
                  <w:pPr>
                    <w:pStyle w:val="47"/>
                  </w:pPr>
                </w:p>
              </w:tc>
              <w:tc>
                <w:tcPr>
                  <w:tcW w:w="541" w:type="pct"/>
                  <w:vMerge w:val="continue"/>
                  <w:vAlign w:val="center"/>
                </w:tcPr>
                <w:p>
                  <w:pPr>
                    <w:pStyle w:val="47"/>
                  </w:pPr>
                </w:p>
              </w:tc>
              <w:tc>
                <w:tcPr>
                  <w:tcW w:w="597" w:type="pct"/>
                  <w:vMerge w:val="continue"/>
                  <w:vAlign w:val="center"/>
                </w:tcPr>
                <w:p>
                  <w:pPr>
                    <w:pStyle w:val="47"/>
                  </w:pPr>
                </w:p>
              </w:tc>
              <w:tc>
                <w:tcPr>
                  <w:tcW w:w="552" w:type="pct"/>
                  <w:vAlign w:val="center"/>
                </w:tcPr>
                <w:p>
                  <w:pPr>
                    <w:pStyle w:val="47"/>
                  </w:pPr>
                  <w:r>
                    <w:rPr>
                      <w:rFonts w:hint="eastAsia"/>
                    </w:rPr>
                    <w:t>近期2020年</w:t>
                  </w:r>
                </w:p>
              </w:tc>
              <w:tc>
                <w:tcPr>
                  <w:tcW w:w="619" w:type="pct"/>
                  <w:vAlign w:val="center"/>
                </w:tcPr>
                <w:p>
                  <w:pPr>
                    <w:pStyle w:val="47"/>
                  </w:pPr>
                  <w:r>
                    <w:rPr>
                      <w:rFonts w:hint="eastAsia"/>
                    </w:rPr>
                    <w:t>中远期2025年</w:t>
                  </w:r>
                </w:p>
              </w:tc>
              <w:tc>
                <w:tcPr>
                  <w:tcW w:w="680" w:type="pct"/>
                  <w:vMerge w:val="continue"/>
                  <w:vAlign w:val="center"/>
                </w:tcPr>
                <w:p>
                  <w:pPr>
                    <w:pStyle w:val="47"/>
                  </w:pPr>
                </w:p>
              </w:tc>
              <w:tc>
                <w:tcPr>
                  <w:tcW w:w="243"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3" w:hRule="atLeast"/>
                <w:jc w:val="center"/>
              </w:trPr>
              <w:tc>
                <w:tcPr>
                  <w:tcW w:w="177" w:type="pct"/>
                  <w:vAlign w:val="center"/>
                </w:tcPr>
                <w:p>
                  <w:pPr>
                    <w:pStyle w:val="47"/>
                  </w:pPr>
                  <w:r>
                    <w:rPr>
                      <w:rFonts w:hint="eastAsia"/>
                    </w:rPr>
                    <w:t>1</w:t>
                  </w:r>
                </w:p>
              </w:tc>
              <w:tc>
                <w:tcPr>
                  <w:tcW w:w="1591" w:type="pct"/>
                  <w:vAlign w:val="center"/>
                </w:tcPr>
                <w:p>
                  <w:pPr>
                    <w:pStyle w:val="47"/>
                  </w:pPr>
                  <w:r>
                    <w:rPr>
                      <w:rFonts w:hint="eastAsia"/>
                    </w:rPr>
                    <w:t>二氧化硫年均浓度</w:t>
                  </w:r>
                </w:p>
              </w:tc>
              <w:tc>
                <w:tcPr>
                  <w:tcW w:w="541" w:type="pct"/>
                  <w:vAlign w:val="center"/>
                </w:tcPr>
                <w:p>
                  <w:pPr>
                    <w:pStyle w:val="47"/>
                  </w:pPr>
                  <w:r>
                    <w:rPr>
                      <w:rFonts w:hint="eastAsia"/>
                    </w:rPr>
                    <w:t>20.2</w:t>
                  </w:r>
                </w:p>
              </w:tc>
              <w:tc>
                <w:tcPr>
                  <w:tcW w:w="597" w:type="pct"/>
                  <w:vAlign w:val="center"/>
                </w:tcPr>
                <w:p>
                  <w:pPr>
                    <w:pStyle w:val="47"/>
                  </w:pPr>
                  <w:r>
                    <w:rPr>
                      <w:rFonts w:hint="eastAsia"/>
                    </w:rPr>
                    <w:t>11.5</w:t>
                  </w:r>
                </w:p>
              </w:tc>
              <w:tc>
                <w:tcPr>
                  <w:tcW w:w="1171" w:type="pct"/>
                  <w:gridSpan w:val="2"/>
                  <w:vAlign w:val="center"/>
                </w:tcPr>
                <w:p>
                  <w:pPr>
                    <w:pStyle w:val="47"/>
                  </w:pPr>
                  <w:r>
                    <w:rPr>
                      <w:rFonts w:hint="eastAsia"/>
                    </w:rPr>
                    <w:t>≤15</w:t>
                  </w:r>
                </w:p>
              </w:tc>
              <w:tc>
                <w:tcPr>
                  <w:tcW w:w="680" w:type="pct"/>
                  <w:vAlign w:val="center"/>
                </w:tcPr>
                <w:p>
                  <w:pPr>
                    <w:pStyle w:val="47"/>
                  </w:pPr>
                  <w:r>
                    <w:rPr>
                      <w:rFonts w:hint="eastAsia"/>
                    </w:rPr>
                    <w:t>≤60</w:t>
                  </w:r>
                </w:p>
              </w:tc>
              <w:tc>
                <w:tcPr>
                  <w:tcW w:w="243" w:type="pct"/>
                  <w:vAlign w:val="center"/>
                </w:tcPr>
                <w:p>
                  <w:pPr>
                    <w:pStyle w:val="47"/>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1" w:hRule="atLeast"/>
                <w:jc w:val="center"/>
              </w:trPr>
              <w:tc>
                <w:tcPr>
                  <w:tcW w:w="177" w:type="pct"/>
                  <w:vAlign w:val="center"/>
                </w:tcPr>
                <w:p>
                  <w:pPr>
                    <w:pStyle w:val="47"/>
                  </w:pPr>
                  <w:r>
                    <w:rPr>
                      <w:rFonts w:hint="eastAsia"/>
                    </w:rPr>
                    <w:t>2</w:t>
                  </w:r>
                </w:p>
              </w:tc>
              <w:tc>
                <w:tcPr>
                  <w:tcW w:w="1591" w:type="pct"/>
                  <w:vAlign w:val="center"/>
                </w:tcPr>
                <w:p>
                  <w:pPr>
                    <w:pStyle w:val="47"/>
                  </w:pPr>
                  <w:r>
                    <w:rPr>
                      <w:rFonts w:hint="eastAsia"/>
                    </w:rPr>
                    <w:t>二氧化氮年均浓度</w:t>
                  </w:r>
                </w:p>
              </w:tc>
              <w:tc>
                <w:tcPr>
                  <w:tcW w:w="541" w:type="pct"/>
                  <w:vAlign w:val="center"/>
                </w:tcPr>
                <w:p>
                  <w:pPr>
                    <w:pStyle w:val="47"/>
                  </w:pPr>
                  <w:r>
                    <w:rPr>
                      <w:rFonts w:hint="eastAsia"/>
                    </w:rPr>
                    <w:t>34.2</w:t>
                  </w:r>
                </w:p>
              </w:tc>
              <w:tc>
                <w:tcPr>
                  <w:tcW w:w="597" w:type="pct"/>
                  <w:vAlign w:val="center"/>
                </w:tcPr>
                <w:p>
                  <w:pPr>
                    <w:pStyle w:val="47"/>
                  </w:pPr>
                  <w:r>
                    <w:rPr>
                      <w:rFonts w:hint="eastAsia"/>
                    </w:rPr>
                    <w:t>33.7</w:t>
                  </w:r>
                </w:p>
              </w:tc>
              <w:tc>
                <w:tcPr>
                  <w:tcW w:w="1171" w:type="pct"/>
                  <w:gridSpan w:val="2"/>
                  <w:vAlign w:val="center"/>
                </w:tcPr>
                <w:p>
                  <w:pPr>
                    <w:pStyle w:val="47"/>
                  </w:pPr>
                  <w:r>
                    <w:rPr>
                      <w:rFonts w:hint="eastAsia"/>
                    </w:rPr>
                    <w:t>≤30</w:t>
                  </w:r>
                </w:p>
              </w:tc>
              <w:tc>
                <w:tcPr>
                  <w:tcW w:w="680" w:type="pct"/>
                  <w:vAlign w:val="center"/>
                </w:tcPr>
                <w:p>
                  <w:pPr>
                    <w:pStyle w:val="47"/>
                  </w:pPr>
                  <w:r>
                    <w:rPr>
                      <w:rFonts w:hint="eastAsia"/>
                    </w:rPr>
                    <w:t>≤40</w:t>
                  </w:r>
                </w:p>
              </w:tc>
              <w:tc>
                <w:tcPr>
                  <w:tcW w:w="243" w:type="pct"/>
                  <w:vAlign w:val="center"/>
                </w:tcPr>
                <w:p>
                  <w:pPr>
                    <w:pStyle w:val="47"/>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0" w:hRule="atLeast"/>
                <w:jc w:val="center"/>
              </w:trPr>
              <w:tc>
                <w:tcPr>
                  <w:tcW w:w="177" w:type="pct"/>
                  <w:vAlign w:val="center"/>
                </w:tcPr>
                <w:p>
                  <w:pPr>
                    <w:pStyle w:val="47"/>
                  </w:pPr>
                  <w:r>
                    <w:rPr>
                      <w:rFonts w:hint="eastAsia"/>
                    </w:rPr>
                    <w:t>3</w:t>
                  </w:r>
                </w:p>
              </w:tc>
              <w:tc>
                <w:tcPr>
                  <w:tcW w:w="1591" w:type="pct"/>
                  <w:vAlign w:val="center"/>
                </w:tcPr>
                <w:p>
                  <w:pPr>
                    <w:pStyle w:val="47"/>
                  </w:pPr>
                  <w:r>
                    <w:rPr>
                      <w:rFonts w:hint="eastAsia"/>
                    </w:rPr>
                    <w:t>可吸入颗粒物年均浓度</w:t>
                  </w:r>
                </w:p>
              </w:tc>
              <w:tc>
                <w:tcPr>
                  <w:tcW w:w="541" w:type="pct"/>
                  <w:vAlign w:val="center"/>
                </w:tcPr>
                <w:p>
                  <w:pPr>
                    <w:pStyle w:val="47"/>
                  </w:pPr>
                  <w:r>
                    <w:rPr>
                      <w:rFonts w:hint="eastAsia"/>
                    </w:rPr>
                    <w:t>80.4</w:t>
                  </w:r>
                </w:p>
              </w:tc>
              <w:tc>
                <w:tcPr>
                  <w:tcW w:w="597" w:type="pct"/>
                  <w:vAlign w:val="center"/>
                </w:tcPr>
                <w:p>
                  <w:pPr>
                    <w:pStyle w:val="47"/>
                  </w:pPr>
                  <w:r>
                    <w:t>7</w:t>
                  </w:r>
                  <w:r>
                    <w:rPr>
                      <w:rFonts w:hint="eastAsia"/>
                    </w:rPr>
                    <w:t>7.8</w:t>
                  </w:r>
                </w:p>
              </w:tc>
              <w:tc>
                <w:tcPr>
                  <w:tcW w:w="552" w:type="pct"/>
                  <w:vAlign w:val="center"/>
                </w:tcPr>
                <w:p>
                  <w:pPr>
                    <w:pStyle w:val="47"/>
                  </w:pPr>
                  <w:r>
                    <w:rPr>
                      <w:rFonts w:hint="eastAsia"/>
                    </w:rPr>
                    <w:t>≤70</w:t>
                  </w:r>
                </w:p>
              </w:tc>
              <w:tc>
                <w:tcPr>
                  <w:tcW w:w="619" w:type="pct"/>
                  <w:vAlign w:val="center"/>
                </w:tcPr>
                <w:p>
                  <w:pPr>
                    <w:pStyle w:val="47"/>
                  </w:pPr>
                  <w:r>
                    <w:rPr>
                      <w:rFonts w:hint="eastAsia"/>
                    </w:rPr>
                    <w:t>≤60</w:t>
                  </w:r>
                </w:p>
              </w:tc>
              <w:tc>
                <w:tcPr>
                  <w:tcW w:w="680" w:type="pct"/>
                  <w:vAlign w:val="center"/>
                </w:tcPr>
                <w:p>
                  <w:pPr>
                    <w:pStyle w:val="47"/>
                  </w:pPr>
                  <w:r>
                    <w:rPr>
                      <w:rFonts w:hint="eastAsia"/>
                    </w:rPr>
                    <w:t>≤70</w:t>
                  </w:r>
                </w:p>
              </w:tc>
              <w:tc>
                <w:tcPr>
                  <w:tcW w:w="243" w:type="pct"/>
                  <w:vAlign w:val="center"/>
                </w:tcPr>
                <w:p>
                  <w:pPr>
                    <w:pStyle w:val="47"/>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9" w:hRule="atLeast"/>
                <w:jc w:val="center"/>
              </w:trPr>
              <w:tc>
                <w:tcPr>
                  <w:tcW w:w="177" w:type="pct"/>
                  <w:vAlign w:val="center"/>
                </w:tcPr>
                <w:p>
                  <w:pPr>
                    <w:pStyle w:val="47"/>
                  </w:pPr>
                  <w:r>
                    <w:rPr>
                      <w:rFonts w:hint="eastAsia"/>
                    </w:rPr>
                    <w:t>4</w:t>
                  </w:r>
                </w:p>
              </w:tc>
              <w:tc>
                <w:tcPr>
                  <w:tcW w:w="1591" w:type="pct"/>
                  <w:vAlign w:val="center"/>
                </w:tcPr>
                <w:p>
                  <w:pPr>
                    <w:pStyle w:val="47"/>
                  </w:pPr>
                  <w:r>
                    <w:rPr>
                      <w:rFonts w:hint="eastAsia"/>
                    </w:rPr>
                    <w:t>细颗粒物年均浓度</w:t>
                  </w:r>
                </w:p>
              </w:tc>
              <w:tc>
                <w:tcPr>
                  <w:tcW w:w="541" w:type="pct"/>
                  <w:vAlign w:val="center"/>
                </w:tcPr>
                <w:p>
                  <w:pPr>
                    <w:pStyle w:val="47"/>
                  </w:pPr>
                  <w:r>
                    <w:rPr>
                      <w:rFonts w:hint="eastAsia"/>
                    </w:rPr>
                    <w:t>56.2</w:t>
                  </w:r>
                </w:p>
              </w:tc>
              <w:tc>
                <w:tcPr>
                  <w:tcW w:w="597" w:type="pct"/>
                  <w:vAlign w:val="center"/>
                </w:tcPr>
                <w:p>
                  <w:pPr>
                    <w:pStyle w:val="47"/>
                  </w:pPr>
                  <w:r>
                    <w:rPr>
                      <w:rFonts w:hint="eastAsia"/>
                    </w:rPr>
                    <w:t>55.4</w:t>
                  </w:r>
                </w:p>
              </w:tc>
              <w:tc>
                <w:tcPr>
                  <w:tcW w:w="552" w:type="pct"/>
                  <w:vAlign w:val="center"/>
                </w:tcPr>
                <w:p>
                  <w:pPr>
                    <w:pStyle w:val="47"/>
                  </w:pPr>
                  <w:r>
                    <w:rPr>
                      <w:rFonts w:hint="eastAsia"/>
                    </w:rPr>
                    <w:t>≤45.5</w:t>
                  </w:r>
                </w:p>
              </w:tc>
              <w:tc>
                <w:tcPr>
                  <w:tcW w:w="619" w:type="pct"/>
                  <w:vAlign w:val="center"/>
                </w:tcPr>
                <w:p>
                  <w:pPr>
                    <w:pStyle w:val="47"/>
                  </w:pPr>
                  <w:r>
                    <w:rPr>
                      <w:rFonts w:hint="eastAsia"/>
                    </w:rPr>
                    <w:t>≤35</w:t>
                  </w:r>
                </w:p>
              </w:tc>
              <w:tc>
                <w:tcPr>
                  <w:tcW w:w="680" w:type="pct"/>
                  <w:vAlign w:val="center"/>
                </w:tcPr>
                <w:p>
                  <w:pPr>
                    <w:pStyle w:val="47"/>
                  </w:pPr>
                  <w:r>
                    <w:rPr>
                      <w:rFonts w:hint="eastAsia"/>
                    </w:rPr>
                    <w:t>≤35</w:t>
                  </w:r>
                </w:p>
              </w:tc>
              <w:tc>
                <w:tcPr>
                  <w:tcW w:w="243" w:type="pct"/>
                  <w:vAlign w:val="center"/>
                </w:tcPr>
                <w:p>
                  <w:pPr>
                    <w:pStyle w:val="47"/>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9" w:hRule="atLeast"/>
                <w:jc w:val="center"/>
              </w:trPr>
              <w:tc>
                <w:tcPr>
                  <w:tcW w:w="177" w:type="pct"/>
                  <w:vAlign w:val="center"/>
                </w:tcPr>
                <w:p>
                  <w:pPr>
                    <w:pStyle w:val="47"/>
                  </w:pPr>
                  <w:r>
                    <w:rPr>
                      <w:rFonts w:hint="eastAsia"/>
                    </w:rPr>
                    <w:t>5</w:t>
                  </w:r>
                </w:p>
              </w:tc>
              <w:tc>
                <w:tcPr>
                  <w:tcW w:w="1591" w:type="pct"/>
                  <w:vAlign w:val="center"/>
                </w:tcPr>
                <w:p>
                  <w:pPr>
                    <w:pStyle w:val="47"/>
                  </w:pPr>
                  <w:r>
                    <w:rPr>
                      <w:rFonts w:hint="eastAsia"/>
                    </w:rPr>
                    <w:t>CO日平均值的第95百分位数（mg/m</w:t>
                  </w:r>
                  <w:r>
                    <w:rPr>
                      <w:rFonts w:hint="eastAsia"/>
                      <w:vertAlign w:val="superscript"/>
                    </w:rPr>
                    <w:t>3</w:t>
                  </w:r>
                  <w:r>
                    <w:rPr>
                      <w:rFonts w:hint="eastAsia"/>
                    </w:rPr>
                    <w:t>）</w:t>
                  </w:r>
                </w:p>
              </w:tc>
              <w:tc>
                <w:tcPr>
                  <w:tcW w:w="541" w:type="pct"/>
                  <w:vAlign w:val="center"/>
                </w:tcPr>
                <w:p>
                  <w:pPr>
                    <w:pStyle w:val="47"/>
                  </w:pPr>
                  <w:r>
                    <w:rPr>
                      <w:rFonts w:hint="eastAsia"/>
                    </w:rPr>
                    <w:t>1.6</w:t>
                  </w:r>
                </w:p>
              </w:tc>
              <w:tc>
                <w:tcPr>
                  <w:tcW w:w="597" w:type="pct"/>
                  <w:vAlign w:val="center"/>
                </w:tcPr>
                <w:p>
                  <w:pPr>
                    <w:pStyle w:val="47"/>
                  </w:pPr>
                  <w:r>
                    <w:rPr>
                      <w:rFonts w:hint="eastAsia"/>
                    </w:rPr>
                    <w:t>1.5</w:t>
                  </w:r>
                </w:p>
              </w:tc>
              <w:tc>
                <w:tcPr>
                  <w:tcW w:w="1171" w:type="pct"/>
                  <w:gridSpan w:val="2"/>
                  <w:vAlign w:val="center"/>
                </w:tcPr>
                <w:p>
                  <w:pPr>
                    <w:pStyle w:val="47"/>
                  </w:pPr>
                  <w:r>
                    <w:rPr>
                      <w:rFonts w:hint="eastAsia"/>
                    </w:rPr>
                    <w:t>≤1.5</w:t>
                  </w:r>
                </w:p>
              </w:tc>
              <w:tc>
                <w:tcPr>
                  <w:tcW w:w="680" w:type="pct"/>
                  <w:vAlign w:val="center"/>
                </w:tcPr>
                <w:p>
                  <w:pPr>
                    <w:pStyle w:val="47"/>
                  </w:pPr>
                  <w:r>
                    <w:rPr>
                      <w:rFonts w:hint="eastAsia"/>
                    </w:rPr>
                    <w:t>≤4</w:t>
                  </w:r>
                </w:p>
              </w:tc>
              <w:tc>
                <w:tcPr>
                  <w:tcW w:w="243" w:type="pct"/>
                  <w:vAlign w:val="center"/>
                </w:tcPr>
                <w:p>
                  <w:pPr>
                    <w:pStyle w:val="47"/>
                  </w:pPr>
                  <w:r>
                    <w:rPr>
                      <w:rFonts w:hint="eastAsia"/>
                    </w:rPr>
                    <w:t>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9" w:hRule="atLeast"/>
                <w:jc w:val="center"/>
              </w:trPr>
              <w:tc>
                <w:tcPr>
                  <w:tcW w:w="177" w:type="pct"/>
                  <w:vAlign w:val="center"/>
                </w:tcPr>
                <w:p>
                  <w:pPr>
                    <w:pStyle w:val="47"/>
                  </w:pPr>
                  <w:r>
                    <w:rPr>
                      <w:rFonts w:hint="eastAsia"/>
                    </w:rPr>
                    <w:t>6</w:t>
                  </w:r>
                </w:p>
              </w:tc>
              <w:tc>
                <w:tcPr>
                  <w:tcW w:w="1591" w:type="pct"/>
                  <w:vAlign w:val="center"/>
                </w:tcPr>
                <w:p>
                  <w:pPr>
                    <w:pStyle w:val="47"/>
                  </w:pPr>
                  <w:r>
                    <w:rPr>
                      <w:rFonts w:hint="eastAsia"/>
                    </w:rPr>
                    <w:t>臭氧日最大8小时平均值的第90百分位数</w:t>
                  </w:r>
                </w:p>
              </w:tc>
              <w:tc>
                <w:tcPr>
                  <w:tcW w:w="541" w:type="pct"/>
                  <w:vAlign w:val="center"/>
                </w:tcPr>
                <w:p>
                  <w:pPr>
                    <w:pStyle w:val="47"/>
                  </w:pPr>
                  <w:r>
                    <w:rPr>
                      <w:rFonts w:hint="eastAsia"/>
                    </w:rPr>
                    <w:t>133</w:t>
                  </w:r>
                </w:p>
              </w:tc>
              <w:tc>
                <w:tcPr>
                  <w:tcW w:w="597" w:type="pct"/>
                  <w:vAlign w:val="center"/>
                </w:tcPr>
                <w:p>
                  <w:pPr>
                    <w:pStyle w:val="47"/>
                  </w:pPr>
                  <w:r>
                    <w:rPr>
                      <w:rFonts w:hint="eastAsia"/>
                    </w:rPr>
                    <w:t>157</w:t>
                  </w:r>
                </w:p>
              </w:tc>
              <w:tc>
                <w:tcPr>
                  <w:tcW w:w="1171" w:type="pct"/>
                  <w:gridSpan w:val="2"/>
                  <w:vAlign w:val="center"/>
                </w:tcPr>
                <w:p>
                  <w:pPr>
                    <w:pStyle w:val="47"/>
                  </w:pPr>
                  <w:r>
                    <w:rPr>
                      <w:rFonts w:hint="eastAsia"/>
                    </w:rPr>
                    <w:t>≤160</w:t>
                  </w:r>
                </w:p>
              </w:tc>
              <w:tc>
                <w:tcPr>
                  <w:tcW w:w="680" w:type="pct"/>
                  <w:vAlign w:val="center"/>
                </w:tcPr>
                <w:p>
                  <w:pPr>
                    <w:pStyle w:val="47"/>
                  </w:pPr>
                  <w:r>
                    <w:rPr>
                      <w:rFonts w:hint="eastAsia"/>
                    </w:rPr>
                    <w:t>≤160</w:t>
                  </w:r>
                </w:p>
              </w:tc>
              <w:tc>
                <w:tcPr>
                  <w:tcW w:w="243" w:type="pct"/>
                  <w:vAlign w:val="center"/>
                </w:tcPr>
                <w:p>
                  <w:pPr>
                    <w:pStyle w:val="47"/>
                  </w:pPr>
                  <w:r>
                    <w:rPr>
                      <w:rFonts w:hint="eastAsia"/>
                    </w:rPr>
                    <w:t>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9" w:hRule="atLeast"/>
                <w:jc w:val="center"/>
              </w:trPr>
              <w:tc>
                <w:tcPr>
                  <w:tcW w:w="177" w:type="pct"/>
                  <w:vAlign w:val="center"/>
                </w:tcPr>
                <w:p>
                  <w:pPr>
                    <w:pStyle w:val="47"/>
                  </w:pPr>
                  <w:r>
                    <w:rPr>
                      <w:rFonts w:hint="eastAsia"/>
                    </w:rPr>
                    <w:t>7</w:t>
                  </w:r>
                </w:p>
              </w:tc>
              <w:tc>
                <w:tcPr>
                  <w:tcW w:w="1591" w:type="pct"/>
                  <w:vAlign w:val="center"/>
                </w:tcPr>
                <w:p>
                  <w:pPr>
                    <w:pStyle w:val="47"/>
                  </w:pPr>
                  <w:r>
                    <w:rPr>
                      <w:rFonts w:hint="eastAsia"/>
                    </w:rPr>
                    <w:t>空气质量优良天数比例(%)</w:t>
                  </w:r>
                </w:p>
              </w:tc>
              <w:tc>
                <w:tcPr>
                  <w:tcW w:w="541" w:type="pct"/>
                  <w:vAlign w:val="center"/>
                </w:tcPr>
                <w:p>
                  <w:pPr>
                    <w:pStyle w:val="47"/>
                  </w:pPr>
                  <w:r>
                    <w:rPr>
                      <w:rFonts w:hint="eastAsia"/>
                    </w:rPr>
                    <w:t>75.1</w:t>
                  </w:r>
                </w:p>
              </w:tc>
              <w:tc>
                <w:tcPr>
                  <w:tcW w:w="597" w:type="pct"/>
                  <w:vAlign w:val="center"/>
                </w:tcPr>
                <w:p>
                  <w:pPr>
                    <w:pStyle w:val="47"/>
                  </w:pPr>
                  <w:r>
                    <w:rPr>
                      <w:rFonts w:hint="eastAsia"/>
                    </w:rPr>
                    <w:t>70.7</w:t>
                  </w:r>
                </w:p>
              </w:tc>
              <w:tc>
                <w:tcPr>
                  <w:tcW w:w="552" w:type="pct"/>
                  <w:vAlign w:val="center"/>
                </w:tcPr>
                <w:p>
                  <w:pPr>
                    <w:pStyle w:val="47"/>
                    <w:rPr>
                      <w:color w:val="FF0000"/>
                    </w:rPr>
                  </w:pPr>
                  <w:r>
                    <w:rPr>
                      <w:rFonts w:hint="eastAsia"/>
                      <w:bCs/>
                    </w:rPr>
                    <w:t>≥79.1</w:t>
                  </w:r>
                </w:p>
              </w:tc>
              <w:tc>
                <w:tcPr>
                  <w:tcW w:w="619" w:type="pct"/>
                  <w:vAlign w:val="center"/>
                </w:tcPr>
                <w:p>
                  <w:pPr>
                    <w:pStyle w:val="47"/>
                  </w:pPr>
                  <w:r>
                    <w:rPr>
                      <w:rFonts w:hint="eastAsia"/>
                      <w:bCs/>
                    </w:rPr>
                    <w:t>—</w:t>
                  </w:r>
                </w:p>
              </w:tc>
              <w:tc>
                <w:tcPr>
                  <w:tcW w:w="680" w:type="pct"/>
                  <w:vAlign w:val="center"/>
                </w:tcPr>
                <w:p>
                  <w:pPr>
                    <w:pStyle w:val="47"/>
                  </w:pPr>
                  <w:r>
                    <w:rPr>
                      <w:rFonts w:hint="eastAsia"/>
                    </w:rPr>
                    <w:t>—</w:t>
                  </w:r>
                </w:p>
              </w:tc>
              <w:tc>
                <w:tcPr>
                  <w:tcW w:w="243" w:type="pct"/>
                  <w:vAlign w:val="center"/>
                </w:tcPr>
                <w:p>
                  <w:pPr>
                    <w:pStyle w:val="47"/>
                  </w:pPr>
                  <w:r>
                    <w:rPr>
                      <w:rFonts w:hint="eastAsia"/>
                    </w:rPr>
                    <w:t>预期</w:t>
                  </w:r>
                </w:p>
              </w:tc>
            </w:tr>
          </w:tbl>
          <w:p>
            <w:pPr>
              <w:pStyle w:val="4"/>
              <w:ind w:firstLine="482"/>
            </w:pPr>
            <w:r>
              <w:t>2、地表水环境质量</w:t>
            </w:r>
          </w:p>
          <w:p>
            <w:pPr>
              <w:pStyle w:val="37"/>
              <w:keepNext/>
              <w:tabs>
                <w:tab w:val="right" w:pos="9072"/>
              </w:tabs>
              <w:ind w:firstLine="480"/>
            </w:pPr>
            <w:r>
              <w:t>本项目位于</w:t>
            </w:r>
            <w:r>
              <w:rPr>
                <w:rFonts w:hint="eastAsia"/>
              </w:rPr>
              <w:t>峨边彝族自治县五渡镇工农村2组</w:t>
            </w:r>
            <w:r>
              <w:t>，周边地表水体主要为</w:t>
            </w:r>
            <w:r>
              <w:rPr>
                <w:rFonts w:hint="eastAsia"/>
              </w:rPr>
              <w:t>大渡河</w:t>
            </w:r>
            <w:r>
              <w:t>。根据乐山市2019年</w:t>
            </w:r>
            <w:r>
              <w:rPr>
                <w:rFonts w:hint="eastAsia"/>
              </w:rPr>
              <w:t>10月地表水水质例行</w:t>
            </w:r>
            <w:r>
              <w:t>监测资料可知</w:t>
            </w:r>
            <w:r>
              <w:rPr>
                <w:rFonts w:hint="eastAsia"/>
              </w:rPr>
              <w:t>，其评价成果如下：</w:t>
            </w:r>
          </w:p>
          <w:p>
            <w:pPr>
              <w:pStyle w:val="36"/>
              <w:keepNext/>
            </w:pPr>
            <w:r>
              <w:t>表</w:t>
            </w:r>
            <w:r>
              <w:rPr>
                <w:rFonts w:hint="eastAsia"/>
              </w:rPr>
              <w:t>3</w:t>
            </w:r>
            <w:r>
              <w:t>-3 2019年</w:t>
            </w:r>
            <w:r>
              <w:rPr>
                <w:rFonts w:hint="eastAsia"/>
              </w:rPr>
              <w:t>7月地表水水质评价成果表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747"/>
              <w:gridCol w:w="1509"/>
              <w:gridCol w:w="1510"/>
              <w:gridCol w:w="1510"/>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47"/>
                    <w:keepNext/>
                  </w:pPr>
                  <w:r>
                    <w:rPr>
                      <w:rFonts w:hint="eastAsia"/>
                    </w:rPr>
                    <w:t>河流名称</w:t>
                  </w:r>
                </w:p>
              </w:tc>
              <w:tc>
                <w:tcPr>
                  <w:tcW w:w="1747" w:type="dxa"/>
                  <w:shd w:val="clear" w:color="auto" w:fill="auto"/>
                  <w:vAlign w:val="center"/>
                </w:tcPr>
                <w:p>
                  <w:pPr>
                    <w:pStyle w:val="47"/>
                    <w:keepNext/>
                  </w:pPr>
                  <w:r>
                    <w:rPr>
                      <w:rFonts w:hint="eastAsia"/>
                    </w:rPr>
                    <w:t>断面名称</w:t>
                  </w:r>
                </w:p>
              </w:tc>
              <w:tc>
                <w:tcPr>
                  <w:tcW w:w="1509" w:type="dxa"/>
                  <w:shd w:val="clear" w:color="auto" w:fill="auto"/>
                  <w:vAlign w:val="center"/>
                </w:tcPr>
                <w:p>
                  <w:pPr>
                    <w:pStyle w:val="47"/>
                    <w:keepNext/>
                  </w:pPr>
                  <w:r>
                    <w:rPr>
                      <w:rFonts w:hint="eastAsia"/>
                    </w:rPr>
                    <w:t>规定类别</w:t>
                  </w:r>
                </w:p>
              </w:tc>
              <w:tc>
                <w:tcPr>
                  <w:tcW w:w="1510" w:type="dxa"/>
                  <w:shd w:val="clear" w:color="auto" w:fill="auto"/>
                  <w:vAlign w:val="center"/>
                </w:tcPr>
                <w:p>
                  <w:pPr>
                    <w:pStyle w:val="47"/>
                    <w:keepNext/>
                  </w:pPr>
                  <w:r>
                    <w:rPr>
                      <w:rFonts w:hint="eastAsia"/>
                    </w:rPr>
                    <w:t>实测类别</w:t>
                  </w:r>
                </w:p>
              </w:tc>
              <w:tc>
                <w:tcPr>
                  <w:tcW w:w="1510" w:type="dxa"/>
                  <w:shd w:val="clear" w:color="auto" w:fill="auto"/>
                  <w:vAlign w:val="center"/>
                </w:tcPr>
                <w:p>
                  <w:pPr>
                    <w:pStyle w:val="47"/>
                    <w:keepNext/>
                  </w:pPr>
                  <w:r>
                    <w:rPr>
                      <w:rFonts w:hint="eastAsia"/>
                    </w:rPr>
                    <w:t>是否达标</w:t>
                  </w:r>
                </w:p>
              </w:tc>
              <w:tc>
                <w:tcPr>
                  <w:tcW w:w="1510" w:type="dxa"/>
                  <w:shd w:val="clear" w:color="auto" w:fill="auto"/>
                  <w:vAlign w:val="center"/>
                </w:tcPr>
                <w:p>
                  <w:pPr>
                    <w:pStyle w:val="47"/>
                    <w:keepNext/>
                  </w:pPr>
                  <w:r>
                    <w:rPr>
                      <w:rFonts w:hint="eastAsia"/>
                    </w:rPr>
                    <w:t>主要污染指标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shd w:val="clear" w:color="auto" w:fill="auto"/>
                  <w:vAlign w:val="center"/>
                </w:tcPr>
                <w:p>
                  <w:pPr>
                    <w:pStyle w:val="47"/>
                    <w:keepNext/>
                  </w:pPr>
                  <w:r>
                    <w:rPr>
                      <w:rFonts w:hint="eastAsia"/>
                    </w:rPr>
                    <w:t>大渡河</w:t>
                  </w:r>
                </w:p>
              </w:tc>
              <w:tc>
                <w:tcPr>
                  <w:tcW w:w="1747" w:type="dxa"/>
                  <w:shd w:val="clear" w:color="auto" w:fill="auto"/>
                  <w:vAlign w:val="center"/>
                </w:tcPr>
                <w:p>
                  <w:pPr>
                    <w:pStyle w:val="47"/>
                    <w:keepNext/>
                  </w:pPr>
                  <w:r>
                    <w:rPr>
                      <w:rFonts w:hint="eastAsia"/>
                    </w:rPr>
                    <w:t>李码头</w:t>
                  </w:r>
                </w:p>
              </w:tc>
              <w:tc>
                <w:tcPr>
                  <w:tcW w:w="1509" w:type="dxa"/>
                  <w:shd w:val="clear" w:color="auto" w:fill="auto"/>
                  <w:vAlign w:val="center"/>
                </w:tcPr>
                <w:p>
                  <w:pPr>
                    <w:pStyle w:val="47"/>
                    <w:keepNext/>
                  </w:pPr>
                  <w:r>
                    <w:rPr>
                      <w:rFonts w:hint="eastAsia"/>
                    </w:rPr>
                    <w:t>Ⅲ类</w:t>
                  </w:r>
                </w:p>
              </w:tc>
              <w:tc>
                <w:tcPr>
                  <w:tcW w:w="1510" w:type="dxa"/>
                  <w:shd w:val="clear" w:color="auto" w:fill="auto"/>
                  <w:vAlign w:val="center"/>
                </w:tcPr>
                <w:p>
                  <w:pPr>
                    <w:pStyle w:val="47"/>
                    <w:keepNext/>
                  </w:pPr>
                  <w:r>
                    <w:rPr>
                      <w:rFonts w:hint="eastAsia"/>
                    </w:rPr>
                    <w:t>II类</w:t>
                  </w:r>
                </w:p>
              </w:tc>
              <w:tc>
                <w:tcPr>
                  <w:tcW w:w="1510" w:type="dxa"/>
                  <w:shd w:val="clear" w:color="auto" w:fill="auto"/>
                  <w:vAlign w:val="center"/>
                </w:tcPr>
                <w:p>
                  <w:pPr>
                    <w:pStyle w:val="47"/>
                    <w:keepNext/>
                  </w:pPr>
                  <w:r>
                    <w:rPr>
                      <w:rFonts w:hint="eastAsia"/>
                    </w:rPr>
                    <w:t>是</w:t>
                  </w:r>
                </w:p>
              </w:tc>
              <w:tc>
                <w:tcPr>
                  <w:tcW w:w="1510" w:type="dxa"/>
                  <w:shd w:val="clear" w:color="auto" w:fill="auto"/>
                  <w:vAlign w:val="center"/>
                </w:tcPr>
                <w:p>
                  <w:pPr>
                    <w:pStyle w:val="47"/>
                    <w:keepNext/>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7" w:type="dxa"/>
                  <w:gridSpan w:val="6"/>
                  <w:shd w:val="clear" w:color="auto" w:fill="auto"/>
                </w:tcPr>
                <w:p>
                  <w:pPr>
                    <w:pStyle w:val="50"/>
                    <w:rPr>
                      <w:rFonts w:cs="SimSun"/>
                    </w:rPr>
                  </w:pPr>
                  <w:r>
                    <w:rPr>
                      <w:rFonts w:cs="SimSun"/>
                    </w:rPr>
                    <w:t>注：1.地表水环境评价执行《地表水环境质量标准》（GB3838-2002）和《地表水环境质量评价办法（试行）》。</w:t>
                  </w:r>
                </w:p>
                <w:p>
                  <w:pPr>
                    <w:pStyle w:val="50"/>
                    <w:rPr>
                      <w:rFonts w:cs="SimSun"/>
                    </w:rPr>
                  </w:pPr>
                  <w:r>
                    <w:rPr>
                      <w:rFonts w:cs="SimSun"/>
                    </w:rPr>
                    <w:t>2.评价指标为：</w:t>
                  </w:r>
                  <w:r>
                    <w:rPr>
                      <w:rFonts w:hint="eastAsia" w:cs="SimSun"/>
                    </w:rPr>
                    <w:t>水温、</w:t>
                  </w:r>
                  <w:r>
                    <w:rPr>
                      <w:rFonts w:cs="SimSun"/>
                    </w:rPr>
                    <w:t>pH、溶解氧、高锰酸盐指数、</w:t>
                  </w:r>
                  <w:r>
                    <w:rPr>
                      <w:rFonts w:hint="eastAsia" w:cs="SimSun"/>
                    </w:rPr>
                    <w:t>化学需氧量、</w:t>
                  </w:r>
                  <w:r>
                    <w:rPr>
                      <w:rFonts w:cs="SimSun"/>
                    </w:rPr>
                    <w:t>五日生化需氧量、氨氮</w:t>
                  </w:r>
                  <w:r>
                    <w:rPr>
                      <w:rFonts w:hint="eastAsia" w:cs="SimSun"/>
                    </w:rPr>
                    <w:t>、总氮</w:t>
                  </w:r>
                  <w:r>
                    <w:rPr>
                      <w:rFonts w:cs="SimSun"/>
                    </w:rPr>
                    <w:t>、石油类、</w:t>
                  </w:r>
                  <w:r>
                    <w:rPr>
                      <w:rFonts w:hint="eastAsia" w:cs="SimSun"/>
                    </w:rPr>
                    <w:t>挥发酚</w:t>
                  </w:r>
                  <w:r>
                    <w:rPr>
                      <w:rFonts w:cs="SimSun"/>
                    </w:rPr>
                    <w:t>、汞、铅、镉、阴离子表面活性剂、铬（六价）、氟化物、总磷、氰化物、硫化物、砷、铜、锌、硒，共计21项。</w:t>
                  </w:r>
                </w:p>
                <w:p>
                  <w:pPr>
                    <w:pStyle w:val="47"/>
                    <w:keepNext/>
                  </w:pPr>
                  <w:r>
                    <w:rPr>
                      <w:szCs w:val="21"/>
                    </w:rPr>
                    <w:t>3.超过</w:t>
                  </w:r>
                  <w:r>
                    <w:rPr>
                      <w:rStyle w:val="49"/>
                      <w:rFonts w:hint="eastAsia"/>
                    </w:rPr>
                    <w:t>Ⅲ</w:t>
                  </w:r>
                  <w:r>
                    <w:rPr>
                      <w:szCs w:val="21"/>
                    </w:rPr>
                    <w:t>类水质标准的指标为断面污染指标，取超标倍数最大的前三项为主要污染指标</w:t>
                  </w:r>
                </w:p>
                <w:p>
                  <w:pPr>
                    <w:pStyle w:val="47"/>
                    <w:keepNext/>
                  </w:pPr>
                  <w:r>
                    <w:rPr>
                      <w:rFonts w:hint="eastAsia"/>
                    </w:rPr>
                    <w:t>数据来源：</w:t>
                  </w:r>
                  <w:r>
                    <w:t>http://shbj.leshan.gov.cn/SiteHuanbaoju/article.aspx?id=14341</w:t>
                  </w:r>
                </w:p>
              </w:tc>
            </w:tr>
          </w:tbl>
          <w:p>
            <w:pPr>
              <w:pStyle w:val="37"/>
              <w:keepNext/>
              <w:ind w:firstLine="480"/>
            </w:pPr>
            <w:r>
              <w:t>本项目运营期</w:t>
            </w:r>
            <w:r>
              <w:rPr>
                <w:rFonts w:hint="eastAsia"/>
              </w:rPr>
              <w:t>生活污水经化粪池处理后排入乡镇污水管网</w:t>
            </w:r>
            <w:r>
              <w:t>。</w:t>
            </w:r>
            <w:r>
              <w:rPr>
                <w:rFonts w:hint="eastAsia"/>
              </w:rPr>
              <w:t>生产废水经废水循环沉淀处理系统处理后循环使用，不外排。</w:t>
            </w:r>
          </w:p>
          <w:p>
            <w:pPr>
              <w:pStyle w:val="4"/>
              <w:ind w:firstLine="482"/>
            </w:pPr>
            <w:r>
              <w:rPr>
                <w:rFonts w:hint="eastAsia"/>
              </w:rPr>
              <w:t>三</w:t>
            </w:r>
            <w:r>
              <w:t>、声环境质量</w:t>
            </w:r>
          </w:p>
          <w:p>
            <w:pPr>
              <w:pStyle w:val="52"/>
              <w:keepNext/>
              <w:ind w:firstLine="480"/>
            </w:pPr>
            <w:r>
              <w:rPr>
                <w:rFonts w:hint="eastAsia"/>
              </w:rPr>
              <w:t>监测项目：各测声点昼间及夜间的等效连续A声级。</w:t>
            </w:r>
          </w:p>
          <w:p>
            <w:pPr>
              <w:pStyle w:val="52"/>
              <w:keepNext/>
              <w:ind w:firstLine="480"/>
            </w:pPr>
            <w:r>
              <w:rPr>
                <w:rFonts w:hint="eastAsia"/>
              </w:rPr>
              <w:t>监测点位：</w:t>
            </w:r>
            <w:r>
              <w:t>在项目厂界四周</w:t>
            </w:r>
            <w:r>
              <w:rPr>
                <w:rFonts w:hint="eastAsia"/>
              </w:rPr>
              <w:t>分别设置1个监测点位，于西侧敏感点处设置1个监测点位，共计5个监测点位。</w:t>
            </w:r>
          </w:p>
          <w:p>
            <w:pPr>
              <w:pStyle w:val="52"/>
              <w:keepNext/>
              <w:ind w:firstLine="480"/>
            </w:pPr>
            <w:r>
              <w:rPr>
                <w:rFonts w:hint="eastAsia"/>
              </w:rPr>
              <w:t>监测频次：连续监测2天，昼间、夜间各测一次，昼间：6：00~22：00，夜间：22:00~6:00。</w:t>
            </w:r>
          </w:p>
          <w:p>
            <w:pPr>
              <w:pStyle w:val="52"/>
              <w:keepNext/>
              <w:ind w:firstLine="480"/>
            </w:pPr>
          </w:p>
          <w:p>
            <w:pPr>
              <w:pStyle w:val="52"/>
              <w:keepNext/>
              <w:ind w:firstLine="480"/>
            </w:pPr>
          </w:p>
          <w:p>
            <w:pPr>
              <w:pStyle w:val="52"/>
              <w:keepNext/>
              <w:ind w:firstLine="480"/>
            </w:pPr>
          </w:p>
          <w:p>
            <w:pPr>
              <w:pStyle w:val="36"/>
              <w:keepNext/>
            </w:pPr>
            <w:r>
              <w:t>表</w:t>
            </w:r>
            <w:r>
              <w:rPr>
                <w:rFonts w:hint="eastAsia"/>
              </w:rPr>
              <w:t>3-4环境噪声</w:t>
            </w:r>
            <w:r>
              <w:t>监测结果表</w:t>
            </w:r>
            <w:r>
              <w:rPr>
                <w:rFonts w:hint="eastAsia"/>
              </w:rPr>
              <w:t>单位：dB（A）</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114"/>
              <w:gridCol w:w="1135"/>
              <w:gridCol w:w="1136"/>
              <w:gridCol w:w="1164"/>
              <w:gridCol w:w="1947"/>
              <w:gridCol w:w="1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1" w:type="pct"/>
                  <w:vMerge w:val="restart"/>
                  <w:tcBorders>
                    <w:tl2br w:val="nil"/>
                  </w:tcBorders>
                  <w:shd w:val="clear" w:color="auto" w:fill="auto"/>
                  <w:vAlign w:val="center"/>
                </w:tcPr>
                <w:p>
                  <w:pPr>
                    <w:keepNext/>
                    <w:widowControl w:val="0"/>
                    <w:jc w:val="center"/>
                    <w:rPr>
                      <w:sz w:val="21"/>
                      <w:szCs w:val="21"/>
                    </w:rPr>
                  </w:pPr>
                  <w:r>
                    <w:pict>
                      <v:rect id="Rectangle 8" o:spid="_x0000_s1026" o:spt="1" style="position:absolute;left:0pt;margin-left:29.4pt;margin-top:0.1pt;height:20.7pt;width:34.8pt;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">
                        <v:path/>
                        <v:fill on="f" focussize="0,0"/>
                        <v:stroke on="f" weight="1pt" dashstyle="dash" endarrowwidth="narrow" endarrowlength="long"/>
                        <v:imagedata o:title=""/>
                        <o:lock v:ext="edit"/>
                        <v:textbox>
                          <w:txbxContent>
                            <w:p>
                              <w:r>
                                <w:rPr>
                                  <w:rFonts w:hint="eastAsia"/>
                                </w:rPr>
                                <w:t>日期</w:t>
                              </w:r>
                            </w:p>
                          </w:txbxContent>
                        </v:textbox>
                      </v:rect>
                    </w:pict>
                  </w:r>
                  <w:r>
                    <w:rPr>
                      <w:sz w:val="21"/>
                      <w:szCs w:val="21"/>
                    </w:rPr>
                    <w:pict>
                      <v:rect id="Rectangle 7" o:spid="_x0000_s1027" o:spt="1" style="position:absolute;left:0pt;margin-left:-8.2pt;margin-top:3.95pt;height:20.7pt;width:46.35pt;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">
                        <v:path/>
                        <v:fill on="f" focussize="0,0"/>
                        <v:stroke on="f" weight="1pt" dashstyle="dash" endarrowwidth="narrow" endarrowlength="long"/>
                        <v:imagedata o:title=""/>
                        <o:lock v:ext="edit"/>
                        <v:textbox>
                          <w:txbxContent>
                            <w:p>
                              <w:r>
                                <w:rPr>
                                  <w:rFonts w:hint="eastAsia"/>
                                </w:rPr>
                                <w:t>噪声值</w:t>
                              </w:r>
                            </w:p>
                          </w:txbxContent>
                        </v:textbox>
                      </v:rect>
                    </w:pict>
                  </w:r>
                  <w:r>
                    <w:rPr>
                      <w:sz w:val="21"/>
                      <w:szCs w:val="21"/>
                    </w:rPr>
                    <w:pict>
                      <v:shape id="Text Box 6" o:spid="_x0000_s1028" o:spt="202" type="#_x0000_t202" style="position:absolute;left:0pt;margin-left:-3.55pt;margin-top:30.25pt;height:23.15pt;width:35.7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">
                        <v:path/>
                        <v:fill on="f" focussize="0,0"/>
                        <v:stroke on="f" weight="1pt" dashstyle="dash" endarrowwidth="narrow" endarrowlength="long"/>
                        <v:imagedata o:title=""/>
                        <o:lock v:ext="edit"/>
                        <v:textbox>
                          <w:txbxContent>
                            <w:p>
                              <w:pPr>
                                <w:rPr>
                                  <w:sz w:val="21"/>
                                  <w:szCs w:val="21"/>
                                </w:rPr>
                              </w:pPr>
                              <w:r>
                                <w:rPr>
                                  <w:rFonts w:hint="eastAsia"/>
                                  <w:sz w:val="21"/>
                                  <w:szCs w:val="21"/>
                                </w:rPr>
                                <w:t>点位</w:t>
                              </w:r>
                            </w:p>
                          </w:txbxContent>
                        </v:textbox>
                      </v:shape>
                    </w:pict>
                  </w:r>
                  <w:r>
                    <w:rPr>
                      <w:sz w:val="21"/>
                      <w:szCs w:val="21"/>
                    </w:rPr>
                    <w:pict>
                      <v:shape id="AutoShape 5" o:spid="_x0000_s1040" o:spt="32" type="#_x0000_t32" style="position:absolute;left:0pt;margin-left:20.65pt;margin-top:-0.05pt;height:48.2pt;width:38.2pt;z-index:25165824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">
                        <v:path arrowok="t"/>
                        <v:fill on="f" focussize="0,0"/>
                        <v:stroke weight="0.25pt" endarrowwidth="narrow" endarrowlength="long"/>
                        <v:imagedata o:title=""/>
                        <o:lock v:ext="edit"/>
                      </v:shape>
                    </w:pict>
                  </w:r>
                  <w:r>
                    <w:rPr>
                      <w:sz w:val="21"/>
                      <w:szCs w:val="21"/>
                    </w:rPr>
                    <w:pict>
                      <v:shape id="AutoShape 4" o:spid="_x0000_s1039" o:spt="32" type="#_x0000_t32" style="position:absolute;left:0pt;margin-left:-5.2pt;margin-top:17.35pt;height:30.05pt;width:63.25pt;z-index:25165721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">
                        <v:path arrowok="t"/>
                        <v:fill on="f" focussize="0,0"/>
                        <v:stroke weight="0.25pt" endarrowwidth="narrow" endarrowlength="long"/>
                        <v:imagedata o:title=""/>
                        <o:lock v:ext="edit"/>
                      </v:shape>
                    </w:pict>
                  </w:r>
                </w:p>
              </w:tc>
              <w:tc>
                <w:tcPr>
                  <w:tcW w:w="1241" w:type="pct"/>
                  <w:gridSpan w:val="2"/>
                  <w:shd w:val="clear" w:color="auto" w:fill="auto"/>
                  <w:vAlign w:val="center"/>
                </w:tcPr>
                <w:p>
                  <w:pPr>
                    <w:keepNext/>
                    <w:widowControl w:val="0"/>
                    <w:jc w:val="center"/>
                    <w:rPr>
                      <w:sz w:val="21"/>
                      <w:szCs w:val="21"/>
                    </w:rPr>
                  </w:pPr>
                  <w:r>
                    <w:rPr>
                      <w:sz w:val="21"/>
                      <w:szCs w:val="21"/>
                    </w:rPr>
                    <w:t>201</w:t>
                  </w:r>
                  <w:r>
                    <w:rPr>
                      <w:rFonts w:hint="eastAsia"/>
                      <w:sz w:val="21"/>
                      <w:szCs w:val="21"/>
                    </w:rPr>
                    <w:t>9</w:t>
                  </w:r>
                  <w:r>
                    <w:rPr>
                      <w:sz w:val="21"/>
                      <w:szCs w:val="21"/>
                    </w:rPr>
                    <w:t>年</w:t>
                  </w:r>
                  <w:r>
                    <w:rPr>
                      <w:rFonts w:hint="eastAsia"/>
                      <w:sz w:val="21"/>
                      <w:szCs w:val="21"/>
                    </w:rPr>
                    <w:t>10</w:t>
                  </w:r>
                  <w:r>
                    <w:rPr>
                      <w:sz w:val="21"/>
                      <w:szCs w:val="21"/>
                    </w:rPr>
                    <w:t>月</w:t>
                  </w:r>
                  <w:r>
                    <w:rPr>
                      <w:rFonts w:hint="eastAsia"/>
                      <w:sz w:val="21"/>
                      <w:szCs w:val="21"/>
                    </w:rPr>
                    <w:t>22</w:t>
                  </w:r>
                  <w:r>
                    <w:rPr>
                      <w:sz w:val="21"/>
                      <w:szCs w:val="21"/>
                    </w:rPr>
                    <w:t>日</w:t>
                  </w:r>
                </w:p>
              </w:tc>
              <w:tc>
                <w:tcPr>
                  <w:tcW w:w="1269" w:type="pct"/>
                  <w:gridSpan w:val="2"/>
                  <w:shd w:val="clear" w:color="auto" w:fill="auto"/>
                  <w:vAlign w:val="center"/>
                </w:tcPr>
                <w:p>
                  <w:pPr>
                    <w:keepNext/>
                    <w:widowControl w:val="0"/>
                    <w:jc w:val="center"/>
                    <w:rPr>
                      <w:sz w:val="21"/>
                      <w:szCs w:val="21"/>
                    </w:rPr>
                  </w:pPr>
                  <w:r>
                    <w:rPr>
                      <w:sz w:val="21"/>
                      <w:szCs w:val="21"/>
                    </w:rPr>
                    <w:t>201</w:t>
                  </w:r>
                  <w:r>
                    <w:rPr>
                      <w:rFonts w:hint="eastAsia"/>
                      <w:sz w:val="21"/>
                      <w:szCs w:val="21"/>
                    </w:rPr>
                    <w:t>9</w:t>
                  </w:r>
                  <w:r>
                    <w:rPr>
                      <w:sz w:val="21"/>
                      <w:szCs w:val="21"/>
                    </w:rPr>
                    <w:t>年</w:t>
                  </w:r>
                  <w:r>
                    <w:rPr>
                      <w:rFonts w:hint="eastAsia"/>
                      <w:sz w:val="21"/>
                      <w:szCs w:val="21"/>
                    </w:rPr>
                    <w:t>10月23</w:t>
                  </w:r>
                  <w:r>
                    <w:rPr>
                      <w:sz w:val="21"/>
                      <w:szCs w:val="21"/>
                    </w:rPr>
                    <w:t>日</w:t>
                  </w:r>
                </w:p>
              </w:tc>
              <w:tc>
                <w:tcPr>
                  <w:tcW w:w="1074" w:type="pct"/>
                  <w:vMerge w:val="restart"/>
                  <w:shd w:val="clear" w:color="auto" w:fill="auto"/>
                  <w:vAlign w:val="center"/>
                </w:tcPr>
                <w:p>
                  <w:pPr>
                    <w:keepNext/>
                    <w:widowControl w:val="0"/>
                    <w:jc w:val="center"/>
                    <w:rPr>
                      <w:sz w:val="21"/>
                      <w:szCs w:val="21"/>
                    </w:rPr>
                  </w:pPr>
                  <w:r>
                    <w:rPr>
                      <w:sz w:val="21"/>
                      <w:szCs w:val="21"/>
                    </w:rPr>
                    <w:t>执</w:t>
                  </w:r>
                  <w:r>
                    <w:rPr>
                      <w:rFonts w:hint="eastAsia"/>
                      <w:sz w:val="21"/>
                      <w:szCs w:val="21"/>
                    </w:rPr>
                    <w:t>行</w:t>
                  </w:r>
                  <w:r>
                    <w:rPr>
                      <w:sz w:val="21"/>
                      <w:szCs w:val="21"/>
                    </w:rPr>
                    <w:t>标准</w:t>
                  </w:r>
                </w:p>
              </w:tc>
              <w:tc>
                <w:tcPr>
                  <w:tcW w:w="705" w:type="pct"/>
                  <w:vMerge w:val="restart"/>
                  <w:shd w:val="clear" w:color="auto" w:fill="auto"/>
                  <w:vAlign w:val="center"/>
                </w:tcPr>
                <w:p>
                  <w:pPr>
                    <w:keepNext/>
                    <w:widowControl w:val="0"/>
                    <w:jc w:val="center"/>
                    <w:rPr>
                      <w:sz w:val="21"/>
                      <w:szCs w:val="21"/>
                    </w:rPr>
                  </w:pPr>
                  <w:r>
                    <w:rPr>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1" w:type="pct"/>
                  <w:vMerge w:val="continue"/>
                  <w:tcBorders>
                    <w:bottom w:val="single" w:color="auto" w:sz="4" w:space="0"/>
                    <w:tl2br w:val="nil"/>
                  </w:tcBorders>
                  <w:shd w:val="clear" w:color="auto" w:fill="auto"/>
                  <w:vAlign w:val="center"/>
                </w:tcPr>
                <w:p>
                  <w:pPr>
                    <w:keepNext/>
                    <w:widowControl w:val="0"/>
                    <w:jc w:val="center"/>
                    <w:rPr>
                      <w:sz w:val="21"/>
                      <w:szCs w:val="21"/>
                    </w:rPr>
                  </w:pPr>
                </w:p>
              </w:tc>
              <w:tc>
                <w:tcPr>
                  <w:tcW w:w="615" w:type="pct"/>
                  <w:shd w:val="clear" w:color="auto" w:fill="auto"/>
                  <w:vAlign w:val="center"/>
                </w:tcPr>
                <w:p>
                  <w:pPr>
                    <w:keepNext/>
                    <w:widowControl w:val="0"/>
                    <w:jc w:val="center"/>
                    <w:rPr>
                      <w:sz w:val="21"/>
                      <w:szCs w:val="21"/>
                    </w:rPr>
                  </w:pPr>
                  <w:r>
                    <w:rPr>
                      <w:sz w:val="21"/>
                      <w:szCs w:val="21"/>
                    </w:rPr>
                    <w:t>昼间</w:t>
                  </w:r>
                </w:p>
              </w:tc>
              <w:tc>
                <w:tcPr>
                  <w:tcW w:w="626" w:type="pct"/>
                  <w:shd w:val="clear" w:color="auto" w:fill="auto"/>
                  <w:vAlign w:val="center"/>
                </w:tcPr>
                <w:p>
                  <w:pPr>
                    <w:keepNext/>
                    <w:widowControl w:val="0"/>
                    <w:jc w:val="center"/>
                    <w:rPr>
                      <w:sz w:val="21"/>
                      <w:szCs w:val="21"/>
                    </w:rPr>
                  </w:pPr>
                  <w:r>
                    <w:rPr>
                      <w:sz w:val="21"/>
                      <w:szCs w:val="21"/>
                    </w:rPr>
                    <w:t>夜间</w:t>
                  </w:r>
                </w:p>
              </w:tc>
              <w:tc>
                <w:tcPr>
                  <w:tcW w:w="627" w:type="pct"/>
                  <w:shd w:val="clear" w:color="auto" w:fill="auto"/>
                  <w:vAlign w:val="center"/>
                </w:tcPr>
                <w:p>
                  <w:pPr>
                    <w:keepNext/>
                    <w:widowControl w:val="0"/>
                    <w:jc w:val="center"/>
                    <w:rPr>
                      <w:sz w:val="21"/>
                      <w:szCs w:val="21"/>
                    </w:rPr>
                  </w:pPr>
                  <w:r>
                    <w:rPr>
                      <w:sz w:val="21"/>
                      <w:szCs w:val="21"/>
                    </w:rPr>
                    <w:t>昼间</w:t>
                  </w:r>
                </w:p>
              </w:tc>
              <w:tc>
                <w:tcPr>
                  <w:tcW w:w="642" w:type="pct"/>
                  <w:shd w:val="clear" w:color="auto" w:fill="auto"/>
                  <w:vAlign w:val="center"/>
                </w:tcPr>
                <w:p>
                  <w:pPr>
                    <w:keepNext/>
                    <w:widowControl w:val="0"/>
                    <w:jc w:val="center"/>
                    <w:rPr>
                      <w:sz w:val="21"/>
                      <w:szCs w:val="21"/>
                    </w:rPr>
                  </w:pPr>
                  <w:r>
                    <w:rPr>
                      <w:sz w:val="21"/>
                      <w:szCs w:val="21"/>
                    </w:rPr>
                    <w:t>夜间</w:t>
                  </w:r>
                </w:p>
              </w:tc>
              <w:tc>
                <w:tcPr>
                  <w:tcW w:w="1074" w:type="pct"/>
                  <w:vMerge w:val="continue"/>
                  <w:shd w:val="clear" w:color="auto" w:fill="auto"/>
                  <w:vAlign w:val="center"/>
                </w:tcPr>
                <w:p>
                  <w:pPr>
                    <w:keepNext/>
                    <w:widowControl w:val="0"/>
                    <w:jc w:val="center"/>
                    <w:rPr>
                      <w:sz w:val="21"/>
                      <w:szCs w:val="21"/>
                    </w:rPr>
                  </w:pPr>
                </w:p>
              </w:tc>
              <w:tc>
                <w:tcPr>
                  <w:tcW w:w="705" w:type="pct"/>
                  <w:vMerge w:val="continue"/>
                  <w:shd w:val="clear" w:color="auto" w:fill="auto"/>
                  <w:vAlign w:val="center"/>
                </w:tcPr>
                <w:p>
                  <w:pPr>
                    <w:keepNext/>
                    <w:widowControl w:val="0"/>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keepNext/>
                    <w:widowControl w:val="0"/>
                    <w:jc w:val="center"/>
                    <w:rPr>
                      <w:sz w:val="21"/>
                      <w:szCs w:val="21"/>
                    </w:rPr>
                  </w:pPr>
                  <w:r>
                    <w:rPr>
                      <w:sz w:val="21"/>
                      <w:szCs w:val="21"/>
                    </w:rPr>
                    <w:t xml:space="preserve">1# </w:t>
                  </w:r>
                </w:p>
              </w:tc>
              <w:tc>
                <w:tcPr>
                  <w:tcW w:w="615" w:type="pct"/>
                  <w:shd w:val="clear" w:color="auto" w:fill="auto"/>
                  <w:vAlign w:val="center"/>
                </w:tcPr>
                <w:p>
                  <w:pPr>
                    <w:keepNext/>
                    <w:jc w:val="center"/>
                    <w:rPr>
                      <w:sz w:val="21"/>
                      <w:szCs w:val="21"/>
                    </w:rPr>
                  </w:pPr>
                  <w:r>
                    <w:rPr>
                      <w:rFonts w:hint="eastAsia"/>
                      <w:sz w:val="21"/>
                      <w:szCs w:val="21"/>
                    </w:rPr>
                    <w:t>53</w:t>
                  </w:r>
                </w:p>
              </w:tc>
              <w:tc>
                <w:tcPr>
                  <w:tcW w:w="626" w:type="pct"/>
                  <w:shd w:val="clear" w:color="auto" w:fill="auto"/>
                  <w:vAlign w:val="center"/>
                </w:tcPr>
                <w:p>
                  <w:pPr>
                    <w:keepNext/>
                    <w:jc w:val="center"/>
                    <w:rPr>
                      <w:sz w:val="21"/>
                      <w:szCs w:val="21"/>
                    </w:rPr>
                  </w:pPr>
                  <w:r>
                    <w:rPr>
                      <w:rFonts w:hint="eastAsia"/>
                      <w:sz w:val="21"/>
                      <w:szCs w:val="21"/>
                    </w:rPr>
                    <w:t>41</w:t>
                  </w:r>
                </w:p>
              </w:tc>
              <w:tc>
                <w:tcPr>
                  <w:tcW w:w="627" w:type="pct"/>
                  <w:shd w:val="clear" w:color="auto" w:fill="auto"/>
                  <w:vAlign w:val="center"/>
                </w:tcPr>
                <w:p>
                  <w:pPr>
                    <w:keepNext/>
                    <w:jc w:val="center"/>
                    <w:rPr>
                      <w:sz w:val="21"/>
                      <w:szCs w:val="21"/>
                    </w:rPr>
                  </w:pPr>
                  <w:r>
                    <w:rPr>
                      <w:rFonts w:hint="eastAsia"/>
                      <w:sz w:val="21"/>
                      <w:szCs w:val="21"/>
                    </w:rPr>
                    <w:t>54</w:t>
                  </w:r>
                </w:p>
              </w:tc>
              <w:tc>
                <w:tcPr>
                  <w:tcW w:w="642" w:type="pct"/>
                  <w:shd w:val="clear" w:color="auto" w:fill="auto"/>
                  <w:vAlign w:val="center"/>
                </w:tcPr>
                <w:p>
                  <w:pPr>
                    <w:keepNext/>
                    <w:jc w:val="center"/>
                    <w:rPr>
                      <w:sz w:val="21"/>
                      <w:szCs w:val="21"/>
                    </w:rPr>
                  </w:pPr>
                  <w:r>
                    <w:rPr>
                      <w:rFonts w:hint="eastAsia"/>
                      <w:sz w:val="21"/>
                      <w:szCs w:val="21"/>
                    </w:rPr>
                    <w:t>47</w:t>
                  </w:r>
                </w:p>
              </w:tc>
              <w:tc>
                <w:tcPr>
                  <w:tcW w:w="1074" w:type="pct"/>
                  <w:vMerge w:val="restart"/>
                  <w:shd w:val="clear" w:color="auto" w:fill="auto"/>
                  <w:vAlign w:val="center"/>
                </w:tcPr>
                <w:p>
                  <w:pPr>
                    <w:keepNext/>
                    <w:widowControl w:val="0"/>
                    <w:jc w:val="center"/>
                    <w:rPr>
                      <w:sz w:val="21"/>
                      <w:szCs w:val="21"/>
                    </w:rPr>
                  </w:pPr>
                  <w:r>
                    <w:rPr>
                      <w:sz w:val="21"/>
                      <w:szCs w:val="21"/>
                    </w:rPr>
                    <w:t>（GB3096</w:t>
                  </w:r>
                  <w:r>
                    <w:rPr>
                      <w:rFonts w:hint="eastAsia"/>
                      <w:sz w:val="21"/>
                      <w:szCs w:val="21"/>
                    </w:rPr>
                    <w:t>-</w:t>
                  </w:r>
                  <w:r>
                    <w:rPr>
                      <w:sz w:val="21"/>
                      <w:szCs w:val="21"/>
                    </w:rPr>
                    <w:t>2008）中</w:t>
                  </w:r>
                  <w:r>
                    <w:rPr>
                      <w:rFonts w:hint="eastAsia"/>
                      <w:sz w:val="21"/>
                      <w:szCs w:val="21"/>
                    </w:rPr>
                    <w:t>3类</w:t>
                  </w:r>
                  <w:r>
                    <w:rPr>
                      <w:sz w:val="21"/>
                      <w:szCs w:val="21"/>
                    </w:rPr>
                    <w:t>标准，昼间≤6</w:t>
                  </w:r>
                  <w:r>
                    <w:rPr>
                      <w:rFonts w:hint="eastAsia"/>
                      <w:sz w:val="21"/>
                      <w:szCs w:val="21"/>
                    </w:rPr>
                    <w:t>5</w:t>
                  </w:r>
                  <w:r>
                    <w:rPr>
                      <w:sz w:val="21"/>
                      <w:szCs w:val="21"/>
                    </w:rPr>
                    <w:t>dB（A）、夜间≤5</w:t>
                  </w:r>
                  <w:r>
                    <w:rPr>
                      <w:rFonts w:hint="eastAsia"/>
                      <w:sz w:val="21"/>
                      <w:szCs w:val="21"/>
                    </w:rPr>
                    <w:t>5</w:t>
                  </w:r>
                  <w:r>
                    <w:rPr>
                      <w:sz w:val="21"/>
                      <w:szCs w:val="21"/>
                    </w:rPr>
                    <w:t>dB（A）；</w:t>
                  </w:r>
                </w:p>
              </w:tc>
              <w:tc>
                <w:tcPr>
                  <w:tcW w:w="705" w:type="pct"/>
                  <w:shd w:val="clear" w:color="auto" w:fill="auto"/>
                  <w:vAlign w:val="center"/>
                </w:tcPr>
                <w:p>
                  <w:pPr>
                    <w:keepNext/>
                    <w:widowControl w:val="0"/>
                    <w:jc w:val="center"/>
                    <w:rPr>
                      <w:sz w:val="21"/>
                      <w:szCs w:val="21"/>
                    </w:rPr>
                  </w:pPr>
                  <w:r>
                    <w:rPr>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keepNext/>
                    <w:widowControl w:val="0"/>
                    <w:jc w:val="center"/>
                    <w:rPr>
                      <w:sz w:val="21"/>
                      <w:szCs w:val="21"/>
                    </w:rPr>
                  </w:pPr>
                  <w:r>
                    <w:rPr>
                      <w:sz w:val="21"/>
                      <w:szCs w:val="21"/>
                    </w:rPr>
                    <w:t xml:space="preserve">2# </w:t>
                  </w:r>
                </w:p>
              </w:tc>
              <w:tc>
                <w:tcPr>
                  <w:tcW w:w="615" w:type="pct"/>
                  <w:shd w:val="clear" w:color="auto" w:fill="auto"/>
                  <w:vAlign w:val="center"/>
                </w:tcPr>
                <w:p>
                  <w:pPr>
                    <w:keepNext/>
                    <w:jc w:val="center"/>
                    <w:rPr>
                      <w:bCs/>
                      <w:sz w:val="21"/>
                      <w:szCs w:val="21"/>
                    </w:rPr>
                  </w:pPr>
                  <w:r>
                    <w:rPr>
                      <w:rFonts w:hint="eastAsia"/>
                      <w:bCs/>
                      <w:sz w:val="21"/>
                      <w:szCs w:val="21"/>
                    </w:rPr>
                    <w:t>53</w:t>
                  </w:r>
                </w:p>
              </w:tc>
              <w:tc>
                <w:tcPr>
                  <w:tcW w:w="626" w:type="pct"/>
                  <w:shd w:val="clear" w:color="auto" w:fill="auto"/>
                  <w:vAlign w:val="center"/>
                </w:tcPr>
                <w:p>
                  <w:pPr>
                    <w:keepNext/>
                    <w:jc w:val="center"/>
                    <w:rPr>
                      <w:bCs/>
                      <w:sz w:val="21"/>
                      <w:szCs w:val="21"/>
                    </w:rPr>
                  </w:pPr>
                  <w:r>
                    <w:rPr>
                      <w:rFonts w:hint="eastAsia"/>
                      <w:bCs/>
                      <w:sz w:val="21"/>
                      <w:szCs w:val="21"/>
                    </w:rPr>
                    <w:t>41</w:t>
                  </w:r>
                </w:p>
              </w:tc>
              <w:tc>
                <w:tcPr>
                  <w:tcW w:w="627" w:type="pct"/>
                  <w:shd w:val="clear" w:color="auto" w:fill="auto"/>
                  <w:vAlign w:val="center"/>
                </w:tcPr>
                <w:p>
                  <w:pPr>
                    <w:keepNext/>
                    <w:jc w:val="center"/>
                    <w:rPr>
                      <w:sz w:val="21"/>
                      <w:szCs w:val="21"/>
                    </w:rPr>
                  </w:pPr>
                  <w:r>
                    <w:rPr>
                      <w:rFonts w:hint="eastAsia"/>
                      <w:sz w:val="21"/>
                      <w:szCs w:val="21"/>
                    </w:rPr>
                    <w:t>53</w:t>
                  </w:r>
                </w:p>
              </w:tc>
              <w:tc>
                <w:tcPr>
                  <w:tcW w:w="642" w:type="pct"/>
                  <w:shd w:val="clear" w:color="auto" w:fill="auto"/>
                  <w:vAlign w:val="center"/>
                </w:tcPr>
                <w:p>
                  <w:pPr>
                    <w:keepNext/>
                    <w:jc w:val="center"/>
                    <w:rPr>
                      <w:sz w:val="21"/>
                      <w:szCs w:val="21"/>
                    </w:rPr>
                  </w:pPr>
                  <w:r>
                    <w:rPr>
                      <w:rFonts w:hint="eastAsia"/>
                      <w:sz w:val="21"/>
                      <w:szCs w:val="21"/>
                    </w:rPr>
                    <w:t>49</w:t>
                  </w:r>
                </w:p>
              </w:tc>
              <w:tc>
                <w:tcPr>
                  <w:tcW w:w="1074" w:type="pct"/>
                  <w:vMerge w:val="continue"/>
                  <w:shd w:val="clear" w:color="auto" w:fill="auto"/>
                  <w:vAlign w:val="center"/>
                </w:tcPr>
                <w:p>
                  <w:pPr>
                    <w:keepNext/>
                    <w:widowControl w:val="0"/>
                    <w:jc w:val="center"/>
                    <w:rPr>
                      <w:sz w:val="21"/>
                      <w:szCs w:val="21"/>
                    </w:rPr>
                  </w:pPr>
                </w:p>
              </w:tc>
              <w:tc>
                <w:tcPr>
                  <w:tcW w:w="705" w:type="pct"/>
                  <w:shd w:val="clear" w:color="auto" w:fill="auto"/>
                  <w:vAlign w:val="center"/>
                </w:tcPr>
                <w:p>
                  <w:pPr>
                    <w:keepNext/>
                    <w:widowControl w:val="0"/>
                    <w:jc w:val="center"/>
                    <w:rPr>
                      <w:sz w:val="21"/>
                      <w:szCs w:val="21"/>
                    </w:rPr>
                  </w:pPr>
                  <w:r>
                    <w:rPr>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keepNext/>
                    <w:widowControl w:val="0"/>
                    <w:jc w:val="center"/>
                    <w:rPr>
                      <w:sz w:val="21"/>
                      <w:szCs w:val="21"/>
                    </w:rPr>
                  </w:pPr>
                  <w:r>
                    <w:rPr>
                      <w:sz w:val="21"/>
                      <w:szCs w:val="21"/>
                    </w:rPr>
                    <w:t xml:space="preserve">3# </w:t>
                  </w:r>
                </w:p>
              </w:tc>
              <w:tc>
                <w:tcPr>
                  <w:tcW w:w="615" w:type="pct"/>
                  <w:shd w:val="clear" w:color="auto" w:fill="auto"/>
                  <w:vAlign w:val="center"/>
                </w:tcPr>
                <w:p>
                  <w:pPr>
                    <w:keepNext/>
                    <w:jc w:val="center"/>
                    <w:rPr>
                      <w:bCs/>
                      <w:sz w:val="21"/>
                      <w:szCs w:val="21"/>
                    </w:rPr>
                  </w:pPr>
                  <w:r>
                    <w:rPr>
                      <w:rFonts w:hint="eastAsia"/>
                      <w:bCs/>
                      <w:sz w:val="21"/>
                      <w:szCs w:val="21"/>
                    </w:rPr>
                    <w:t>53</w:t>
                  </w:r>
                </w:p>
              </w:tc>
              <w:tc>
                <w:tcPr>
                  <w:tcW w:w="626" w:type="pct"/>
                  <w:shd w:val="clear" w:color="auto" w:fill="auto"/>
                  <w:vAlign w:val="center"/>
                </w:tcPr>
                <w:p>
                  <w:pPr>
                    <w:keepNext/>
                    <w:jc w:val="center"/>
                    <w:rPr>
                      <w:bCs/>
                      <w:sz w:val="21"/>
                      <w:szCs w:val="21"/>
                    </w:rPr>
                  </w:pPr>
                  <w:r>
                    <w:rPr>
                      <w:rFonts w:hint="eastAsia"/>
                      <w:bCs/>
                      <w:sz w:val="21"/>
                      <w:szCs w:val="21"/>
                    </w:rPr>
                    <w:t>40</w:t>
                  </w:r>
                </w:p>
              </w:tc>
              <w:tc>
                <w:tcPr>
                  <w:tcW w:w="627" w:type="pct"/>
                  <w:shd w:val="clear" w:color="auto" w:fill="auto"/>
                  <w:vAlign w:val="center"/>
                </w:tcPr>
                <w:p>
                  <w:pPr>
                    <w:keepNext/>
                    <w:jc w:val="center"/>
                    <w:rPr>
                      <w:sz w:val="21"/>
                      <w:szCs w:val="21"/>
                    </w:rPr>
                  </w:pPr>
                  <w:r>
                    <w:rPr>
                      <w:rFonts w:hint="eastAsia"/>
                      <w:sz w:val="21"/>
                      <w:szCs w:val="21"/>
                    </w:rPr>
                    <w:t>51</w:t>
                  </w:r>
                </w:p>
              </w:tc>
              <w:tc>
                <w:tcPr>
                  <w:tcW w:w="642" w:type="pct"/>
                  <w:shd w:val="clear" w:color="auto" w:fill="auto"/>
                  <w:vAlign w:val="center"/>
                </w:tcPr>
                <w:p>
                  <w:pPr>
                    <w:keepNext/>
                    <w:jc w:val="center"/>
                    <w:rPr>
                      <w:sz w:val="21"/>
                      <w:szCs w:val="21"/>
                    </w:rPr>
                  </w:pPr>
                  <w:r>
                    <w:rPr>
                      <w:rFonts w:hint="eastAsia"/>
                      <w:sz w:val="21"/>
                      <w:szCs w:val="21"/>
                    </w:rPr>
                    <w:t>44</w:t>
                  </w:r>
                </w:p>
              </w:tc>
              <w:tc>
                <w:tcPr>
                  <w:tcW w:w="1074" w:type="pct"/>
                  <w:vMerge w:val="continue"/>
                  <w:shd w:val="clear" w:color="auto" w:fill="auto"/>
                  <w:vAlign w:val="center"/>
                </w:tcPr>
                <w:p>
                  <w:pPr>
                    <w:keepNext/>
                    <w:widowControl w:val="0"/>
                    <w:jc w:val="center"/>
                    <w:rPr>
                      <w:sz w:val="21"/>
                      <w:szCs w:val="21"/>
                    </w:rPr>
                  </w:pPr>
                </w:p>
              </w:tc>
              <w:tc>
                <w:tcPr>
                  <w:tcW w:w="705" w:type="pct"/>
                  <w:shd w:val="clear" w:color="auto" w:fill="auto"/>
                  <w:vAlign w:val="center"/>
                </w:tcPr>
                <w:p>
                  <w:pPr>
                    <w:keepNext/>
                    <w:widowControl w:val="0"/>
                    <w:jc w:val="center"/>
                    <w:rPr>
                      <w:sz w:val="21"/>
                      <w:szCs w:val="21"/>
                    </w:rPr>
                  </w:pPr>
                  <w:r>
                    <w:rPr>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keepNext/>
                    <w:widowControl w:val="0"/>
                    <w:jc w:val="center"/>
                    <w:rPr>
                      <w:sz w:val="21"/>
                      <w:szCs w:val="21"/>
                    </w:rPr>
                  </w:pPr>
                  <w:r>
                    <w:rPr>
                      <w:sz w:val="21"/>
                      <w:szCs w:val="21"/>
                    </w:rPr>
                    <w:t>4#</w:t>
                  </w:r>
                </w:p>
              </w:tc>
              <w:tc>
                <w:tcPr>
                  <w:tcW w:w="615" w:type="pct"/>
                  <w:shd w:val="clear" w:color="auto" w:fill="auto"/>
                  <w:vAlign w:val="center"/>
                </w:tcPr>
                <w:p>
                  <w:pPr>
                    <w:keepNext/>
                    <w:jc w:val="center"/>
                    <w:rPr>
                      <w:bCs/>
                      <w:sz w:val="21"/>
                      <w:szCs w:val="21"/>
                    </w:rPr>
                  </w:pPr>
                  <w:r>
                    <w:rPr>
                      <w:rFonts w:hint="eastAsia"/>
                      <w:bCs/>
                      <w:sz w:val="21"/>
                      <w:szCs w:val="21"/>
                    </w:rPr>
                    <w:t>54</w:t>
                  </w:r>
                </w:p>
              </w:tc>
              <w:tc>
                <w:tcPr>
                  <w:tcW w:w="626" w:type="pct"/>
                  <w:shd w:val="clear" w:color="auto" w:fill="auto"/>
                  <w:vAlign w:val="center"/>
                </w:tcPr>
                <w:p>
                  <w:pPr>
                    <w:keepNext/>
                    <w:jc w:val="center"/>
                    <w:rPr>
                      <w:bCs/>
                      <w:sz w:val="21"/>
                      <w:szCs w:val="21"/>
                    </w:rPr>
                  </w:pPr>
                  <w:r>
                    <w:rPr>
                      <w:rFonts w:hint="eastAsia"/>
                      <w:bCs/>
                      <w:sz w:val="21"/>
                      <w:szCs w:val="21"/>
                    </w:rPr>
                    <w:t>42</w:t>
                  </w:r>
                </w:p>
              </w:tc>
              <w:tc>
                <w:tcPr>
                  <w:tcW w:w="627" w:type="pct"/>
                  <w:shd w:val="clear" w:color="auto" w:fill="auto"/>
                  <w:vAlign w:val="center"/>
                </w:tcPr>
                <w:p>
                  <w:pPr>
                    <w:keepNext/>
                    <w:jc w:val="center"/>
                    <w:rPr>
                      <w:sz w:val="21"/>
                      <w:szCs w:val="21"/>
                    </w:rPr>
                  </w:pPr>
                  <w:r>
                    <w:rPr>
                      <w:rFonts w:hint="eastAsia"/>
                      <w:sz w:val="21"/>
                      <w:szCs w:val="21"/>
                    </w:rPr>
                    <w:t>52</w:t>
                  </w:r>
                </w:p>
              </w:tc>
              <w:tc>
                <w:tcPr>
                  <w:tcW w:w="642" w:type="pct"/>
                  <w:shd w:val="clear" w:color="auto" w:fill="auto"/>
                  <w:vAlign w:val="center"/>
                </w:tcPr>
                <w:p>
                  <w:pPr>
                    <w:keepNext/>
                    <w:jc w:val="center"/>
                    <w:rPr>
                      <w:sz w:val="21"/>
                      <w:szCs w:val="21"/>
                    </w:rPr>
                  </w:pPr>
                  <w:r>
                    <w:rPr>
                      <w:rFonts w:hint="eastAsia"/>
                      <w:sz w:val="21"/>
                      <w:szCs w:val="21"/>
                    </w:rPr>
                    <w:t>41</w:t>
                  </w:r>
                </w:p>
              </w:tc>
              <w:tc>
                <w:tcPr>
                  <w:tcW w:w="1074" w:type="pct"/>
                  <w:vMerge w:val="continue"/>
                  <w:shd w:val="clear" w:color="auto" w:fill="auto"/>
                  <w:vAlign w:val="center"/>
                </w:tcPr>
                <w:p>
                  <w:pPr>
                    <w:keepNext/>
                    <w:widowControl w:val="0"/>
                    <w:jc w:val="center"/>
                    <w:rPr>
                      <w:sz w:val="21"/>
                      <w:szCs w:val="21"/>
                    </w:rPr>
                  </w:pPr>
                </w:p>
              </w:tc>
              <w:tc>
                <w:tcPr>
                  <w:tcW w:w="705" w:type="pct"/>
                  <w:shd w:val="clear" w:color="auto" w:fill="auto"/>
                  <w:vAlign w:val="center"/>
                </w:tcPr>
                <w:p>
                  <w:pPr>
                    <w:keepNext/>
                    <w:widowControl w:val="0"/>
                    <w:jc w:val="center"/>
                    <w:rPr>
                      <w:sz w:val="21"/>
                      <w:szCs w:val="21"/>
                    </w:rPr>
                  </w:pPr>
                  <w:r>
                    <w:rPr>
                      <w:rFonts w:hint="eastAsia"/>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keepNext/>
                    <w:widowControl w:val="0"/>
                    <w:jc w:val="center"/>
                    <w:rPr>
                      <w:sz w:val="21"/>
                      <w:szCs w:val="21"/>
                    </w:rPr>
                  </w:pPr>
                  <w:r>
                    <w:rPr>
                      <w:rFonts w:hint="eastAsia"/>
                      <w:sz w:val="21"/>
                      <w:szCs w:val="21"/>
                    </w:rPr>
                    <w:t>5#</w:t>
                  </w:r>
                </w:p>
              </w:tc>
              <w:tc>
                <w:tcPr>
                  <w:tcW w:w="615" w:type="pct"/>
                  <w:shd w:val="clear" w:color="auto" w:fill="auto"/>
                  <w:vAlign w:val="center"/>
                </w:tcPr>
                <w:p>
                  <w:pPr>
                    <w:keepNext/>
                    <w:jc w:val="center"/>
                    <w:rPr>
                      <w:bCs/>
                      <w:sz w:val="21"/>
                      <w:szCs w:val="21"/>
                    </w:rPr>
                  </w:pPr>
                  <w:r>
                    <w:rPr>
                      <w:rFonts w:hint="eastAsia"/>
                      <w:bCs/>
                      <w:sz w:val="21"/>
                      <w:szCs w:val="21"/>
                    </w:rPr>
                    <w:t>55</w:t>
                  </w:r>
                </w:p>
              </w:tc>
              <w:tc>
                <w:tcPr>
                  <w:tcW w:w="626" w:type="pct"/>
                  <w:shd w:val="clear" w:color="auto" w:fill="auto"/>
                  <w:vAlign w:val="center"/>
                </w:tcPr>
                <w:p>
                  <w:pPr>
                    <w:keepNext/>
                    <w:jc w:val="center"/>
                    <w:rPr>
                      <w:bCs/>
                      <w:sz w:val="21"/>
                      <w:szCs w:val="21"/>
                    </w:rPr>
                  </w:pPr>
                  <w:r>
                    <w:rPr>
                      <w:rFonts w:hint="eastAsia"/>
                      <w:bCs/>
                      <w:sz w:val="21"/>
                      <w:szCs w:val="21"/>
                    </w:rPr>
                    <w:t>41</w:t>
                  </w:r>
                </w:p>
              </w:tc>
              <w:tc>
                <w:tcPr>
                  <w:tcW w:w="627" w:type="pct"/>
                  <w:shd w:val="clear" w:color="auto" w:fill="auto"/>
                  <w:vAlign w:val="center"/>
                </w:tcPr>
                <w:p>
                  <w:pPr>
                    <w:keepNext/>
                    <w:jc w:val="center"/>
                    <w:rPr>
                      <w:sz w:val="21"/>
                      <w:szCs w:val="21"/>
                    </w:rPr>
                  </w:pPr>
                  <w:r>
                    <w:rPr>
                      <w:rFonts w:hint="eastAsia"/>
                      <w:sz w:val="21"/>
                      <w:szCs w:val="21"/>
                    </w:rPr>
                    <w:t>57</w:t>
                  </w:r>
                </w:p>
              </w:tc>
              <w:tc>
                <w:tcPr>
                  <w:tcW w:w="642" w:type="pct"/>
                  <w:shd w:val="clear" w:color="auto" w:fill="auto"/>
                  <w:vAlign w:val="center"/>
                </w:tcPr>
                <w:p>
                  <w:pPr>
                    <w:keepNext/>
                    <w:jc w:val="center"/>
                    <w:rPr>
                      <w:sz w:val="21"/>
                      <w:szCs w:val="21"/>
                    </w:rPr>
                  </w:pPr>
                  <w:r>
                    <w:rPr>
                      <w:rFonts w:hint="eastAsia"/>
                      <w:sz w:val="21"/>
                      <w:szCs w:val="21"/>
                    </w:rPr>
                    <w:t>4</w:t>
                  </w:r>
                  <w:r>
                    <w:rPr>
                      <w:sz w:val="21"/>
                      <w:szCs w:val="21"/>
                    </w:rPr>
                    <w:t>2</w:t>
                  </w:r>
                </w:p>
              </w:tc>
              <w:tc>
                <w:tcPr>
                  <w:tcW w:w="1074" w:type="pct"/>
                  <w:vMerge w:val="continue"/>
                  <w:shd w:val="clear" w:color="auto" w:fill="auto"/>
                  <w:vAlign w:val="center"/>
                </w:tcPr>
                <w:p>
                  <w:pPr>
                    <w:keepNext/>
                    <w:widowControl w:val="0"/>
                    <w:jc w:val="center"/>
                    <w:rPr>
                      <w:sz w:val="21"/>
                      <w:szCs w:val="21"/>
                    </w:rPr>
                  </w:pPr>
                </w:p>
              </w:tc>
              <w:tc>
                <w:tcPr>
                  <w:tcW w:w="705" w:type="pct"/>
                  <w:shd w:val="clear" w:color="auto" w:fill="auto"/>
                  <w:vAlign w:val="center"/>
                </w:tcPr>
                <w:p>
                  <w:pPr>
                    <w:keepNext/>
                    <w:widowControl w:val="0"/>
                    <w:jc w:val="center"/>
                    <w:rPr>
                      <w:sz w:val="21"/>
                      <w:szCs w:val="21"/>
                    </w:rPr>
                  </w:pPr>
                  <w:r>
                    <w:rPr>
                      <w:rFonts w:hint="eastAsia"/>
                      <w:sz w:val="21"/>
                      <w:szCs w:val="21"/>
                    </w:rPr>
                    <w:t>达标</w:t>
                  </w:r>
                </w:p>
              </w:tc>
            </w:tr>
          </w:tbl>
          <w:p>
            <w:pPr>
              <w:pStyle w:val="37"/>
              <w:keepNext/>
              <w:ind w:firstLine="480"/>
            </w:pPr>
            <w:r>
              <w:rPr>
                <w:rFonts w:hint="eastAsia"/>
              </w:rPr>
              <w:t>（注：监测期间，全厂正常生产包括改扩建项目，生产工况负荷达80%。）</w:t>
            </w:r>
          </w:p>
          <w:p>
            <w:pPr>
              <w:pStyle w:val="37"/>
              <w:keepNext/>
              <w:ind w:firstLine="480"/>
              <w:rPr>
                <w:sz w:val="28"/>
                <w:szCs w:val="28"/>
              </w:rPr>
            </w:pPr>
            <w:r>
              <w:rPr>
                <w:rFonts w:hint="eastAsia"/>
              </w:rPr>
              <w:t>根据监测结果，本项目声环境质量现状满足《声环境质量标准》（GB3096-2008）中3类标准限值要求，周边声环境质量现状良好。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288" w:type="dxa"/>
          </w:tcPr>
          <w:p>
            <w:pPr>
              <w:pStyle w:val="3"/>
            </w:pPr>
            <w:r>
              <w:rPr>
                <w:rFonts w:hint="eastAsia"/>
              </w:rPr>
              <w:t>主要环境保护目标</w:t>
            </w:r>
            <w:r>
              <w:t>(</w:t>
            </w:r>
            <w:r>
              <w:rPr>
                <w:rFonts w:hint="eastAsia"/>
              </w:rPr>
              <w:t>列出名单及保护级别</w:t>
            </w:r>
            <w:r>
              <w:t>)</w:t>
            </w:r>
            <w:r>
              <w:rPr>
                <w:rFonts w:hint="eastAsia"/>
              </w:rPr>
              <w:t>：</w:t>
            </w:r>
          </w:p>
          <w:p>
            <w:pPr>
              <w:pStyle w:val="37"/>
              <w:keepNext/>
              <w:ind w:firstLine="480"/>
              <w:rPr>
                <w:color w:val="FF0000"/>
              </w:rPr>
            </w:pPr>
            <w:r>
              <w:rPr>
                <w:rFonts w:hint="eastAsia" w:cs="Times New Roman"/>
                <w:color w:val="FF0000"/>
                <w:kern w:val="0"/>
              </w:rPr>
              <w:t>本项目位于峨边彝族自治县五渡镇工农村2组（原厂址中部）。根据现场踏勘，本项目场站外环境关系如下：</w:t>
            </w:r>
            <w:r>
              <w:rPr>
                <w:rFonts w:hint="eastAsia"/>
                <w:color w:val="FF0000"/>
              </w:rPr>
              <w:t>项目西北面为五渡镇场镇（场镇住户约500人），距离本项目为80m；项目北面大渡河对岸刘沟村分布有散居住户（17户，50人），距离本项目为300m；项目西侧分布有散居住户（6户，18人），最近住户距离本项目西厂界约30m，距离本项目约55m；项目东侧和东南侧紧邻大渡河和柏溪沟，柏溪沟对岸为峨边骏飞矿业有限公司。大渡河位于项目东侧，自西北向东南流向，其水域功能主要为泄洪、灌溉、生活水源、工业水源。项目建设区域内不涉及通信管线、军事设施、古代文物，建设区域及周边200m范围内不涉及自然保护区、饮用水水源保护区等环境敏感区域。具体项目外环境关详见附图3。</w:t>
            </w:r>
          </w:p>
          <w:p>
            <w:pPr>
              <w:pStyle w:val="37"/>
              <w:keepNext/>
              <w:ind w:firstLine="480"/>
              <w:rPr>
                <w:color w:val="FF0000"/>
              </w:rPr>
            </w:pPr>
            <w:r>
              <w:rPr>
                <w:rFonts w:hint="eastAsia"/>
                <w:color w:val="FF0000"/>
              </w:rPr>
              <w:t>根据本项目排污特点和外环境特征确定环境保护目标如下：</w:t>
            </w:r>
          </w:p>
          <w:p>
            <w:pPr>
              <w:pStyle w:val="36"/>
              <w:keepNext/>
              <w:rPr>
                <w:color w:val="FF0000"/>
              </w:rPr>
            </w:pPr>
            <w:r>
              <w:rPr>
                <w:rFonts w:hint="eastAsia"/>
                <w:color w:val="FF0000"/>
              </w:rPr>
              <w:t>表3-5项目环境保护目标</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2"/>
              <w:gridCol w:w="1428"/>
              <w:gridCol w:w="1399"/>
              <w:gridCol w:w="1113"/>
              <w:gridCol w:w="865"/>
              <w:gridCol w:w="881"/>
              <w:gridCol w:w="237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261" w:hRule="atLeast"/>
                <w:jc w:val="center"/>
              </w:trPr>
              <w:tc>
                <w:tcPr>
                  <w:tcW w:w="553" w:type="pct"/>
                  <w:vAlign w:val="center"/>
                </w:tcPr>
                <w:p>
                  <w:pPr>
                    <w:pStyle w:val="50"/>
                    <w:rPr>
                      <w:color w:val="FF0000"/>
                    </w:rPr>
                  </w:pPr>
                  <w:r>
                    <w:rPr>
                      <w:rFonts w:hint="eastAsia"/>
                      <w:color w:val="FF0000"/>
                    </w:rPr>
                    <w:t>名称</w:t>
                  </w:r>
                </w:p>
              </w:tc>
              <w:tc>
                <w:tcPr>
                  <w:tcW w:w="788" w:type="pct"/>
                  <w:vAlign w:val="center"/>
                </w:tcPr>
                <w:p>
                  <w:pPr>
                    <w:pStyle w:val="50"/>
                    <w:rPr>
                      <w:color w:val="FF0000"/>
                    </w:rPr>
                  </w:pPr>
                  <w:r>
                    <w:rPr>
                      <w:rFonts w:hint="eastAsia"/>
                      <w:color w:val="FF0000"/>
                    </w:rPr>
                    <w:t>类别</w:t>
                  </w:r>
                </w:p>
              </w:tc>
              <w:tc>
                <w:tcPr>
                  <w:tcW w:w="772" w:type="pct"/>
                  <w:tcBorders>
                    <w:right w:val="single" w:color="auto" w:sz="4" w:space="0"/>
                  </w:tcBorders>
                  <w:vAlign w:val="center"/>
                </w:tcPr>
                <w:p>
                  <w:pPr>
                    <w:pStyle w:val="50"/>
                    <w:rPr>
                      <w:color w:val="FF0000"/>
                    </w:rPr>
                  </w:pPr>
                  <w:r>
                    <w:rPr>
                      <w:rFonts w:hint="eastAsia"/>
                      <w:color w:val="FF0000"/>
                    </w:rPr>
                    <w:t>保护目标</w:t>
                  </w:r>
                </w:p>
              </w:tc>
              <w:tc>
                <w:tcPr>
                  <w:tcW w:w="614" w:type="pct"/>
                  <w:tcBorders>
                    <w:left w:val="single" w:color="auto" w:sz="4" w:space="0"/>
                  </w:tcBorders>
                  <w:vAlign w:val="center"/>
                </w:tcPr>
                <w:p>
                  <w:pPr>
                    <w:pStyle w:val="50"/>
                    <w:rPr>
                      <w:color w:val="FF0000"/>
                    </w:rPr>
                  </w:pPr>
                  <w:r>
                    <w:rPr>
                      <w:rFonts w:hint="eastAsia"/>
                      <w:color w:val="FF0000"/>
                    </w:rPr>
                    <w:t>数量</w:t>
                  </w:r>
                </w:p>
              </w:tc>
              <w:tc>
                <w:tcPr>
                  <w:tcW w:w="477" w:type="pct"/>
                  <w:tcBorders>
                    <w:right w:val="single" w:color="auto" w:sz="4" w:space="0"/>
                  </w:tcBorders>
                  <w:vAlign w:val="center"/>
                </w:tcPr>
                <w:p>
                  <w:pPr>
                    <w:pStyle w:val="50"/>
                    <w:rPr>
                      <w:color w:val="FF0000"/>
                    </w:rPr>
                  </w:pPr>
                  <w:r>
                    <w:rPr>
                      <w:rFonts w:hint="eastAsia"/>
                      <w:color w:val="FF0000"/>
                    </w:rPr>
                    <w:t>位置</w:t>
                  </w:r>
                </w:p>
              </w:tc>
              <w:tc>
                <w:tcPr>
                  <w:tcW w:w="486" w:type="pct"/>
                  <w:tcBorders>
                    <w:left w:val="single" w:color="auto" w:sz="4" w:space="0"/>
                  </w:tcBorders>
                  <w:vAlign w:val="center"/>
                </w:tcPr>
                <w:p>
                  <w:pPr>
                    <w:pStyle w:val="50"/>
                    <w:rPr>
                      <w:color w:val="FF0000"/>
                    </w:rPr>
                  </w:pPr>
                  <w:r>
                    <w:rPr>
                      <w:rFonts w:hint="eastAsia"/>
                      <w:color w:val="FF0000"/>
                    </w:rPr>
                    <w:t>距离</w:t>
                  </w:r>
                </w:p>
              </w:tc>
              <w:tc>
                <w:tcPr>
                  <w:tcW w:w="1310" w:type="pct"/>
                  <w:vAlign w:val="center"/>
                </w:tcPr>
                <w:p>
                  <w:pPr>
                    <w:pStyle w:val="50"/>
                    <w:rPr>
                      <w:color w:val="FF0000"/>
                    </w:rPr>
                  </w:pPr>
                  <w:r>
                    <w:rPr>
                      <w:rFonts w:hint="eastAsia"/>
                      <w:color w:val="FF0000"/>
                    </w:rPr>
                    <w:t>保护目的或级别</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553" w:type="pct"/>
                  <w:vMerge w:val="restart"/>
                  <w:vAlign w:val="center"/>
                </w:tcPr>
                <w:p>
                  <w:pPr>
                    <w:pStyle w:val="50"/>
                    <w:rPr>
                      <w:color w:val="FF0000"/>
                    </w:rPr>
                  </w:pPr>
                  <w:r>
                    <w:rPr>
                      <w:rFonts w:hint="eastAsia"/>
                      <w:color w:val="FF0000"/>
                    </w:rPr>
                    <w:t>年产5万吨高端电磁选钾长石生产线</w:t>
                  </w:r>
                </w:p>
              </w:tc>
              <w:tc>
                <w:tcPr>
                  <w:tcW w:w="788" w:type="pct"/>
                  <w:vMerge w:val="restart"/>
                  <w:vAlign w:val="center"/>
                </w:tcPr>
                <w:p>
                  <w:pPr>
                    <w:pStyle w:val="50"/>
                    <w:rPr>
                      <w:color w:val="FF0000"/>
                    </w:rPr>
                  </w:pPr>
                  <w:r>
                    <w:rPr>
                      <w:rFonts w:hint="eastAsia"/>
                      <w:color w:val="FF0000"/>
                    </w:rPr>
                    <w:t>环境空气</w:t>
                  </w:r>
                </w:p>
              </w:tc>
              <w:tc>
                <w:tcPr>
                  <w:tcW w:w="772" w:type="pct"/>
                  <w:tcBorders>
                    <w:right w:val="single" w:color="auto" w:sz="4" w:space="0"/>
                  </w:tcBorders>
                  <w:vAlign w:val="center"/>
                </w:tcPr>
                <w:p>
                  <w:pPr>
                    <w:pStyle w:val="50"/>
                    <w:rPr>
                      <w:color w:val="FF0000"/>
                    </w:rPr>
                  </w:pPr>
                  <w:r>
                    <w:rPr>
                      <w:rFonts w:hint="eastAsia"/>
                      <w:color w:val="FF0000"/>
                    </w:rPr>
                    <w:t>五渡镇场镇住户</w:t>
                  </w:r>
                </w:p>
              </w:tc>
              <w:tc>
                <w:tcPr>
                  <w:tcW w:w="614" w:type="pct"/>
                  <w:tcBorders>
                    <w:left w:val="single" w:color="auto" w:sz="4" w:space="0"/>
                  </w:tcBorders>
                  <w:vAlign w:val="center"/>
                </w:tcPr>
                <w:p>
                  <w:pPr>
                    <w:pStyle w:val="50"/>
                    <w:rPr>
                      <w:color w:val="FF0000"/>
                    </w:rPr>
                  </w:pPr>
                  <w:r>
                    <w:rPr>
                      <w:rFonts w:hint="eastAsia"/>
                      <w:color w:val="FF0000"/>
                    </w:rPr>
                    <w:t>500人</w:t>
                  </w:r>
                </w:p>
              </w:tc>
              <w:tc>
                <w:tcPr>
                  <w:tcW w:w="477" w:type="pct"/>
                  <w:tcBorders>
                    <w:right w:val="single" w:color="auto" w:sz="4" w:space="0"/>
                  </w:tcBorders>
                  <w:shd w:val="clear" w:color="auto" w:fill="auto"/>
                  <w:vAlign w:val="center"/>
                </w:tcPr>
                <w:p>
                  <w:pPr>
                    <w:pStyle w:val="50"/>
                    <w:rPr>
                      <w:color w:val="FF0000"/>
                    </w:rPr>
                  </w:pPr>
                  <w:r>
                    <w:rPr>
                      <w:rFonts w:hint="eastAsia"/>
                      <w:color w:val="FF0000"/>
                    </w:rPr>
                    <w:t>西北面</w:t>
                  </w:r>
                </w:p>
              </w:tc>
              <w:tc>
                <w:tcPr>
                  <w:tcW w:w="486" w:type="pct"/>
                  <w:tcBorders>
                    <w:left w:val="single" w:color="auto" w:sz="4" w:space="0"/>
                  </w:tcBorders>
                  <w:shd w:val="clear" w:color="auto" w:fill="auto"/>
                  <w:vAlign w:val="center"/>
                </w:tcPr>
                <w:p>
                  <w:pPr>
                    <w:pStyle w:val="50"/>
                    <w:rPr>
                      <w:color w:val="FF0000"/>
                    </w:rPr>
                  </w:pPr>
                  <w:r>
                    <w:rPr>
                      <w:rFonts w:hint="eastAsia"/>
                      <w:color w:val="FF0000"/>
                    </w:rPr>
                    <w:t>80m</w:t>
                  </w:r>
                </w:p>
              </w:tc>
              <w:tc>
                <w:tcPr>
                  <w:tcW w:w="1310" w:type="pct"/>
                  <w:vMerge w:val="restart"/>
                  <w:vAlign w:val="center"/>
                </w:tcPr>
                <w:p>
                  <w:pPr>
                    <w:pStyle w:val="50"/>
                    <w:rPr>
                      <w:color w:val="FF0000"/>
                    </w:rPr>
                  </w:pPr>
                  <w:r>
                    <w:rPr>
                      <w:rFonts w:hint="eastAsia"/>
                      <w:color w:val="FF0000"/>
                    </w:rPr>
                    <w:t>满足（GB3095-2012）中的二级标准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553" w:type="pct"/>
                  <w:vMerge w:val="continue"/>
                  <w:vAlign w:val="center"/>
                </w:tcPr>
                <w:p>
                  <w:pPr>
                    <w:pStyle w:val="50"/>
                    <w:rPr>
                      <w:color w:val="FF0000"/>
                    </w:rPr>
                  </w:pPr>
                </w:p>
              </w:tc>
              <w:tc>
                <w:tcPr>
                  <w:tcW w:w="788" w:type="pct"/>
                  <w:vMerge w:val="continue"/>
                  <w:vAlign w:val="center"/>
                </w:tcPr>
                <w:p>
                  <w:pPr>
                    <w:pStyle w:val="50"/>
                    <w:rPr>
                      <w:color w:val="FF0000"/>
                    </w:rPr>
                  </w:pPr>
                </w:p>
              </w:tc>
              <w:tc>
                <w:tcPr>
                  <w:tcW w:w="772" w:type="pct"/>
                  <w:tcBorders>
                    <w:right w:val="single" w:color="auto" w:sz="4" w:space="0"/>
                  </w:tcBorders>
                  <w:vAlign w:val="center"/>
                </w:tcPr>
                <w:p>
                  <w:pPr>
                    <w:pStyle w:val="50"/>
                    <w:rPr>
                      <w:color w:val="FF0000"/>
                    </w:rPr>
                  </w:pPr>
                  <w:r>
                    <w:rPr>
                      <w:rFonts w:hint="eastAsia"/>
                      <w:color w:val="FF0000"/>
                    </w:rPr>
                    <w:t>刘沟村住户</w:t>
                  </w:r>
                </w:p>
              </w:tc>
              <w:tc>
                <w:tcPr>
                  <w:tcW w:w="614" w:type="pct"/>
                  <w:tcBorders>
                    <w:left w:val="single" w:color="auto" w:sz="4" w:space="0"/>
                  </w:tcBorders>
                  <w:vAlign w:val="center"/>
                </w:tcPr>
                <w:p>
                  <w:pPr>
                    <w:pStyle w:val="50"/>
                    <w:rPr>
                      <w:color w:val="FF0000"/>
                    </w:rPr>
                  </w:pPr>
                  <w:r>
                    <w:rPr>
                      <w:rFonts w:hint="eastAsia"/>
                      <w:color w:val="FF0000"/>
                    </w:rPr>
                    <w:t>50人</w:t>
                  </w:r>
                </w:p>
              </w:tc>
              <w:tc>
                <w:tcPr>
                  <w:tcW w:w="477" w:type="pct"/>
                  <w:tcBorders>
                    <w:right w:val="single" w:color="auto" w:sz="4" w:space="0"/>
                  </w:tcBorders>
                  <w:shd w:val="clear" w:color="auto" w:fill="auto"/>
                  <w:vAlign w:val="center"/>
                </w:tcPr>
                <w:p>
                  <w:pPr>
                    <w:pStyle w:val="50"/>
                    <w:rPr>
                      <w:color w:val="FF0000"/>
                    </w:rPr>
                  </w:pPr>
                  <w:r>
                    <w:rPr>
                      <w:rFonts w:hint="eastAsia"/>
                      <w:color w:val="FF0000"/>
                    </w:rPr>
                    <w:t>北面</w:t>
                  </w:r>
                </w:p>
              </w:tc>
              <w:tc>
                <w:tcPr>
                  <w:tcW w:w="486" w:type="pct"/>
                  <w:tcBorders>
                    <w:left w:val="single" w:color="auto" w:sz="4" w:space="0"/>
                  </w:tcBorders>
                  <w:shd w:val="clear" w:color="auto" w:fill="auto"/>
                  <w:vAlign w:val="center"/>
                </w:tcPr>
                <w:p>
                  <w:pPr>
                    <w:pStyle w:val="50"/>
                    <w:rPr>
                      <w:color w:val="FF0000"/>
                    </w:rPr>
                  </w:pPr>
                  <w:r>
                    <w:rPr>
                      <w:rFonts w:hint="eastAsia"/>
                      <w:color w:val="FF0000"/>
                    </w:rPr>
                    <w:t>300m</w:t>
                  </w:r>
                </w:p>
              </w:tc>
              <w:tc>
                <w:tcPr>
                  <w:tcW w:w="1310" w:type="pct"/>
                  <w:vMerge w:val="continue"/>
                  <w:vAlign w:val="center"/>
                </w:tcPr>
                <w:p>
                  <w:pPr>
                    <w:pStyle w:val="50"/>
                    <w:rPr>
                      <w:color w:val="FF0000"/>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553" w:type="pct"/>
                  <w:vMerge w:val="continue"/>
                  <w:vAlign w:val="center"/>
                </w:tcPr>
                <w:p>
                  <w:pPr>
                    <w:pStyle w:val="50"/>
                    <w:rPr>
                      <w:color w:val="FF0000"/>
                    </w:rPr>
                  </w:pPr>
                </w:p>
              </w:tc>
              <w:tc>
                <w:tcPr>
                  <w:tcW w:w="788" w:type="pct"/>
                  <w:vMerge w:val="continue"/>
                  <w:vAlign w:val="center"/>
                </w:tcPr>
                <w:p>
                  <w:pPr>
                    <w:pStyle w:val="50"/>
                    <w:rPr>
                      <w:color w:val="FF0000"/>
                    </w:rPr>
                  </w:pPr>
                </w:p>
              </w:tc>
              <w:tc>
                <w:tcPr>
                  <w:tcW w:w="772" w:type="pct"/>
                  <w:tcBorders>
                    <w:right w:val="single" w:color="auto" w:sz="4" w:space="0"/>
                  </w:tcBorders>
                  <w:vAlign w:val="center"/>
                </w:tcPr>
                <w:p>
                  <w:pPr>
                    <w:pStyle w:val="50"/>
                    <w:rPr>
                      <w:color w:val="FF0000"/>
                    </w:rPr>
                  </w:pPr>
                  <w:r>
                    <w:rPr>
                      <w:rFonts w:hint="eastAsia"/>
                      <w:color w:val="FF0000"/>
                    </w:rPr>
                    <w:t>散居住户</w:t>
                  </w:r>
                </w:p>
              </w:tc>
              <w:tc>
                <w:tcPr>
                  <w:tcW w:w="614" w:type="pct"/>
                  <w:tcBorders>
                    <w:left w:val="single" w:color="auto" w:sz="4" w:space="0"/>
                  </w:tcBorders>
                  <w:vAlign w:val="center"/>
                </w:tcPr>
                <w:p>
                  <w:pPr>
                    <w:pStyle w:val="50"/>
                    <w:rPr>
                      <w:color w:val="FF0000"/>
                    </w:rPr>
                  </w:pPr>
                  <w:r>
                    <w:rPr>
                      <w:rFonts w:hint="eastAsia"/>
                      <w:color w:val="FF0000"/>
                    </w:rPr>
                    <w:t>18人</w:t>
                  </w:r>
                </w:p>
              </w:tc>
              <w:tc>
                <w:tcPr>
                  <w:tcW w:w="477" w:type="pct"/>
                  <w:tcBorders>
                    <w:right w:val="single" w:color="auto" w:sz="4" w:space="0"/>
                  </w:tcBorders>
                  <w:shd w:val="clear" w:color="auto" w:fill="auto"/>
                  <w:vAlign w:val="center"/>
                </w:tcPr>
                <w:p>
                  <w:pPr>
                    <w:pStyle w:val="50"/>
                    <w:rPr>
                      <w:color w:val="FF0000"/>
                    </w:rPr>
                  </w:pPr>
                  <w:r>
                    <w:rPr>
                      <w:rFonts w:hint="eastAsia"/>
                      <w:color w:val="FF0000"/>
                    </w:rPr>
                    <w:t>西面</w:t>
                  </w:r>
                </w:p>
              </w:tc>
              <w:tc>
                <w:tcPr>
                  <w:tcW w:w="486" w:type="pct"/>
                  <w:tcBorders>
                    <w:left w:val="single" w:color="auto" w:sz="4" w:space="0"/>
                  </w:tcBorders>
                  <w:shd w:val="clear" w:color="auto" w:fill="auto"/>
                  <w:vAlign w:val="center"/>
                </w:tcPr>
                <w:p>
                  <w:pPr>
                    <w:pStyle w:val="50"/>
                    <w:rPr>
                      <w:color w:val="FF0000"/>
                    </w:rPr>
                  </w:pPr>
                  <w:r>
                    <w:rPr>
                      <w:rFonts w:hint="eastAsia"/>
                      <w:color w:val="FF0000"/>
                    </w:rPr>
                    <w:t>55m</w:t>
                  </w:r>
                </w:p>
              </w:tc>
              <w:tc>
                <w:tcPr>
                  <w:tcW w:w="1310" w:type="pct"/>
                  <w:vMerge w:val="continue"/>
                  <w:vAlign w:val="center"/>
                </w:tcPr>
                <w:p>
                  <w:pPr>
                    <w:pStyle w:val="50"/>
                    <w:rPr>
                      <w:color w:val="FF0000"/>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553" w:type="pct"/>
                  <w:vMerge w:val="continue"/>
                  <w:vAlign w:val="center"/>
                </w:tcPr>
                <w:p>
                  <w:pPr>
                    <w:pStyle w:val="50"/>
                    <w:rPr>
                      <w:color w:val="FF0000"/>
                    </w:rPr>
                  </w:pPr>
                </w:p>
              </w:tc>
              <w:tc>
                <w:tcPr>
                  <w:tcW w:w="788" w:type="pct"/>
                  <w:vMerge w:val="restart"/>
                  <w:vAlign w:val="center"/>
                </w:tcPr>
                <w:p>
                  <w:pPr>
                    <w:pStyle w:val="50"/>
                    <w:rPr>
                      <w:color w:val="FF0000"/>
                    </w:rPr>
                  </w:pPr>
                  <w:r>
                    <w:rPr>
                      <w:rFonts w:hint="eastAsia"/>
                      <w:color w:val="FF0000"/>
                    </w:rPr>
                    <w:t>地表水</w:t>
                  </w:r>
                </w:p>
              </w:tc>
              <w:tc>
                <w:tcPr>
                  <w:tcW w:w="772" w:type="pct"/>
                  <w:tcBorders>
                    <w:right w:val="single" w:color="auto" w:sz="4" w:space="0"/>
                  </w:tcBorders>
                  <w:vAlign w:val="center"/>
                </w:tcPr>
                <w:p>
                  <w:pPr>
                    <w:pStyle w:val="50"/>
                    <w:rPr>
                      <w:color w:val="FF0000"/>
                    </w:rPr>
                  </w:pPr>
                  <w:r>
                    <w:rPr>
                      <w:rFonts w:hint="eastAsia"/>
                      <w:color w:val="FF0000"/>
                    </w:rPr>
                    <w:t>大渡河</w:t>
                  </w:r>
                </w:p>
              </w:tc>
              <w:tc>
                <w:tcPr>
                  <w:tcW w:w="614" w:type="pct"/>
                  <w:tcBorders>
                    <w:left w:val="single" w:color="auto" w:sz="4" w:space="0"/>
                  </w:tcBorders>
                  <w:vAlign w:val="center"/>
                </w:tcPr>
                <w:p>
                  <w:pPr>
                    <w:pStyle w:val="50"/>
                    <w:rPr>
                      <w:color w:val="FF0000"/>
                    </w:rPr>
                  </w:pPr>
                  <w:r>
                    <w:rPr>
                      <w:rFonts w:hint="eastAsia"/>
                      <w:color w:val="FF0000"/>
                    </w:rPr>
                    <w:t>大河</w:t>
                  </w:r>
                </w:p>
              </w:tc>
              <w:tc>
                <w:tcPr>
                  <w:tcW w:w="477" w:type="pct"/>
                  <w:tcBorders>
                    <w:right w:val="single" w:color="auto" w:sz="4" w:space="0"/>
                  </w:tcBorders>
                  <w:shd w:val="clear" w:color="auto" w:fill="auto"/>
                  <w:vAlign w:val="center"/>
                </w:tcPr>
                <w:p>
                  <w:pPr>
                    <w:pStyle w:val="50"/>
                    <w:rPr>
                      <w:color w:val="FF0000"/>
                    </w:rPr>
                  </w:pPr>
                  <w:r>
                    <w:rPr>
                      <w:rFonts w:hint="eastAsia"/>
                      <w:color w:val="FF0000"/>
                    </w:rPr>
                    <w:t>东面</w:t>
                  </w:r>
                </w:p>
              </w:tc>
              <w:tc>
                <w:tcPr>
                  <w:tcW w:w="486" w:type="pct"/>
                  <w:tcBorders>
                    <w:left w:val="single" w:color="auto" w:sz="4" w:space="0"/>
                  </w:tcBorders>
                  <w:shd w:val="clear" w:color="auto" w:fill="auto"/>
                  <w:vAlign w:val="center"/>
                </w:tcPr>
                <w:p>
                  <w:pPr>
                    <w:pStyle w:val="50"/>
                    <w:rPr>
                      <w:color w:val="FF0000"/>
                    </w:rPr>
                  </w:pPr>
                  <w:r>
                    <w:rPr>
                      <w:rFonts w:hint="eastAsia"/>
                      <w:color w:val="FF0000"/>
                    </w:rPr>
                    <w:t>紧邻</w:t>
                  </w:r>
                </w:p>
              </w:tc>
              <w:tc>
                <w:tcPr>
                  <w:tcW w:w="1310" w:type="pct"/>
                  <w:vMerge w:val="restart"/>
                  <w:vAlign w:val="center"/>
                </w:tcPr>
                <w:p>
                  <w:pPr>
                    <w:pStyle w:val="50"/>
                    <w:rPr>
                      <w:color w:val="FF0000"/>
                    </w:rPr>
                  </w:pPr>
                  <w:r>
                    <w:rPr>
                      <w:rFonts w:hint="eastAsia"/>
                      <w:color w:val="FF0000"/>
                    </w:rPr>
                    <w:t>满足（GB3838-2002）中</w:t>
                  </w:r>
                  <w:r>
                    <w:rPr>
                      <w:rFonts w:hint="eastAsia" w:ascii="SimSun" w:hAnsi="SimSun"/>
                      <w:color w:val="FF0000"/>
                    </w:rPr>
                    <w:t>Ⅲ</w:t>
                  </w:r>
                  <w:r>
                    <w:rPr>
                      <w:rFonts w:hint="eastAsia"/>
                      <w:color w:val="FF0000"/>
                    </w:rPr>
                    <w:t>类标准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53" w:type="pct"/>
                  <w:vMerge w:val="continue"/>
                  <w:vAlign w:val="center"/>
                </w:tcPr>
                <w:p>
                  <w:pPr>
                    <w:pStyle w:val="50"/>
                    <w:rPr>
                      <w:color w:val="FF0000"/>
                    </w:rPr>
                  </w:pPr>
                </w:p>
              </w:tc>
              <w:tc>
                <w:tcPr>
                  <w:tcW w:w="788" w:type="pct"/>
                  <w:vMerge w:val="continue"/>
                  <w:vAlign w:val="center"/>
                </w:tcPr>
                <w:p>
                  <w:pPr>
                    <w:pStyle w:val="50"/>
                    <w:rPr>
                      <w:color w:val="FF0000"/>
                    </w:rPr>
                  </w:pPr>
                </w:p>
              </w:tc>
              <w:tc>
                <w:tcPr>
                  <w:tcW w:w="772" w:type="pct"/>
                  <w:tcBorders>
                    <w:right w:val="single" w:color="auto" w:sz="4" w:space="0"/>
                  </w:tcBorders>
                  <w:vAlign w:val="center"/>
                </w:tcPr>
                <w:p>
                  <w:pPr>
                    <w:pStyle w:val="50"/>
                    <w:rPr>
                      <w:color w:val="FF0000"/>
                    </w:rPr>
                  </w:pPr>
                  <w:r>
                    <w:rPr>
                      <w:rFonts w:hint="eastAsia"/>
                      <w:color w:val="FF0000"/>
                    </w:rPr>
                    <w:t>柏溪沟</w:t>
                  </w:r>
                </w:p>
              </w:tc>
              <w:tc>
                <w:tcPr>
                  <w:tcW w:w="614" w:type="pct"/>
                  <w:tcBorders>
                    <w:left w:val="single" w:color="auto" w:sz="4" w:space="0"/>
                  </w:tcBorders>
                  <w:vAlign w:val="center"/>
                </w:tcPr>
                <w:p>
                  <w:pPr>
                    <w:pStyle w:val="50"/>
                    <w:rPr>
                      <w:color w:val="FF0000"/>
                    </w:rPr>
                  </w:pPr>
                  <w:r>
                    <w:rPr>
                      <w:rFonts w:hint="eastAsia"/>
                      <w:color w:val="FF0000"/>
                    </w:rPr>
                    <w:t>小河</w:t>
                  </w:r>
                </w:p>
              </w:tc>
              <w:tc>
                <w:tcPr>
                  <w:tcW w:w="477" w:type="pct"/>
                  <w:tcBorders>
                    <w:right w:val="single" w:color="auto" w:sz="4" w:space="0"/>
                  </w:tcBorders>
                  <w:vAlign w:val="center"/>
                </w:tcPr>
                <w:p>
                  <w:pPr>
                    <w:pStyle w:val="50"/>
                    <w:rPr>
                      <w:color w:val="FF0000"/>
                    </w:rPr>
                  </w:pPr>
                  <w:r>
                    <w:rPr>
                      <w:rFonts w:hint="eastAsia"/>
                      <w:color w:val="FF0000"/>
                    </w:rPr>
                    <w:t>东南面</w:t>
                  </w:r>
                </w:p>
              </w:tc>
              <w:tc>
                <w:tcPr>
                  <w:tcW w:w="486" w:type="pct"/>
                  <w:tcBorders>
                    <w:left w:val="single" w:color="auto" w:sz="4" w:space="0"/>
                  </w:tcBorders>
                  <w:vAlign w:val="center"/>
                </w:tcPr>
                <w:p>
                  <w:pPr>
                    <w:pStyle w:val="50"/>
                    <w:rPr>
                      <w:color w:val="FF0000"/>
                    </w:rPr>
                  </w:pPr>
                  <w:r>
                    <w:rPr>
                      <w:rFonts w:hint="eastAsia"/>
                      <w:color w:val="FF0000"/>
                    </w:rPr>
                    <w:t>紧邻</w:t>
                  </w:r>
                </w:p>
              </w:tc>
              <w:tc>
                <w:tcPr>
                  <w:tcW w:w="1310" w:type="pct"/>
                  <w:vMerge w:val="continue"/>
                  <w:vAlign w:val="center"/>
                </w:tcPr>
                <w:p>
                  <w:pPr>
                    <w:pStyle w:val="50"/>
                    <w:rPr>
                      <w:color w:val="FF0000"/>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53" w:type="pct"/>
                  <w:vMerge w:val="continue"/>
                  <w:vAlign w:val="center"/>
                </w:tcPr>
                <w:p>
                  <w:pPr>
                    <w:pStyle w:val="50"/>
                    <w:rPr>
                      <w:color w:val="FF0000"/>
                    </w:rPr>
                  </w:pPr>
                </w:p>
              </w:tc>
              <w:tc>
                <w:tcPr>
                  <w:tcW w:w="788" w:type="pct"/>
                  <w:vMerge w:val="restart"/>
                  <w:vAlign w:val="center"/>
                </w:tcPr>
                <w:p>
                  <w:pPr>
                    <w:pStyle w:val="50"/>
                    <w:rPr>
                      <w:color w:val="FF0000"/>
                    </w:rPr>
                  </w:pPr>
                  <w:r>
                    <w:rPr>
                      <w:rFonts w:hint="eastAsia"/>
                      <w:color w:val="FF0000"/>
                    </w:rPr>
                    <w:t>声环境</w:t>
                  </w:r>
                </w:p>
              </w:tc>
              <w:tc>
                <w:tcPr>
                  <w:tcW w:w="772" w:type="pct"/>
                  <w:tcBorders>
                    <w:right w:val="single" w:color="auto" w:sz="4" w:space="0"/>
                  </w:tcBorders>
                  <w:vAlign w:val="center"/>
                </w:tcPr>
                <w:p>
                  <w:pPr>
                    <w:pStyle w:val="50"/>
                    <w:rPr>
                      <w:color w:val="FF0000"/>
                    </w:rPr>
                  </w:pPr>
                  <w:r>
                    <w:rPr>
                      <w:rFonts w:hint="eastAsia"/>
                      <w:color w:val="FF0000"/>
                    </w:rPr>
                    <w:t>五渡镇场镇住户</w:t>
                  </w:r>
                </w:p>
              </w:tc>
              <w:tc>
                <w:tcPr>
                  <w:tcW w:w="614" w:type="pct"/>
                  <w:tcBorders>
                    <w:left w:val="single" w:color="auto" w:sz="4" w:space="0"/>
                  </w:tcBorders>
                  <w:vAlign w:val="center"/>
                </w:tcPr>
                <w:p>
                  <w:pPr>
                    <w:pStyle w:val="50"/>
                    <w:rPr>
                      <w:color w:val="FF0000"/>
                    </w:rPr>
                  </w:pPr>
                  <w:r>
                    <w:rPr>
                      <w:rFonts w:hint="eastAsia"/>
                      <w:color w:val="FF0000"/>
                    </w:rPr>
                    <w:t>500人</w:t>
                  </w:r>
                </w:p>
              </w:tc>
              <w:tc>
                <w:tcPr>
                  <w:tcW w:w="477" w:type="pct"/>
                  <w:tcBorders>
                    <w:right w:val="single" w:color="auto" w:sz="4" w:space="0"/>
                  </w:tcBorders>
                  <w:vAlign w:val="center"/>
                </w:tcPr>
                <w:p>
                  <w:pPr>
                    <w:pStyle w:val="50"/>
                    <w:rPr>
                      <w:color w:val="FF0000"/>
                    </w:rPr>
                  </w:pPr>
                  <w:r>
                    <w:rPr>
                      <w:rFonts w:hint="eastAsia"/>
                      <w:color w:val="FF0000"/>
                    </w:rPr>
                    <w:t>西北面</w:t>
                  </w:r>
                </w:p>
              </w:tc>
              <w:tc>
                <w:tcPr>
                  <w:tcW w:w="486" w:type="pct"/>
                  <w:tcBorders>
                    <w:left w:val="single" w:color="auto" w:sz="4" w:space="0"/>
                  </w:tcBorders>
                  <w:vAlign w:val="center"/>
                </w:tcPr>
                <w:p>
                  <w:pPr>
                    <w:pStyle w:val="50"/>
                    <w:rPr>
                      <w:color w:val="FF0000"/>
                    </w:rPr>
                  </w:pPr>
                  <w:r>
                    <w:rPr>
                      <w:rFonts w:hint="eastAsia"/>
                      <w:color w:val="FF0000"/>
                    </w:rPr>
                    <w:t>80m</w:t>
                  </w:r>
                </w:p>
              </w:tc>
              <w:tc>
                <w:tcPr>
                  <w:tcW w:w="1310" w:type="pct"/>
                  <w:vMerge w:val="restart"/>
                  <w:vAlign w:val="center"/>
                </w:tcPr>
                <w:p>
                  <w:pPr>
                    <w:pStyle w:val="50"/>
                    <w:rPr>
                      <w:color w:val="FF0000"/>
                    </w:rPr>
                  </w:pPr>
                  <w:r>
                    <w:rPr>
                      <w:rFonts w:hint="eastAsia"/>
                      <w:color w:val="FF0000"/>
                    </w:rPr>
                    <w:t>满足（GB3096-2008）中2类标准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53" w:type="pct"/>
                  <w:vMerge w:val="continue"/>
                  <w:vAlign w:val="center"/>
                </w:tcPr>
                <w:p>
                  <w:pPr>
                    <w:pStyle w:val="50"/>
                    <w:rPr>
                      <w:color w:val="FF0000"/>
                    </w:rPr>
                  </w:pPr>
                </w:p>
              </w:tc>
              <w:tc>
                <w:tcPr>
                  <w:tcW w:w="788" w:type="pct"/>
                  <w:vMerge w:val="continue"/>
                  <w:vAlign w:val="center"/>
                </w:tcPr>
                <w:p>
                  <w:pPr>
                    <w:pStyle w:val="50"/>
                    <w:rPr>
                      <w:color w:val="FF0000"/>
                    </w:rPr>
                  </w:pPr>
                </w:p>
              </w:tc>
              <w:tc>
                <w:tcPr>
                  <w:tcW w:w="772" w:type="pct"/>
                  <w:tcBorders>
                    <w:right w:val="single" w:color="auto" w:sz="4" w:space="0"/>
                  </w:tcBorders>
                  <w:vAlign w:val="center"/>
                </w:tcPr>
                <w:p>
                  <w:pPr>
                    <w:pStyle w:val="50"/>
                    <w:rPr>
                      <w:color w:val="FF0000"/>
                    </w:rPr>
                  </w:pPr>
                  <w:r>
                    <w:rPr>
                      <w:rFonts w:hint="eastAsia"/>
                      <w:color w:val="FF0000"/>
                    </w:rPr>
                    <w:t>散居住户</w:t>
                  </w:r>
                </w:p>
              </w:tc>
              <w:tc>
                <w:tcPr>
                  <w:tcW w:w="614" w:type="pct"/>
                  <w:tcBorders>
                    <w:left w:val="single" w:color="auto" w:sz="4" w:space="0"/>
                  </w:tcBorders>
                  <w:vAlign w:val="center"/>
                </w:tcPr>
                <w:p>
                  <w:pPr>
                    <w:pStyle w:val="50"/>
                    <w:rPr>
                      <w:color w:val="FF0000"/>
                    </w:rPr>
                  </w:pPr>
                  <w:r>
                    <w:rPr>
                      <w:rFonts w:hint="eastAsia"/>
                      <w:color w:val="FF0000"/>
                    </w:rPr>
                    <w:t>18人</w:t>
                  </w:r>
                </w:p>
              </w:tc>
              <w:tc>
                <w:tcPr>
                  <w:tcW w:w="477" w:type="pct"/>
                  <w:tcBorders>
                    <w:right w:val="single" w:color="auto" w:sz="4" w:space="0"/>
                  </w:tcBorders>
                  <w:vAlign w:val="center"/>
                </w:tcPr>
                <w:p>
                  <w:pPr>
                    <w:pStyle w:val="50"/>
                    <w:rPr>
                      <w:color w:val="FF0000"/>
                    </w:rPr>
                  </w:pPr>
                  <w:r>
                    <w:rPr>
                      <w:rFonts w:hint="eastAsia"/>
                      <w:color w:val="FF0000"/>
                    </w:rPr>
                    <w:t>西面</w:t>
                  </w:r>
                </w:p>
              </w:tc>
              <w:tc>
                <w:tcPr>
                  <w:tcW w:w="486" w:type="pct"/>
                  <w:tcBorders>
                    <w:left w:val="single" w:color="auto" w:sz="4" w:space="0"/>
                  </w:tcBorders>
                  <w:vAlign w:val="center"/>
                </w:tcPr>
                <w:p>
                  <w:pPr>
                    <w:pStyle w:val="50"/>
                    <w:rPr>
                      <w:color w:val="FF0000"/>
                    </w:rPr>
                  </w:pPr>
                  <w:r>
                    <w:rPr>
                      <w:rFonts w:hint="eastAsia"/>
                      <w:color w:val="FF0000"/>
                    </w:rPr>
                    <w:t>55m</w:t>
                  </w:r>
                </w:p>
              </w:tc>
              <w:tc>
                <w:tcPr>
                  <w:tcW w:w="1310" w:type="pct"/>
                  <w:vMerge w:val="continue"/>
                  <w:vAlign w:val="center"/>
                </w:tcPr>
                <w:p>
                  <w:pPr>
                    <w:pStyle w:val="50"/>
                    <w:rPr>
                      <w:color w:val="FF0000"/>
                    </w:rPr>
                  </w:pPr>
                </w:p>
              </w:tc>
            </w:tr>
          </w:tbl>
          <w:p>
            <w:pPr>
              <w:keepNext/>
              <w:spacing w:line="360" w:lineRule="auto"/>
              <w:rPr>
                <w:rFonts w:ascii="SimSun" w:hAnsi="SimSun"/>
                <w:sz w:val="24"/>
              </w:rPr>
            </w:pPr>
          </w:p>
        </w:tc>
      </w:tr>
    </w:tbl>
    <w:p>
      <w:pPr>
        <w:pStyle w:val="2"/>
      </w:pPr>
      <w:r>
        <w:br w:type="page"/>
      </w:r>
      <w:bookmarkStart w:id="7" w:name="_Toc496518916"/>
      <w:bookmarkStart w:id="8" w:name="_Toc34472024"/>
      <w:r>
        <w:rPr>
          <w:rFonts w:hint="eastAsia"/>
        </w:rPr>
        <w:t>表四评价适用标准</w:t>
      </w:r>
      <w:bookmarkEnd w:id="7"/>
      <w:bookmarkEnd w:id="8"/>
    </w:p>
    <w:tbl>
      <w:tblPr>
        <w:tblStyle w:val="25"/>
        <w:tblW w:w="928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3"/>
        <w:gridCol w:w="84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43" w:type="dxa"/>
            <w:vAlign w:val="center"/>
          </w:tcPr>
          <w:p>
            <w:pPr>
              <w:spacing w:line="360" w:lineRule="auto"/>
              <w:ind w:firstLine="240" w:firstLineChars="100"/>
              <w:rPr>
                <w:rFonts w:ascii="SimSun" w:hAnsi="SimSun"/>
                <w:sz w:val="24"/>
              </w:rPr>
            </w:pPr>
          </w:p>
          <w:p>
            <w:pPr>
              <w:spacing w:line="360" w:lineRule="auto"/>
              <w:ind w:firstLine="240" w:firstLineChars="100"/>
              <w:rPr>
                <w:rFonts w:ascii="SimSun" w:hAnsi="SimSun"/>
                <w:sz w:val="24"/>
              </w:rPr>
            </w:pPr>
          </w:p>
          <w:p>
            <w:pPr>
              <w:spacing w:line="360" w:lineRule="auto"/>
              <w:ind w:firstLine="240" w:firstLineChars="100"/>
              <w:rPr>
                <w:rFonts w:ascii="SimSun" w:hAnsi="SimSun"/>
                <w:sz w:val="24"/>
              </w:rPr>
            </w:pPr>
          </w:p>
          <w:p>
            <w:pPr>
              <w:spacing w:line="360" w:lineRule="auto"/>
              <w:ind w:firstLine="180" w:firstLineChars="75"/>
              <w:rPr>
                <w:rFonts w:ascii="SimSun" w:hAnsi="SimSun"/>
                <w:sz w:val="24"/>
              </w:rPr>
            </w:pPr>
            <w:r>
              <w:rPr>
                <w:rFonts w:hint="eastAsia" w:ascii="SimSun" w:hAnsi="SimSun"/>
                <w:sz w:val="24"/>
              </w:rPr>
              <w:t>环</w:t>
            </w:r>
          </w:p>
          <w:p>
            <w:pPr>
              <w:spacing w:line="360" w:lineRule="auto"/>
              <w:jc w:val="center"/>
              <w:rPr>
                <w:rFonts w:ascii="SimSun" w:hAnsi="SimSun"/>
                <w:sz w:val="24"/>
              </w:rPr>
            </w:pPr>
            <w:r>
              <w:rPr>
                <w:rFonts w:hint="eastAsia" w:ascii="SimSun" w:hAnsi="SimSun"/>
                <w:sz w:val="24"/>
              </w:rPr>
              <w:t>境</w:t>
            </w:r>
          </w:p>
          <w:p>
            <w:pPr>
              <w:spacing w:line="360" w:lineRule="auto"/>
              <w:jc w:val="center"/>
              <w:rPr>
                <w:rFonts w:ascii="SimSun" w:hAnsi="SimSun"/>
                <w:sz w:val="24"/>
              </w:rPr>
            </w:pPr>
            <w:r>
              <w:rPr>
                <w:rFonts w:hint="eastAsia" w:ascii="SimSun" w:hAnsi="SimSun"/>
                <w:sz w:val="24"/>
              </w:rPr>
              <w:t>质</w:t>
            </w:r>
          </w:p>
          <w:p>
            <w:pPr>
              <w:spacing w:line="360" w:lineRule="auto"/>
              <w:jc w:val="center"/>
              <w:rPr>
                <w:rFonts w:ascii="SimSun" w:hAnsi="SimSun"/>
                <w:sz w:val="24"/>
              </w:rPr>
            </w:pPr>
            <w:r>
              <w:rPr>
                <w:rFonts w:hint="eastAsia" w:ascii="SimSun" w:hAnsi="SimSun"/>
                <w:sz w:val="24"/>
              </w:rPr>
              <w:t>量</w:t>
            </w:r>
          </w:p>
          <w:p>
            <w:pPr>
              <w:spacing w:line="360" w:lineRule="auto"/>
              <w:jc w:val="center"/>
              <w:rPr>
                <w:rFonts w:ascii="SimSun" w:hAnsi="SimSun"/>
                <w:sz w:val="24"/>
              </w:rPr>
            </w:pPr>
            <w:r>
              <w:rPr>
                <w:rFonts w:hint="eastAsia" w:ascii="SimSun" w:hAnsi="SimSun"/>
                <w:sz w:val="24"/>
              </w:rPr>
              <w:t>标</w:t>
            </w:r>
          </w:p>
          <w:p>
            <w:pPr>
              <w:spacing w:line="360" w:lineRule="auto"/>
              <w:jc w:val="center"/>
              <w:rPr>
                <w:rFonts w:ascii="SimSun" w:hAnsi="SimSun"/>
                <w:sz w:val="24"/>
              </w:rPr>
            </w:pPr>
            <w:r>
              <w:rPr>
                <w:rFonts w:hint="eastAsia" w:ascii="SimSun" w:hAnsi="SimSun"/>
                <w:sz w:val="24"/>
              </w:rPr>
              <w:t>准</w:t>
            </w: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tc>
        <w:tc>
          <w:tcPr>
            <w:tcW w:w="8445" w:type="dxa"/>
            <w:vAlign w:val="center"/>
          </w:tcPr>
          <w:p>
            <w:pPr>
              <w:pStyle w:val="37"/>
              <w:ind w:firstLine="480"/>
            </w:pPr>
            <w:r>
              <w:pict>
                <v:line id="Line 3" o:spid="_x0000_s1038" o:spt="20" style="position:absolute;left:0pt;margin-left:157.5pt;margin-top:70.2pt;height:0pt;width:0pt;z-index:251656192;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">
                  <v:path arrowok="t"/>
                  <v:fill focussize="0,0"/>
                  <v:stroke/>
                  <v:imagedata o:title=""/>
                  <o:lock v:ext="edit"/>
                </v:line>
              </w:pict>
            </w:r>
            <w:r>
              <w:pict>
                <v:line id="Line 2" o:spid="_x0000_s1037" o:spt="20" style="position:absolute;left:0pt;margin-left:136.5pt;margin-top:54.6pt;height:0pt;width:0pt;z-index:251655168;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">
                  <v:path arrowok="t"/>
                  <v:fill focussize="0,0"/>
                  <v:stroke/>
                  <v:imagedata o:title=""/>
                  <o:lock v:ext="edit"/>
                </v:line>
              </w:pict>
            </w:r>
            <w:r>
              <w:rPr>
                <w:rFonts w:hint="eastAsia"/>
              </w:rPr>
              <w:t>1、环境空气质量</w:t>
            </w:r>
          </w:p>
          <w:p>
            <w:pPr>
              <w:pStyle w:val="37"/>
              <w:ind w:firstLine="480"/>
            </w:pPr>
            <w:r>
              <w:rPr>
                <w:rFonts w:hint="eastAsia"/>
              </w:rPr>
              <w:t>执行国家《环境空气质量标准》（GB3095-2012）中二级标准。见表4-1：</w:t>
            </w:r>
          </w:p>
          <w:p>
            <w:pPr>
              <w:pStyle w:val="36"/>
            </w:pPr>
            <w:r>
              <w:rPr>
                <w:rFonts w:hint="eastAsia"/>
              </w:rPr>
              <w:t>表4-1环境空气污染物基本项目浓度限值单位：</w:t>
            </w:r>
            <w:r>
              <w:rPr>
                <w:rFonts w:cs="Times New Roman"/>
              </w:rPr>
              <w:t>μ</w:t>
            </w:r>
            <w:r>
              <w:t>g</w:t>
            </w:r>
            <w:r>
              <w:rPr>
                <w:rFonts w:hint="eastAsia"/>
              </w:rPr>
              <w:t>/N</w:t>
            </w:r>
            <w:r>
              <w:t>m</w:t>
            </w:r>
            <w:r>
              <w:rPr>
                <w:vertAlign w:val="superscript"/>
              </w:rPr>
              <w:t>3</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091"/>
              <w:gridCol w:w="815"/>
              <w:gridCol w:w="866"/>
              <w:gridCol w:w="968"/>
              <w:gridCol w:w="1021"/>
              <w:gridCol w:w="746"/>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840" w:type="pct"/>
                  <w:gridSpan w:val="2"/>
                  <w:vAlign w:val="center"/>
                </w:tcPr>
                <w:p>
                  <w:pPr>
                    <w:pStyle w:val="47"/>
                  </w:pPr>
                  <w:r>
                    <w:rPr>
                      <w:rFonts w:hint="eastAsia"/>
                    </w:rPr>
                    <w:t>污染物名称</w:t>
                  </w:r>
                </w:p>
              </w:tc>
              <w:tc>
                <w:tcPr>
                  <w:tcW w:w="496" w:type="pct"/>
                  <w:vAlign w:val="center"/>
                </w:tcPr>
                <w:p>
                  <w:pPr>
                    <w:pStyle w:val="47"/>
                  </w:pPr>
                  <w:r>
                    <w:t>SO</w:t>
                  </w:r>
                  <w:r>
                    <w:rPr>
                      <w:vertAlign w:val="subscript"/>
                    </w:rPr>
                    <w:t>2</w:t>
                  </w:r>
                </w:p>
              </w:tc>
              <w:tc>
                <w:tcPr>
                  <w:tcW w:w="527" w:type="pct"/>
                  <w:vAlign w:val="center"/>
                </w:tcPr>
                <w:p>
                  <w:pPr>
                    <w:pStyle w:val="47"/>
                  </w:pPr>
                  <w:r>
                    <w:t>NO</w:t>
                  </w:r>
                  <w:r>
                    <w:rPr>
                      <w:vertAlign w:val="subscript"/>
                    </w:rPr>
                    <w:t>2</w:t>
                  </w:r>
                </w:p>
              </w:tc>
              <w:tc>
                <w:tcPr>
                  <w:tcW w:w="589" w:type="pct"/>
                  <w:vAlign w:val="center"/>
                </w:tcPr>
                <w:p>
                  <w:pPr>
                    <w:pStyle w:val="47"/>
                  </w:pPr>
                  <w:r>
                    <w:t>PM</w:t>
                  </w:r>
                  <w:r>
                    <w:rPr>
                      <w:vertAlign w:val="subscript"/>
                    </w:rPr>
                    <w:t>10</w:t>
                  </w:r>
                </w:p>
              </w:tc>
              <w:tc>
                <w:tcPr>
                  <w:tcW w:w="621" w:type="pct"/>
                  <w:vAlign w:val="center"/>
                </w:tcPr>
                <w:p>
                  <w:pPr>
                    <w:pStyle w:val="47"/>
                  </w:pPr>
                  <w:r>
                    <w:rPr>
                      <w:rFonts w:hint="eastAsia"/>
                    </w:rPr>
                    <w:t>PM</w:t>
                  </w:r>
                  <w:r>
                    <w:rPr>
                      <w:rFonts w:hint="eastAsia"/>
                      <w:vertAlign w:val="subscript"/>
                    </w:rPr>
                    <w:t>2.5</w:t>
                  </w:r>
                </w:p>
              </w:tc>
              <w:tc>
                <w:tcPr>
                  <w:tcW w:w="454" w:type="pct"/>
                  <w:vAlign w:val="center"/>
                </w:tcPr>
                <w:p>
                  <w:pPr>
                    <w:pStyle w:val="47"/>
                  </w:pPr>
                  <w:r>
                    <w:rPr>
                      <w:rFonts w:hint="eastAsia"/>
                    </w:rPr>
                    <w:t>CO</w:t>
                  </w:r>
                </w:p>
              </w:tc>
              <w:tc>
                <w:tcPr>
                  <w:tcW w:w="474" w:type="pct"/>
                  <w:vAlign w:val="center"/>
                </w:tcPr>
                <w:p>
                  <w:pPr>
                    <w:pStyle w:val="47"/>
                  </w:pPr>
                  <w:r>
                    <w:rPr>
                      <w:rFonts w:hint="eastAsia"/>
                    </w:rPr>
                    <w:t>O</w:t>
                  </w:r>
                  <w:r>
                    <w:rPr>
                      <w:rFonts w:hint="eastAsia"/>
                      <w:vertAlign w:val="sub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trPr>
              <w:tc>
                <w:tcPr>
                  <w:tcW w:w="568" w:type="pct"/>
                  <w:vMerge w:val="restart"/>
                  <w:vAlign w:val="center"/>
                </w:tcPr>
                <w:p>
                  <w:pPr>
                    <w:pStyle w:val="47"/>
                  </w:pPr>
                  <w:r>
                    <w:t>取值</w:t>
                  </w:r>
                </w:p>
                <w:p>
                  <w:pPr>
                    <w:pStyle w:val="47"/>
                  </w:pPr>
                  <w:r>
                    <w:rPr>
                      <w:rFonts w:hint="eastAsia"/>
                    </w:rPr>
                    <w:t>时间</w:t>
                  </w:r>
                </w:p>
              </w:tc>
              <w:tc>
                <w:tcPr>
                  <w:tcW w:w="1272" w:type="pct"/>
                  <w:vAlign w:val="center"/>
                </w:tcPr>
                <w:p>
                  <w:pPr>
                    <w:pStyle w:val="47"/>
                  </w:pPr>
                  <w:r>
                    <w:t>1小时平均值</w:t>
                  </w:r>
                </w:p>
              </w:tc>
              <w:tc>
                <w:tcPr>
                  <w:tcW w:w="496" w:type="pct"/>
                  <w:vAlign w:val="center"/>
                </w:tcPr>
                <w:p>
                  <w:pPr>
                    <w:pStyle w:val="47"/>
                  </w:pPr>
                  <w:r>
                    <w:rPr>
                      <w:rFonts w:hint="eastAsia"/>
                    </w:rPr>
                    <w:t>500</w:t>
                  </w:r>
                </w:p>
              </w:tc>
              <w:tc>
                <w:tcPr>
                  <w:tcW w:w="527" w:type="pct"/>
                  <w:vAlign w:val="center"/>
                </w:tcPr>
                <w:p>
                  <w:pPr>
                    <w:pStyle w:val="47"/>
                  </w:pPr>
                  <w:r>
                    <w:rPr>
                      <w:rFonts w:hint="eastAsia"/>
                    </w:rPr>
                    <w:t>200</w:t>
                  </w:r>
                </w:p>
              </w:tc>
              <w:tc>
                <w:tcPr>
                  <w:tcW w:w="589" w:type="pct"/>
                  <w:vAlign w:val="center"/>
                </w:tcPr>
                <w:p>
                  <w:pPr>
                    <w:pStyle w:val="47"/>
                  </w:pPr>
                  <w:r>
                    <w:t>/</w:t>
                  </w:r>
                </w:p>
              </w:tc>
              <w:tc>
                <w:tcPr>
                  <w:tcW w:w="621" w:type="pct"/>
                  <w:vAlign w:val="center"/>
                </w:tcPr>
                <w:p>
                  <w:pPr>
                    <w:pStyle w:val="47"/>
                  </w:pPr>
                  <w:r>
                    <w:rPr>
                      <w:rFonts w:hint="eastAsia"/>
                    </w:rPr>
                    <w:t>/</w:t>
                  </w:r>
                </w:p>
              </w:tc>
              <w:tc>
                <w:tcPr>
                  <w:tcW w:w="454" w:type="pct"/>
                  <w:vAlign w:val="center"/>
                </w:tcPr>
                <w:p>
                  <w:pPr>
                    <w:pStyle w:val="47"/>
                  </w:pPr>
                  <w:r>
                    <w:rPr>
                      <w:rFonts w:hint="eastAsia"/>
                    </w:rPr>
                    <w:t>10</w:t>
                  </w:r>
                </w:p>
              </w:tc>
              <w:tc>
                <w:tcPr>
                  <w:tcW w:w="474" w:type="pct"/>
                  <w:vAlign w:val="center"/>
                </w:tcPr>
                <w:p>
                  <w:pPr>
                    <w:pStyle w:val="47"/>
                  </w:pPr>
                  <w:r>
                    <w:rPr>
                      <w:rFonts w:hint="eastAsia"/>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trPr>
              <w:tc>
                <w:tcPr>
                  <w:tcW w:w="568" w:type="pct"/>
                  <w:vMerge w:val="continue"/>
                  <w:vAlign w:val="center"/>
                </w:tcPr>
                <w:p>
                  <w:pPr>
                    <w:pStyle w:val="47"/>
                  </w:pPr>
                </w:p>
              </w:tc>
              <w:tc>
                <w:tcPr>
                  <w:tcW w:w="1272" w:type="pct"/>
                  <w:vAlign w:val="center"/>
                </w:tcPr>
                <w:p>
                  <w:pPr>
                    <w:pStyle w:val="47"/>
                  </w:pPr>
                  <w:r>
                    <w:t>日平均值</w:t>
                  </w:r>
                </w:p>
              </w:tc>
              <w:tc>
                <w:tcPr>
                  <w:tcW w:w="496" w:type="pct"/>
                  <w:vAlign w:val="center"/>
                </w:tcPr>
                <w:p>
                  <w:pPr>
                    <w:pStyle w:val="47"/>
                  </w:pPr>
                  <w:r>
                    <w:rPr>
                      <w:rFonts w:hint="eastAsia"/>
                    </w:rPr>
                    <w:t>150</w:t>
                  </w:r>
                </w:p>
              </w:tc>
              <w:tc>
                <w:tcPr>
                  <w:tcW w:w="527" w:type="pct"/>
                  <w:vAlign w:val="center"/>
                </w:tcPr>
                <w:p>
                  <w:pPr>
                    <w:pStyle w:val="47"/>
                  </w:pPr>
                  <w:r>
                    <w:rPr>
                      <w:rFonts w:hint="eastAsia"/>
                    </w:rPr>
                    <w:t>80</w:t>
                  </w:r>
                </w:p>
              </w:tc>
              <w:tc>
                <w:tcPr>
                  <w:tcW w:w="589" w:type="pct"/>
                  <w:vAlign w:val="center"/>
                </w:tcPr>
                <w:p>
                  <w:pPr>
                    <w:pStyle w:val="47"/>
                  </w:pPr>
                  <w:r>
                    <w:rPr>
                      <w:rFonts w:hint="eastAsia"/>
                    </w:rPr>
                    <w:t>150</w:t>
                  </w:r>
                </w:p>
              </w:tc>
              <w:tc>
                <w:tcPr>
                  <w:tcW w:w="621" w:type="pct"/>
                  <w:vAlign w:val="center"/>
                </w:tcPr>
                <w:p>
                  <w:pPr>
                    <w:pStyle w:val="47"/>
                  </w:pPr>
                  <w:r>
                    <w:rPr>
                      <w:rFonts w:hint="eastAsia"/>
                    </w:rPr>
                    <w:t>75</w:t>
                  </w:r>
                </w:p>
              </w:tc>
              <w:tc>
                <w:tcPr>
                  <w:tcW w:w="454" w:type="pct"/>
                  <w:vAlign w:val="center"/>
                </w:tcPr>
                <w:p>
                  <w:pPr>
                    <w:pStyle w:val="47"/>
                  </w:pPr>
                  <w:r>
                    <w:rPr>
                      <w:rFonts w:hint="eastAsia"/>
                    </w:rPr>
                    <w:t>4</w:t>
                  </w:r>
                </w:p>
              </w:tc>
              <w:tc>
                <w:tcPr>
                  <w:tcW w:w="474" w:type="pct"/>
                  <w:vAlign w:val="center"/>
                </w:tcPr>
                <w:p>
                  <w:pPr>
                    <w:pStyle w:val="47"/>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trPr>
              <w:tc>
                <w:tcPr>
                  <w:tcW w:w="568" w:type="pct"/>
                  <w:vMerge w:val="continue"/>
                  <w:vAlign w:val="center"/>
                </w:tcPr>
                <w:p>
                  <w:pPr>
                    <w:pStyle w:val="47"/>
                  </w:pPr>
                </w:p>
              </w:tc>
              <w:tc>
                <w:tcPr>
                  <w:tcW w:w="1272" w:type="pct"/>
                  <w:vAlign w:val="center"/>
                </w:tcPr>
                <w:p>
                  <w:pPr>
                    <w:pStyle w:val="47"/>
                  </w:pPr>
                  <w:r>
                    <w:t>年平均</w:t>
                  </w:r>
                </w:p>
              </w:tc>
              <w:tc>
                <w:tcPr>
                  <w:tcW w:w="496" w:type="pct"/>
                  <w:vAlign w:val="center"/>
                </w:tcPr>
                <w:p>
                  <w:pPr>
                    <w:pStyle w:val="47"/>
                  </w:pPr>
                  <w:r>
                    <w:rPr>
                      <w:rFonts w:hint="eastAsia"/>
                    </w:rPr>
                    <w:t>60</w:t>
                  </w:r>
                </w:p>
              </w:tc>
              <w:tc>
                <w:tcPr>
                  <w:tcW w:w="527" w:type="pct"/>
                  <w:vAlign w:val="center"/>
                </w:tcPr>
                <w:p>
                  <w:pPr>
                    <w:pStyle w:val="47"/>
                  </w:pPr>
                  <w:r>
                    <w:rPr>
                      <w:rFonts w:hint="eastAsia"/>
                    </w:rPr>
                    <w:t>40</w:t>
                  </w:r>
                </w:p>
              </w:tc>
              <w:tc>
                <w:tcPr>
                  <w:tcW w:w="589" w:type="pct"/>
                  <w:vAlign w:val="center"/>
                </w:tcPr>
                <w:p>
                  <w:pPr>
                    <w:pStyle w:val="47"/>
                  </w:pPr>
                  <w:r>
                    <w:rPr>
                      <w:rFonts w:hint="eastAsia"/>
                    </w:rPr>
                    <w:t>70</w:t>
                  </w:r>
                </w:p>
              </w:tc>
              <w:tc>
                <w:tcPr>
                  <w:tcW w:w="621" w:type="pct"/>
                  <w:vAlign w:val="center"/>
                </w:tcPr>
                <w:p>
                  <w:pPr>
                    <w:pStyle w:val="47"/>
                  </w:pPr>
                  <w:r>
                    <w:rPr>
                      <w:rFonts w:hint="eastAsia"/>
                    </w:rPr>
                    <w:t>35</w:t>
                  </w:r>
                </w:p>
              </w:tc>
              <w:tc>
                <w:tcPr>
                  <w:tcW w:w="454" w:type="pct"/>
                  <w:vAlign w:val="center"/>
                </w:tcPr>
                <w:p>
                  <w:pPr>
                    <w:pStyle w:val="47"/>
                  </w:pPr>
                  <w:r>
                    <w:rPr>
                      <w:rFonts w:hint="eastAsia"/>
                    </w:rPr>
                    <w:t>/</w:t>
                  </w:r>
                </w:p>
              </w:tc>
              <w:tc>
                <w:tcPr>
                  <w:tcW w:w="474" w:type="pct"/>
                  <w:vAlign w:val="center"/>
                </w:tcPr>
                <w:p>
                  <w:pPr>
                    <w:pStyle w:val="47"/>
                  </w:pPr>
                  <w:r>
                    <w:rPr>
                      <w:rFonts w:hint="eastAsia"/>
                    </w:rPr>
                    <w:t>/</w:t>
                  </w:r>
                </w:p>
              </w:tc>
            </w:tr>
          </w:tbl>
          <w:p>
            <w:pPr>
              <w:pStyle w:val="37"/>
              <w:ind w:firstLine="480"/>
            </w:pPr>
            <w:r>
              <w:rPr>
                <w:rFonts w:hint="eastAsia"/>
              </w:rPr>
              <w:t>2、地表水环境质量</w:t>
            </w:r>
          </w:p>
          <w:p>
            <w:pPr>
              <w:pStyle w:val="37"/>
              <w:ind w:firstLine="480"/>
            </w:pPr>
            <w:r>
              <w:rPr>
                <w:rFonts w:hint="eastAsia"/>
              </w:rPr>
              <w:t>执行国家《地表水环境质量标准》（GB3838-200</w:t>
            </w:r>
            <w:r>
              <w:t>2</w:t>
            </w:r>
            <w:r>
              <w:rPr>
                <w:rFonts w:hint="eastAsia"/>
              </w:rPr>
              <w:t>）中Ⅲ类水域标准。见下表：</w:t>
            </w:r>
          </w:p>
          <w:p>
            <w:pPr>
              <w:pStyle w:val="36"/>
            </w:pPr>
            <w:r>
              <w:rPr>
                <w:rFonts w:hint="eastAsia"/>
              </w:rPr>
              <w:t>表4-2 地表水环境质量标准单位：mg/l</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940"/>
              <w:gridCol w:w="648"/>
              <w:gridCol w:w="1107"/>
              <w:gridCol w:w="1051"/>
              <w:gridCol w:w="1167"/>
              <w:gridCol w:w="1006"/>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95" w:type="pct"/>
                  <w:vAlign w:val="center"/>
                </w:tcPr>
                <w:p>
                  <w:pPr>
                    <w:pStyle w:val="47"/>
                  </w:pPr>
                  <w:r>
                    <w:rPr>
                      <w:rFonts w:hint="eastAsia"/>
                    </w:rPr>
                    <w:t>项目</w:t>
                  </w:r>
                </w:p>
              </w:tc>
              <w:tc>
                <w:tcPr>
                  <w:tcW w:w="572" w:type="pct"/>
                  <w:vAlign w:val="center"/>
                </w:tcPr>
                <w:p>
                  <w:pPr>
                    <w:pStyle w:val="50"/>
                    <w:rPr>
                      <w:rFonts w:cs="SimSun"/>
                    </w:rPr>
                  </w:pPr>
                  <w:r>
                    <w:rPr>
                      <w:rFonts w:cs="SimSun"/>
                    </w:rPr>
                    <w:t>pH(无量纲)</w:t>
                  </w:r>
                </w:p>
              </w:tc>
              <w:tc>
                <w:tcPr>
                  <w:tcW w:w="394" w:type="pct"/>
                  <w:vAlign w:val="center"/>
                </w:tcPr>
                <w:p>
                  <w:pPr>
                    <w:pStyle w:val="47"/>
                  </w:pPr>
                  <w:r>
                    <w:rPr>
                      <w:rFonts w:hint="eastAsia"/>
                    </w:rPr>
                    <w:t>S</w:t>
                  </w:r>
                  <w:r>
                    <w:t>S</w:t>
                  </w:r>
                </w:p>
              </w:tc>
              <w:tc>
                <w:tcPr>
                  <w:tcW w:w="673" w:type="pct"/>
                  <w:vAlign w:val="center"/>
                </w:tcPr>
                <w:p>
                  <w:pPr>
                    <w:pStyle w:val="47"/>
                  </w:pPr>
                  <w:r>
                    <w:t>COD</w:t>
                  </w:r>
                  <w:r>
                    <w:rPr>
                      <w:vertAlign w:val="subscript"/>
                    </w:rPr>
                    <w:t>cr</w:t>
                  </w:r>
                </w:p>
              </w:tc>
              <w:tc>
                <w:tcPr>
                  <w:tcW w:w="639" w:type="pct"/>
                  <w:vAlign w:val="center"/>
                </w:tcPr>
                <w:p>
                  <w:pPr>
                    <w:pStyle w:val="47"/>
                  </w:pPr>
                  <w:r>
                    <w:t>BOD</w:t>
                  </w:r>
                  <w:r>
                    <w:rPr>
                      <w:vertAlign w:val="subscript"/>
                    </w:rPr>
                    <w:t>5</w:t>
                  </w:r>
                </w:p>
              </w:tc>
              <w:tc>
                <w:tcPr>
                  <w:tcW w:w="710" w:type="pct"/>
                  <w:vAlign w:val="center"/>
                </w:tcPr>
                <w:p>
                  <w:pPr>
                    <w:pStyle w:val="47"/>
                  </w:pPr>
                  <w:r>
                    <w:t>NH</w:t>
                  </w:r>
                  <w:r>
                    <w:rPr>
                      <w:vertAlign w:val="subscript"/>
                    </w:rPr>
                    <w:t>3</w:t>
                  </w:r>
                  <w:r>
                    <w:t>-N</w:t>
                  </w:r>
                </w:p>
              </w:tc>
              <w:tc>
                <w:tcPr>
                  <w:tcW w:w="612" w:type="pct"/>
                  <w:vAlign w:val="center"/>
                </w:tcPr>
                <w:p>
                  <w:pPr>
                    <w:pStyle w:val="47"/>
                  </w:pPr>
                  <w:r>
                    <w:rPr>
                      <w:rFonts w:hint="eastAsia"/>
                    </w:rPr>
                    <w:t>石油类</w:t>
                  </w:r>
                </w:p>
              </w:tc>
              <w:tc>
                <w:tcPr>
                  <w:tcW w:w="704" w:type="pct"/>
                  <w:vAlign w:val="center"/>
                </w:tcPr>
                <w:p>
                  <w:pPr>
                    <w:pStyle w:val="47"/>
                  </w:pPr>
                  <w:r>
                    <w:rPr>
                      <w:rFonts w:hint="eastAsia"/>
                    </w:rPr>
                    <w:t>挥发酚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pct"/>
                  <w:vAlign w:val="center"/>
                </w:tcPr>
                <w:p>
                  <w:pPr>
                    <w:pStyle w:val="47"/>
                  </w:pPr>
                  <w:r>
                    <w:t>标准值</w:t>
                  </w:r>
                </w:p>
              </w:tc>
              <w:tc>
                <w:tcPr>
                  <w:tcW w:w="572" w:type="pct"/>
                  <w:vAlign w:val="center"/>
                </w:tcPr>
                <w:p>
                  <w:pPr>
                    <w:pStyle w:val="47"/>
                  </w:pPr>
                  <w:r>
                    <w:rPr>
                      <w:bCs/>
                    </w:rPr>
                    <w:t>6～9</w:t>
                  </w:r>
                </w:p>
              </w:tc>
              <w:tc>
                <w:tcPr>
                  <w:tcW w:w="394" w:type="pct"/>
                  <w:vAlign w:val="center"/>
                </w:tcPr>
                <w:p>
                  <w:pPr>
                    <w:pStyle w:val="47"/>
                  </w:pPr>
                  <w:r>
                    <w:t>/</w:t>
                  </w:r>
                </w:p>
              </w:tc>
              <w:tc>
                <w:tcPr>
                  <w:tcW w:w="673" w:type="pct"/>
                  <w:vAlign w:val="center"/>
                </w:tcPr>
                <w:p>
                  <w:pPr>
                    <w:pStyle w:val="47"/>
                  </w:pPr>
                  <w:r>
                    <w:t>≤20</w:t>
                  </w:r>
                </w:p>
              </w:tc>
              <w:tc>
                <w:tcPr>
                  <w:tcW w:w="639" w:type="pct"/>
                  <w:vAlign w:val="center"/>
                </w:tcPr>
                <w:p>
                  <w:pPr>
                    <w:pStyle w:val="47"/>
                  </w:pPr>
                  <w:r>
                    <w:t>≤4</w:t>
                  </w:r>
                </w:p>
              </w:tc>
              <w:tc>
                <w:tcPr>
                  <w:tcW w:w="710" w:type="pct"/>
                  <w:vAlign w:val="center"/>
                </w:tcPr>
                <w:p>
                  <w:pPr>
                    <w:pStyle w:val="47"/>
                  </w:pPr>
                  <w:r>
                    <w:t>≤1.0</w:t>
                  </w:r>
                </w:p>
              </w:tc>
              <w:tc>
                <w:tcPr>
                  <w:tcW w:w="612" w:type="pct"/>
                  <w:vAlign w:val="center"/>
                </w:tcPr>
                <w:p>
                  <w:pPr>
                    <w:pStyle w:val="47"/>
                  </w:pPr>
                  <w:r>
                    <w:t>≤</w:t>
                  </w:r>
                  <w:r>
                    <w:rPr>
                      <w:rFonts w:hint="eastAsia"/>
                    </w:rPr>
                    <w:t>0.05</w:t>
                  </w:r>
                </w:p>
              </w:tc>
              <w:tc>
                <w:tcPr>
                  <w:tcW w:w="704" w:type="pct"/>
                  <w:vAlign w:val="center"/>
                </w:tcPr>
                <w:p>
                  <w:pPr>
                    <w:pStyle w:val="47"/>
                  </w:pPr>
                  <w:r>
                    <w:t>≤</w:t>
                  </w:r>
                  <w:r>
                    <w:rPr>
                      <w:rFonts w:hint="eastAsia"/>
                    </w:rPr>
                    <w:t>0.005</w:t>
                  </w:r>
                </w:p>
              </w:tc>
            </w:tr>
          </w:tbl>
          <w:p>
            <w:pPr>
              <w:pStyle w:val="37"/>
              <w:ind w:firstLine="480"/>
            </w:pPr>
            <w:r>
              <w:rPr>
                <w:rFonts w:hint="eastAsia"/>
              </w:rPr>
              <w:t>3、噪声环境质量</w:t>
            </w:r>
          </w:p>
          <w:p>
            <w:pPr>
              <w:pStyle w:val="37"/>
              <w:ind w:firstLine="480"/>
            </w:pPr>
            <w:r>
              <w:rPr>
                <w:rFonts w:hint="eastAsia"/>
              </w:rPr>
              <w:t>营运期执行国家《声环境质量标准》（GB3096-2008）中3类标准，标准限值见下表：</w:t>
            </w:r>
          </w:p>
          <w:p>
            <w:pPr>
              <w:pStyle w:val="36"/>
              <w:rPr>
                <w:szCs w:val="21"/>
              </w:rPr>
            </w:pPr>
            <w:r>
              <w:rPr>
                <w:rFonts w:hint="eastAsia"/>
              </w:rPr>
              <w:t>表4-3环境噪声标准值表等效声级L</w:t>
            </w:r>
            <w:r>
              <w:rPr>
                <w:rFonts w:hint="eastAsia"/>
                <w:szCs w:val="21"/>
              </w:rPr>
              <w:t xml:space="preserve">Aeq: </w:t>
            </w:r>
            <w:r>
              <w:rPr>
                <w:rFonts w:hint="eastAsia"/>
              </w:rPr>
              <w:t>dB（A）</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581"/>
              <w:gridCol w:w="2714"/>
              <w:gridCol w:w="2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exact"/>
                <w:jc w:val="center"/>
              </w:trPr>
              <w:tc>
                <w:tcPr>
                  <w:tcW w:w="693" w:type="pct"/>
                  <w:vMerge w:val="restart"/>
                  <w:vAlign w:val="center"/>
                </w:tcPr>
                <w:p>
                  <w:pPr>
                    <w:pStyle w:val="47"/>
                  </w:pPr>
                  <w:r>
                    <w:t>环境噪声</w:t>
                  </w:r>
                </w:p>
              </w:tc>
              <w:tc>
                <w:tcPr>
                  <w:tcW w:w="962" w:type="pct"/>
                  <w:vMerge w:val="restart"/>
                  <w:vAlign w:val="center"/>
                </w:tcPr>
                <w:p>
                  <w:pPr>
                    <w:pStyle w:val="47"/>
                  </w:pPr>
                  <w:r>
                    <w:rPr>
                      <w:rFonts w:hint="eastAsia"/>
                    </w:rPr>
                    <w:t>3</w:t>
                  </w:r>
                  <w:r>
                    <w:t>类</w:t>
                  </w:r>
                </w:p>
              </w:tc>
              <w:tc>
                <w:tcPr>
                  <w:tcW w:w="1651" w:type="pct"/>
                  <w:vAlign w:val="center"/>
                </w:tcPr>
                <w:p>
                  <w:pPr>
                    <w:pStyle w:val="47"/>
                  </w:pPr>
                  <w:r>
                    <w:t>昼间</w:t>
                  </w:r>
                </w:p>
              </w:tc>
              <w:tc>
                <w:tcPr>
                  <w:tcW w:w="1694" w:type="pct"/>
                  <w:vAlign w:val="center"/>
                </w:tcPr>
                <w:p>
                  <w:pPr>
                    <w:pStyle w:val="47"/>
                  </w:pPr>
                  <w:r>
                    <w:rPr>
                      <w:rFonts w:hint="eastAsia"/>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exact"/>
                <w:jc w:val="center"/>
              </w:trPr>
              <w:tc>
                <w:tcPr>
                  <w:tcW w:w="693" w:type="pct"/>
                  <w:vMerge w:val="continue"/>
                  <w:vAlign w:val="center"/>
                </w:tcPr>
                <w:p>
                  <w:pPr>
                    <w:pStyle w:val="47"/>
                  </w:pPr>
                </w:p>
              </w:tc>
              <w:tc>
                <w:tcPr>
                  <w:tcW w:w="962" w:type="pct"/>
                  <w:vMerge w:val="continue"/>
                  <w:vAlign w:val="center"/>
                </w:tcPr>
                <w:p>
                  <w:pPr>
                    <w:pStyle w:val="47"/>
                  </w:pPr>
                </w:p>
              </w:tc>
              <w:tc>
                <w:tcPr>
                  <w:tcW w:w="1651" w:type="pct"/>
                  <w:vAlign w:val="center"/>
                </w:tcPr>
                <w:p>
                  <w:pPr>
                    <w:pStyle w:val="47"/>
                  </w:pPr>
                  <w:r>
                    <w:t>夜间</w:t>
                  </w:r>
                </w:p>
              </w:tc>
              <w:tc>
                <w:tcPr>
                  <w:tcW w:w="1694" w:type="pct"/>
                  <w:vAlign w:val="center"/>
                </w:tcPr>
                <w:p>
                  <w:pPr>
                    <w:pStyle w:val="47"/>
                  </w:pPr>
                  <w:r>
                    <w:rPr>
                      <w:rFonts w:hint="eastAsia"/>
                    </w:rPr>
                    <w:t>55</w:t>
                  </w:r>
                </w:p>
              </w:tc>
            </w:tr>
          </w:tbl>
          <w:p>
            <w:pPr>
              <w:spacing w:line="360" w:lineRule="auto"/>
              <w:rPr>
                <w:rFonts w:ascii="SimSun" w:hAnsi="SimSu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43" w:type="dxa"/>
            <w:vAlign w:val="center"/>
          </w:tcPr>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p>
          <w:p>
            <w:pPr>
              <w:spacing w:line="360" w:lineRule="auto"/>
              <w:jc w:val="center"/>
              <w:rPr>
                <w:rFonts w:ascii="SimSun" w:hAnsi="SimSun"/>
                <w:sz w:val="24"/>
              </w:rPr>
            </w:pPr>
            <w:r>
              <w:rPr>
                <w:rFonts w:hint="eastAsia" w:ascii="SimSun" w:hAnsi="SimSun"/>
                <w:sz w:val="24"/>
              </w:rPr>
              <w:t>污</w:t>
            </w:r>
          </w:p>
          <w:p>
            <w:pPr>
              <w:spacing w:line="360" w:lineRule="auto"/>
              <w:jc w:val="center"/>
              <w:rPr>
                <w:rFonts w:ascii="SimSun" w:hAnsi="SimSun"/>
                <w:sz w:val="24"/>
              </w:rPr>
            </w:pPr>
            <w:r>
              <w:rPr>
                <w:rFonts w:hint="eastAsia" w:ascii="SimSun" w:hAnsi="SimSun"/>
                <w:sz w:val="24"/>
              </w:rPr>
              <w:t>染</w:t>
            </w:r>
          </w:p>
          <w:p>
            <w:pPr>
              <w:spacing w:line="360" w:lineRule="auto"/>
              <w:jc w:val="center"/>
              <w:rPr>
                <w:rFonts w:ascii="SimSun" w:hAnsi="SimSun"/>
                <w:sz w:val="24"/>
              </w:rPr>
            </w:pPr>
            <w:r>
              <w:rPr>
                <w:rFonts w:hint="eastAsia" w:ascii="SimSun" w:hAnsi="SimSun"/>
                <w:sz w:val="24"/>
              </w:rPr>
              <w:t>物</w:t>
            </w:r>
          </w:p>
          <w:p>
            <w:pPr>
              <w:spacing w:line="360" w:lineRule="auto"/>
              <w:jc w:val="center"/>
              <w:rPr>
                <w:rFonts w:ascii="SimSun" w:hAnsi="SimSun"/>
                <w:sz w:val="24"/>
              </w:rPr>
            </w:pPr>
            <w:r>
              <w:rPr>
                <w:rFonts w:hint="eastAsia" w:ascii="SimSun" w:hAnsi="SimSun"/>
                <w:sz w:val="24"/>
              </w:rPr>
              <w:t>排</w:t>
            </w:r>
          </w:p>
          <w:p>
            <w:pPr>
              <w:spacing w:line="360" w:lineRule="auto"/>
              <w:jc w:val="center"/>
              <w:rPr>
                <w:rFonts w:ascii="SimSun" w:hAnsi="SimSun"/>
                <w:sz w:val="24"/>
              </w:rPr>
            </w:pPr>
            <w:r>
              <w:rPr>
                <w:rFonts w:hint="eastAsia" w:ascii="SimSun" w:hAnsi="SimSun"/>
                <w:sz w:val="24"/>
              </w:rPr>
              <w:t>放</w:t>
            </w:r>
          </w:p>
          <w:p>
            <w:pPr>
              <w:spacing w:line="360" w:lineRule="auto"/>
              <w:jc w:val="center"/>
              <w:rPr>
                <w:rFonts w:ascii="SimSun" w:hAnsi="SimSun"/>
                <w:sz w:val="24"/>
              </w:rPr>
            </w:pPr>
            <w:r>
              <w:rPr>
                <w:rFonts w:hint="eastAsia" w:ascii="SimSun" w:hAnsi="SimSun"/>
                <w:sz w:val="24"/>
              </w:rPr>
              <w:t>标</w:t>
            </w:r>
          </w:p>
          <w:p>
            <w:pPr>
              <w:spacing w:line="360" w:lineRule="auto"/>
              <w:jc w:val="center"/>
              <w:rPr>
                <w:rFonts w:ascii="SimSun" w:hAnsi="SimSun"/>
                <w:sz w:val="24"/>
              </w:rPr>
            </w:pPr>
            <w:r>
              <w:rPr>
                <w:rFonts w:hint="eastAsia" w:ascii="SimSun" w:hAnsi="SimSun"/>
                <w:sz w:val="24"/>
              </w:rPr>
              <w:t>准</w:t>
            </w:r>
          </w:p>
          <w:p>
            <w:pPr>
              <w:spacing w:line="360" w:lineRule="auto"/>
              <w:jc w:val="center"/>
              <w:rPr>
                <w:rFonts w:ascii="SimSun" w:hAnsi="SimSun"/>
                <w:sz w:val="24"/>
              </w:rPr>
            </w:pPr>
          </w:p>
        </w:tc>
        <w:tc>
          <w:tcPr>
            <w:tcW w:w="8445" w:type="dxa"/>
          </w:tcPr>
          <w:p>
            <w:pPr>
              <w:pStyle w:val="37"/>
              <w:ind w:firstLine="480"/>
            </w:pPr>
            <w:r>
              <w:rPr>
                <w:rFonts w:hint="eastAsia"/>
              </w:rPr>
              <w:t>1、大气污染物</w:t>
            </w:r>
          </w:p>
          <w:p>
            <w:pPr>
              <w:pStyle w:val="37"/>
              <w:ind w:firstLine="480"/>
            </w:pPr>
            <w:r>
              <w:rPr>
                <w:rFonts w:hint="eastAsia"/>
              </w:rPr>
              <w:t>本项目大气污染物执行《大气污染物综合排放标准》（GB16297-1996）二级标准</w:t>
            </w:r>
            <w:r>
              <w:t>，</w:t>
            </w:r>
            <w:r>
              <w:rPr>
                <w:rFonts w:hint="eastAsia"/>
              </w:rPr>
              <w:t>具体指标见表4-4；</w:t>
            </w:r>
          </w:p>
          <w:p>
            <w:pPr>
              <w:pStyle w:val="36"/>
              <w:rPr>
                <w:rFonts w:ascii="SimSun" w:hAnsi="SimSun"/>
              </w:rPr>
            </w:pPr>
            <w:r>
              <w:rPr>
                <w:rFonts w:hint="eastAsia" w:ascii="SimSun" w:hAnsi="SimSun"/>
              </w:rPr>
              <w:t xml:space="preserve">表4-4  </w:t>
            </w:r>
            <w:r>
              <w:t>大气污染物</w:t>
            </w:r>
            <w:r>
              <w:rPr>
                <w:rFonts w:hint="eastAsia"/>
              </w:rPr>
              <w:t>综合</w:t>
            </w:r>
            <w:r>
              <w:t>排放标准</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2977"/>
              <w:gridCol w:w="3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122" w:type="pct"/>
                  <w:vMerge w:val="restart"/>
                  <w:vAlign w:val="center"/>
                </w:tcPr>
                <w:p>
                  <w:pPr>
                    <w:pStyle w:val="47"/>
                  </w:pPr>
                  <w:r>
                    <w:t>污染物</w:t>
                  </w:r>
                </w:p>
              </w:tc>
              <w:tc>
                <w:tcPr>
                  <w:tcW w:w="3878" w:type="pct"/>
                  <w:gridSpan w:val="2"/>
                  <w:vAlign w:val="center"/>
                </w:tcPr>
                <w:p>
                  <w:pPr>
                    <w:pStyle w:val="47"/>
                  </w:pPr>
                  <w: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 w:hRule="atLeast"/>
                <w:jc w:val="center"/>
              </w:trPr>
              <w:tc>
                <w:tcPr>
                  <w:tcW w:w="1122" w:type="pct"/>
                  <w:vMerge w:val="continue"/>
                  <w:vAlign w:val="center"/>
                </w:tcPr>
                <w:p>
                  <w:pPr>
                    <w:pStyle w:val="47"/>
                  </w:pPr>
                </w:p>
              </w:tc>
              <w:tc>
                <w:tcPr>
                  <w:tcW w:w="1811" w:type="pct"/>
                  <w:vAlign w:val="center"/>
                </w:tcPr>
                <w:p>
                  <w:pPr>
                    <w:pStyle w:val="47"/>
                  </w:pPr>
                  <w:r>
                    <w:t>监</w:t>
                  </w:r>
                  <w:r>
                    <w:rPr>
                      <w:rFonts w:hint="eastAsia"/>
                    </w:rPr>
                    <w:t>控</w:t>
                  </w:r>
                  <w:r>
                    <w:t>点</w:t>
                  </w:r>
                </w:p>
              </w:tc>
              <w:tc>
                <w:tcPr>
                  <w:tcW w:w="2067" w:type="pct"/>
                  <w:vAlign w:val="center"/>
                </w:tcPr>
                <w:p>
                  <w:pPr>
                    <w:pStyle w:val="47"/>
                  </w:pPr>
                  <w:r>
                    <w:t>浓度（mg/m</w:t>
                  </w:r>
                  <w:r>
                    <w:rPr>
                      <w:rStyle w:val="49"/>
                      <w:vertAlign w:val="superscript"/>
                    </w:rPr>
                    <w:t>3</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 w:hRule="atLeast"/>
                <w:jc w:val="center"/>
              </w:trPr>
              <w:tc>
                <w:tcPr>
                  <w:tcW w:w="1122" w:type="pct"/>
                  <w:vAlign w:val="center"/>
                </w:tcPr>
                <w:p>
                  <w:pPr>
                    <w:pStyle w:val="47"/>
                  </w:pPr>
                  <w:r>
                    <w:t>颗粒物</w:t>
                  </w:r>
                </w:p>
              </w:tc>
              <w:tc>
                <w:tcPr>
                  <w:tcW w:w="1811" w:type="pct"/>
                  <w:vAlign w:val="center"/>
                </w:tcPr>
                <w:p>
                  <w:pPr>
                    <w:pStyle w:val="47"/>
                  </w:pPr>
                  <w:r>
                    <w:rPr>
                      <w:rFonts w:hint="eastAsia"/>
                    </w:rPr>
                    <w:t>周界</w:t>
                  </w:r>
                  <w:r>
                    <w:t>外浓度最高点</w:t>
                  </w:r>
                </w:p>
              </w:tc>
              <w:tc>
                <w:tcPr>
                  <w:tcW w:w="2067" w:type="pct"/>
                  <w:vAlign w:val="center"/>
                </w:tcPr>
                <w:p>
                  <w:pPr>
                    <w:pStyle w:val="47"/>
                  </w:pPr>
                  <w:r>
                    <w:t>1.0</w:t>
                  </w:r>
                </w:p>
              </w:tc>
            </w:tr>
          </w:tbl>
          <w:p>
            <w:pPr>
              <w:pStyle w:val="37"/>
              <w:ind w:firstLine="480"/>
            </w:pPr>
            <w:r>
              <w:rPr>
                <w:rFonts w:hint="eastAsia"/>
              </w:rPr>
              <w:t>2、废水</w:t>
            </w:r>
          </w:p>
          <w:p>
            <w:pPr>
              <w:pStyle w:val="37"/>
              <w:ind w:firstLine="480"/>
            </w:pPr>
            <w:r>
              <w:rPr>
                <w:rFonts w:hint="eastAsia"/>
              </w:rPr>
              <w:t>本项目生产废水采用废水循环沉淀处理系统处理后循环使用，不外排；生活污水采用化粪池处理后排入乡镇污水管网，执行国家《污水综合排放标准》（GB8978-1996）中三级标准。</w:t>
            </w:r>
          </w:p>
          <w:p>
            <w:pPr>
              <w:pStyle w:val="36"/>
            </w:pPr>
            <w:r>
              <w:rPr>
                <w:rFonts w:hint="eastAsia"/>
              </w:rPr>
              <w:t>表4-5 第二类污染物最高允许排放浓度浓度单位：mg/l</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617"/>
              <w:gridCol w:w="2175"/>
              <w:gridCol w:w="1774"/>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511" w:type="pct"/>
                  <w:vAlign w:val="center"/>
                </w:tcPr>
                <w:p>
                  <w:pPr>
                    <w:jc w:val="center"/>
                    <w:rPr>
                      <w:caps/>
                      <w:sz w:val="21"/>
                      <w:szCs w:val="21"/>
                    </w:rPr>
                  </w:pPr>
                  <w:r>
                    <w:rPr>
                      <w:rFonts w:hint="eastAsia"/>
                      <w:caps/>
                      <w:sz w:val="21"/>
                      <w:szCs w:val="21"/>
                    </w:rPr>
                    <w:t>序号</w:t>
                  </w:r>
                </w:p>
              </w:tc>
              <w:tc>
                <w:tcPr>
                  <w:tcW w:w="984" w:type="pct"/>
                  <w:vAlign w:val="center"/>
                </w:tcPr>
                <w:p>
                  <w:pPr>
                    <w:jc w:val="center"/>
                    <w:rPr>
                      <w:caps/>
                      <w:sz w:val="21"/>
                      <w:szCs w:val="21"/>
                    </w:rPr>
                  </w:pPr>
                  <w:r>
                    <w:rPr>
                      <w:rFonts w:hint="eastAsia"/>
                      <w:caps/>
                      <w:sz w:val="21"/>
                      <w:szCs w:val="21"/>
                    </w:rPr>
                    <w:t>污染物</w:t>
                  </w:r>
                </w:p>
              </w:tc>
              <w:tc>
                <w:tcPr>
                  <w:tcW w:w="1323" w:type="pct"/>
                  <w:vAlign w:val="center"/>
                </w:tcPr>
                <w:p>
                  <w:pPr>
                    <w:jc w:val="center"/>
                    <w:rPr>
                      <w:caps/>
                      <w:sz w:val="21"/>
                      <w:szCs w:val="21"/>
                    </w:rPr>
                  </w:pPr>
                  <w:r>
                    <w:rPr>
                      <w:rFonts w:hint="eastAsia"/>
                      <w:caps/>
                      <w:sz w:val="21"/>
                      <w:szCs w:val="21"/>
                    </w:rPr>
                    <w:t>适用范围</w:t>
                  </w:r>
                </w:p>
              </w:tc>
              <w:tc>
                <w:tcPr>
                  <w:tcW w:w="1079" w:type="pct"/>
                  <w:vAlign w:val="center"/>
                </w:tcPr>
                <w:p>
                  <w:pPr>
                    <w:jc w:val="center"/>
                    <w:rPr>
                      <w:caps/>
                      <w:sz w:val="21"/>
                      <w:szCs w:val="21"/>
                    </w:rPr>
                  </w:pPr>
                  <w:r>
                    <w:rPr>
                      <w:rFonts w:hint="eastAsia"/>
                      <w:caps/>
                      <w:sz w:val="21"/>
                      <w:szCs w:val="21"/>
                    </w:rPr>
                    <w:t>三级标准</w:t>
                  </w:r>
                </w:p>
              </w:tc>
              <w:tc>
                <w:tcPr>
                  <w:tcW w:w="1103" w:type="pct"/>
                  <w:vAlign w:val="center"/>
                </w:tcPr>
                <w:p>
                  <w:pPr>
                    <w:jc w:val="center"/>
                    <w:rPr>
                      <w:caps/>
                      <w:sz w:val="21"/>
                      <w:szCs w:val="21"/>
                    </w:rPr>
                  </w:pPr>
                  <w:r>
                    <w:rPr>
                      <w:rFonts w:hint="eastAsia"/>
                      <w:caps/>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exact"/>
                <w:jc w:val="center"/>
              </w:trPr>
              <w:tc>
                <w:tcPr>
                  <w:tcW w:w="511" w:type="pct"/>
                  <w:vAlign w:val="center"/>
                </w:tcPr>
                <w:p>
                  <w:pPr>
                    <w:jc w:val="center"/>
                    <w:rPr>
                      <w:sz w:val="21"/>
                      <w:szCs w:val="21"/>
                    </w:rPr>
                  </w:pPr>
                  <w:r>
                    <w:rPr>
                      <w:sz w:val="21"/>
                      <w:szCs w:val="21"/>
                    </w:rPr>
                    <w:t>1</w:t>
                  </w:r>
                </w:p>
              </w:tc>
              <w:tc>
                <w:tcPr>
                  <w:tcW w:w="984" w:type="pct"/>
                  <w:vAlign w:val="center"/>
                </w:tcPr>
                <w:p>
                  <w:pPr>
                    <w:jc w:val="center"/>
                    <w:rPr>
                      <w:sz w:val="21"/>
                      <w:szCs w:val="21"/>
                    </w:rPr>
                  </w:pPr>
                  <w:r>
                    <w:rPr>
                      <w:sz w:val="21"/>
                      <w:szCs w:val="21"/>
                    </w:rPr>
                    <w:t>pH</w:t>
                  </w:r>
                </w:p>
              </w:tc>
              <w:tc>
                <w:tcPr>
                  <w:tcW w:w="1323" w:type="pct"/>
                  <w:vAlign w:val="center"/>
                </w:tcPr>
                <w:p>
                  <w:pPr>
                    <w:jc w:val="center"/>
                    <w:rPr>
                      <w:sz w:val="21"/>
                      <w:szCs w:val="21"/>
                    </w:rPr>
                  </w:pPr>
                  <w:r>
                    <w:rPr>
                      <w:rFonts w:hint="eastAsia"/>
                      <w:sz w:val="21"/>
                      <w:szCs w:val="21"/>
                    </w:rPr>
                    <w:t>一切排污单位</w:t>
                  </w:r>
                </w:p>
              </w:tc>
              <w:tc>
                <w:tcPr>
                  <w:tcW w:w="1079" w:type="pct"/>
                  <w:vAlign w:val="center"/>
                </w:tcPr>
                <w:p>
                  <w:pPr>
                    <w:jc w:val="center"/>
                    <w:rPr>
                      <w:sz w:val="21"/>
                      <w:szCs w:val="21"/>
                    </w:rPr>
                  </w:pPr>
                  <w:r>
                    <w:rPr>
                      <w:sz w:val="21"/>
                      <w:szCs w:val="21"/>
                    </w:rPr>
                    <w:t>6-9</w:t>
                  </w:r>
                </w:p>
              </w:tc>
              <w:tc>
                <w:tcPr>
                  <w:tcW w:w="1103" w:type="pct"/>
                  <w:vAlign w:val="center"/>
                </w:tcPr>
                <w:p>
                  <w:pPr>
                    <w:jc w:val="center"/>
                    <w:rPr>
                      <w:sz w:val="21"/>
                      <w:szCs w:val="21"/>
                    </w:rPr>
                  </w:pPr>
                  <w:r>
                    <w:rPr>
                      <w:rFonts w:hint="eastAsia"/>
                      <w:sz w:val="21"/>
                      <w:szCs w:val="21"/>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exact"/>
                <w:jc w:val="center"/>
              </w:trPr>
              <w:tc>
                <w:tcPr>
                  <w:tcW w:w="511" w:type="pct"/>
                  <w:vAlign w:val="center"/>
                </w:tcPr>
                <w:p>
                  <w:pPr>
                    <w:jc w:val="center"/>
                    <w:rPr>
                      <w:sz w:val="21"/>
                      <w:szCs w:val="21"/>
                    </w:rPr>
                  </w:pPr>
                  <w:r>
                    <w:rPr>
                      <w:rFonts w:hint="eastAsia"/>
                      <w:sz w:val="21"/>
                      <w:szCs w:val="21"/>
                    </w:rPr>
                    <w:t>2</w:t>
                  </w:r>
                </w:p>
              </w:tc>
              <w:tc>
                <w:tcPr>
                  <w:tcW w:w="984" w:type="pct"/>
                  <w:vAlign w:val="center"/>
                </w:tcPr>
                <w:p>
                  <w:pPr>
                    <w:jc w:val="center"/>
                    <w:rPr>
                      <w:sz w:val="21"/>
                      <w:szCs w:val="21"/>
                    </w:rPr>
                  </w:pPr>
                  <w:r>
                    <w:rPr>
                      <w:sz w:val="21"/>
                      <w:szCs w:val="21"/>
                    </w:rPr>
                    <w:t>SS</w:t>
                  </w:r>
                </w:p>
              </w:tc>
              <w:tc>
                <w:tcPr>
                  <w:tcW w:w="1323" w:type="pct"/>
                  <w:vAlign w:val="center"/>
                </w:tcPr>
                <w:p>
                  <w:pPr>
                    <w:jc w:val="center"/>
                    <w:rPr>
                      <w:sz w:val="21"/>
                      <w:szCs w:val="21"/>
                    </w:rPr>
                  </w:pPr>
                  <w:r>
                    <w:rPr>
                      <w:rFonts w:hint="eastAsia"/>
                      <w:sz w:val="21"/>
                      <w:szCs w:val="21"/>
                    </w:rPr>
                    <w:t>其他排污单位</w:t>
                  </w:r>
                </w:p>
              </w:tc>
              <w:tc>
                <w:tcPr>
                  <w:tcW w:w="1079" w:type="pct"/>
                  <w:vAlign w:val="center"/>
                </w:tcPr>
                <w:p>
                  <w:pPr>
                    <w:jc w:val="center"/>
                    <w:rPr>
                      <w:sz w:val="21"/>
                      <w:szCs w:val="21"/>
                    </w:rPr>
                  </w:pPr>
                  <w:r>
                    <w:rPr>
                      <w:rFonts w:hint="eastAsia"/>
                      <w:sz w:val="21"/>
                      <w:szCs w:val="21"/>
                    </w:rPr>
                    <w:t>400</w:t>
                  </w:r>
                </w:p>
              </w:tc>
              <w:tc>
                <w:tcPr>
                  <w:tcW w:w="1103" w:type="pct"/>
                  <w:vAlign w:val="center"/>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511" w:type="pct"/>
                  <w:vAlign w:val="center"/>
                </w:tcPr>
                <w:p>
                  <w:pPr>
                    <w:jc w:val="center"/>
                    <w:rPr>
                      <w:sz w:val="21"/>
                      <w:szCs w:val="21"/>
                    </w:rPr>
                  </w:pPr>
                  <w:r>
                    <w:rPr>
                      <w:rFonts w:hint="eastAsia"/>
                      <w:sz w:val="21"/>
                      <w:szCs w:val="21"/>
                    </w:rPr>
                    <w:t>3</w:t>
                  </w:r>
                </w:p>
              </w:tc>
              <w:tc>
                <w:tcPr>
                  <w:tcW w:w="984" w:type="pct"/>
                  <w:vAlign w:val="center"/>
                </w:tcPr>
                <w:p>
                  <w:pPr>
                    <w:jc w:val="center"/>
                    <w:rPr>
                      <w:sz w:val="21"/>
                      <w:szCs w:val="21"/>
                    </w:rPr>
                  </w:pPr>
                  <w:r>
                    <w:rPr>
                      <w:sz w:val="21"/>
                      <w:szCs w:val="21"/>
                    </w:rPr>
                    <w:t>BOD</w:t>
                  </w:r>
                  <w:r>
                    <w:rPr>
                      <w:sz w:val="21"/>
                      <w:szCs w:val="21"/>
                      <w:vertAlign w:val="subscript"/>
                    </w:rPr>
                    <w:t>5</w:t>
                  </w:r>
                </w:p>
              </w:tc>
              <w:tc>
                <w:tcPr>
                  <w:tcW w:w="1323" w:type="pct"/>
                  <w:vAlign w:val="center"/>
                </w:tcPr>
                <w:p>
                  <w:pPr>
                    <w:jc w:val="center"/>
                    <w:rPr>
                      <w:sz w:val="21"/>
                      <w:szCs w:val="21"/>
                    </w:rPr>
                  </w:pPr>
                  <w:r>
                    <w:rPr>
                      <w:rFonts w:hint="eastAsia"/>
                      <w:sz w:val="21"/>
                      <w:szCs w:val="21"/>
                    </w:rPr>
                    <w:t>其他排污单位</w:t>
                  </w:r>
                </w:p>
              </w:tc>
              <w:tc>
                <w:tcPr>
                  <w:tcW w:w="1079" w:type="pct"/>
                  <w:vAlign w:val="center"/>
                </w:tcPr>
                <w:p>
                  <w:pPr>
                    <w:jc w:val="center"/>
                    <w:rPr>
                      <w:sz w:val="21"/>
                      <w:szCs w:val="21"/>
                    </w:rPr>
                  </w:pPr>
                  <w:r>
                    <w:rPr>
                      <w:rFonts w:hint="eastAsia"/>
                      <w:sz w:val="21"/>
                      <w:szCs w:val="21"/>
                    </w:rPr>
                    <w:t>300</w:t>
                  </w:r>
                </w:p>
              </w:tc>
              <w:tc>
                <w:tcPr>
                  <w:tcW w:w="1103" w:type="pct"/>
                  <w:vAlign w:val="center"/>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jc w:val="center"/>
              </w:trPr>
              <w:tc>
                <w:tcPr>
                  <w:tcW w:w="511" w:type="pct"/>
                  <w:vAlign w:val="center"/>
                </w:tcPr>
                <w:p>
                  <w:pPr>
                    <w:jc w:val="center"/>
                    <w:rPr>
                      <w:sz w:val="21"/>
                      <w:szCs w:val="21"/>
                    </w:rPr>
                  </w:pPr>
                  <w:r>
                    <w:rPr>
                      <w:rFonts w:hint="eastAsia"/>
                      <w:sz w:val="21"/>
                      <w:szCs w:val="21"/>
                    </w:rPr>
                    <w:t>4</w:t>
                  </w:r>
                </w:p>
              </w:tc>
              <w:tc>
                <w:tcPr>
                  <w:tcW w:w="984" w:type="pct"/>
                  <w:vAlign w:val="center"/>
                </w:tcPr>
                <w:p>
                  <w:pPr>
                    <w:jc w:val="center"/>
                    <w:rPr>
                      <w:sz w:val="21"/>
                      <w:szCs w:val="21"/>
                    </w:rPr>
                  </w:pPr>
                  <w:r>
                    <w:rPr>
                      <w:sz w:val="21"/>
                      <w:szCs w:val="21"/>
                    </w:rPr>
                    <w:t>COD</w:t>
                  </w:r>
                  <w:r>
                    <w:rPr>
                      <w:sz w:val="21"/>
                      <w:szCs w:val="21"/>
                      <w:vertAlign w:val="subscript"/>
                    </w:rPr>
                    <w:t>cr</w:t>
                  </w:r>
                </w:p>
              </w:tc>
              <w:tc>
                <w:tcPr>
                  <w:tcW w:w="1323" w:type="pct"/>
                  <w:vAlign w:val="center"/>
                </w:tcPr>
                <w:p>
                  <w:pPr>
                    <w:jc w:val="center"/>
                    <w:rPr>
                      <w:sz w:val="21"/>
                      <w:szCs w:val="21"/>
                    </w:rPr>
                  </w:pPr>
                  <w:r>
                    <w:rPr>
                      <w:rFonts w:hint="eastAsia"/>
                      <w:sz w:val="21"/>
                      <w:szCs w:val="21"/>
                    </w:rPr>
                    <w:t>其他排污单位</w:t>
                  </w:r>
                </w:p>
              </w:tc>
              <w:tc>
                <w:tcPr>
                  <w:tcW w:w="1079" w:type="pct"/>
                  <w:vAlign w:val="center"/>
                </w:tcPr>
                <w:p>
                  <w:pPr>
                    <w:jc w:val="center"/>
                    <w:rPr>
                      <w:sz w:val="21"/>
                      <w:szCs w:val="21"/>
                    </w:rPr>
                  </w:pPr>
                  <w:r>
                    <w:rPr>
                      <w:rFonts w:hint="eastAsia"/>
                      <w:sz w:val="21"/>
                      <w:szCs w:val="21"/>
                    </w:rPr>
                    <w:t>500</w:t>
                  </w:r>
                </w:p>
              </w:tc>
              <w:tc>
                <w:tcPr>
                  <w:tcW w:w="1103" w:type="pct"/>
                  <w:vAlign w:val="center"/>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511" w:type="pct"/>
                  <w:vAlign w:val="center"/>
                </w:tcPr>
                <w:p>
                  <w:pPr>
                    <w:jc w:val="center"/>
                    <w:rPr>
                      <w:sz w:val="21"/>
                      <w:szCs w:val="21"/>
                    </w:rPr>
                  </w:pPr>
                  <w:r>
                    <w:rPr>
                      <w:rFonts w:hint="eastAsia"/>
                      <w:sz w:val="21"/>
                      <w:szCs w:val="21"/>
                    </w:rPr>
                    <w:t>5</w:t>
                  </w:r>
                </w:p>
              </w:tc>
              <w:tc>
                <w:tcPr>
                  <w:tcW w:w="984" w:type="pct"/>
                  <w:vAlign w:val="center"/>
                </w:tcPr>
                <w:p>
                  <w:pPr>
                    <w:jc w:val="center"/>
                    <w:rPr>
                      <w:sz w:val="21"/>
                      <w:szCs w:val="21"/>
                    </w:rPr>
                  </w:pPr>
                  <w:r>
                    <w:rPr>
                      <w:rFonts w:hint="eastAsia"/>
                      <w:sz w:val="21"/>
                      <w:szCs w:val="21"/>
                    </w:rPr>
                    <w:t>动植物</w:t>
                  </w:r>
                </w:p>
              </w:tc>
              <w:tc>
                <w:tcPr>
                  <w:tcW w:w="1323" w:type="pct"/>
                  <w:vAlign w:val="center"/>
                </w:tcPr>
                <w:p>
                  <w:pPr>
                    <w:jc w:val="center"/>
                    <w:rPr>
                      <w:sz w:val="21"/>
                      <w:szCs w:val="21"/>
                    </w:rPr>
                  </w:pPr>
                  <w:r>
                    <w:rPr>
                      <w:rFonts w:hint="eastAsia"/>
                      <w:sz w:val="21"/>
                      <w:szCs w:val="21"/>
                    </w:rPr>
                    <w:t>一切排污单位</w:t>
                  </w:r>
                </w:p>
              </w:tc>
              <w:tc>
                <w:tcPr>
                  <w:tcW w:w="1079" w:type="pct"/>
                  <w:vAlign w:val="center"/>
                </w:tcPr>
                <w:p>
                  <w:pPr>
                    <w:jc w:val="center"/>
                    <w:rPr>
                      <w:sz w:val="21"/>
                      <w:szCs w:val="21"/>
                    </w:rPr>
                  </w:pPr>
                  <w:r>
                    <w:rPr>
                      <w:rFonts w:hint="eastAsia"/>
                      <w:sz w:val="21"/>
                      <w:szCs w:val="21"/>
                    </w:rPr>
                    <w:t>100</w:t>
                  </w:r>
                </w:p>
              </w:tc>
              <w:tc>
                <w:tcPr>
                  <w:tcW w:w="1103" w:type="pct"/>
                  <w:vAlign w:val="center"/>
                </w:tcPr>
                <w:p>
                  <w:pPr>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511" w:type="pct"/>
                  <w:vAlign w:val="center"/>
                </w:tcPr>
                <w:p>
                  <w:pPr>
                    <w:jc w:val="center"/>
                    <w:rPr>
                      <w:sz w:val="21"/>
                      <w:szCs w:val="21"/>
                    </w:rPr>
                  </w:pPr>
                  <w:r>
                    <w:rPr>
                      <w:rFonts w:hint="eastAsia"/>
                      <w:sz w:val="21"/>
                      <w:szCs w:val="21"/>
                    </w:rPr>
                    <w:t>6</w:t>
                  </w:r>
                </w:p>
              </w:tc>
              <w:tc>
                <w:tcPr>
                  <w:tcW w:w="984" w:type="pct"/>
                  <w:vAlign w:val="center"/>
                </w:tcPr>
                <w:p>
                  <w:pPr>
                    <w:jc w:val="center"/>
                    <w:rPr>
                      <w:sz w:val="21"/>
                      <w:szCs w:val="21"/>
                    </w:rPr>
                  </w:pPr>
                  <w:r>
                    <w:rPr>
                      <w:rFonts w:hint="eastAsia"/>
                      <w:sz w:val="21"/>
                      <w:szCs w:val="21"/>
                    </w:rPr>
                    <w:t>氨氮</w:t>
                  </w:r>
                </w:p>
              </w:tc>
              <w:tc>
                <w:tcPr>
                  <w:tcW w:w="1323" w:type="pct"/>
                  <w:vAlign w:val="center"/>
                </w:tcPr>
                <w:p>
                  <w:pPr>
                    <w:jc w:val="center"/>
                    <w:rPr>
                      <w:sz w:val="21"/>
                      <w:szCs w:val="21"/>
                    </w:rPr>
                  </w:pPr>
                  <w:r>
                    <w:rPr>
                      <w:rFonts w:hint="eastAsia"/>
                      <w:sz w:val="21"/>
                      <w:szCs w:val="21"/>
                    </w:rPr>
                    <w:t>其他排污单位</w:t>
                  </w:r>
                </w:p>
              </w:tc>
              <w:tc>
                <w:tcPr>
                  <w:tcW w:w="1079" w:type="pct"/>
                  <w:vAlign w:val="center"/>
                </w:tcPr>
                <w:p>
                  <w:pPr>
                    <w:jc w:val="center"/>
                    <w:rPr>
                      <w:sz w:val="21"/>
                      <w:szCs w:val="21"/>
                    </w:rPr>
                  </w:pPr>
                  <w:r>
                    <w:rPr>
                      <w:rFonts w:hint="eastAsia"/>
                      <w:sz w:val="21"/>
                      <w:szCs w:val="21"/>
                    </w:rPr>
                    <w:t>/</w:t>
                  </w:r>
                </w:p>
              </w:tc>
              <w:tc>
                <w:tcPr>
                  <w:tcW w:w="1103" w:type="pct"/>
                  <w:vAlign w:val="center"/>
                </w:tcPr>
                <w:p>
                  <w:pPr>
                    <w:jc w:val="center"/>
                    <w:rPr>
                      <w:sz w:val="21"/>
                      <w:szCs w:val="21"/>
                    </w:rPr>
                  </w:pPr>
                  <w:r>
                    <w:rPr>
                      <w:rFonts w:hint="eastAsia"/>
                      <w:sz w:val="21"/>
                      <w:szCs w:val="21"/>
                    </w:rPr>
                    <w:t>/</w:t>
                  </w:r>
                </w:p>
              </w:tc>
            </w:tr>
          </w:tbl>
          <w:p>
            <w:pPr>
              <w:pStyle w:val="37"/>
              <w:ind w:firstLine="480"/>
            </w:pPr>
            <w:r>
              <w:rPr>
                <w:rFonts w:hint="eastAsia"/>
              </w:rPr>
              <w:t>3、噪声</w:t>
            </w:r>
          </w:p>
          <w:p>
            <w:pPr>
              <w:pStyle w:val="37"/>
              <w:ind w:firstLine="480"/>
            </w:pPr>
            <w:r>
              <w:rPr>
                <w:rFonts w:hint="eastAsia"/>
              </w:rPr>
              <w:t>施工期噪声执行《</w:t>
            </w:r>
            <w:r>
              <w:rPr>
                <w:rFonts w:ascii="SimSun" w:hAnsi="SimSun"/>
              </w:rPr>
              <w:t>建筑施工场界环境噪声排放标准</w:t>
            </w:r>
            <w:r>
              <w:rPr>
                <w:rFonts w:hint="eastAsia"/>
              </w:rPr>
              <w:t>》（GB12523-2011）标准：</w:t>
            </w:r>
          </w:p>
          <w:p>
            <w:pPr>
              <w:pStyle w:val="36"/>
            </w:pPr>
            <w:r>
              <w:rPr>
                <w:rFonts w:hint="eastAsia"/>
              </w:rPr>
              <w:t>表4-6施工噪声标准值等效声级Leq：dB（A）</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4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5" w:type="pct"/>
                  <w:vAlign w:val="center"/>
                </w:tcPr>
                <w:p>
                  <w:pPr>
                    <w:pStyle w:val="47"/>
                  </w:pPr>
                  <w:r>
                    <w:rPr>
                      <w:rFonts w:hint="eastAsia"/>
                    </w:rPr>
                    <w:t>昼间</w:t>
                  </w:r>
                </w:p>
              </w:tc>
              <w:tc>
                <w:tcPr>
                  <w:tcW w:w="2735" w:type="pct"/>
                  <w:vAlign w:val="center"/>
                </w:tcPr>
                <w:p>
                  <w:pPr>
                    <w:pStyle w:val="47"/>
                  </w:pPr>
                  <w:r>
                    <w:rPr>
                      <w:rFonts w:hint="eastAsia"/>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5" w:type="pct"/>
                  <w:vAlign w:val="center"/>
                </w:tcPr>
                <w:p>
                  <w:pPr>
                    <w:pStyle w:val="47"/>
                  </w:pPr>
                  <w:r>
                    <w:rPr>
                      <w:rFonts w:hint="eastAsia"/>
                    </w:rPr>
                    <w:t>70</w:t>
                  </w:r>
                </w:p>
              </w:tc>
              <w:tc>
                <w:tcPr>
                  <w:tcW w:w="2735" w:type="pct"/>
                  <w:vAlign w:val="center"/>
                </w:tcPr>
                <w:p>
                  <w:pPr>
                    <w:pStyle w:val="47"/>
                  </w:pPr>
                  <w:r>
                    <w:rPr>
                      <w:rFonts w:hint="eastAsia"/>
                    </w:rPr>
                    <w:t>55</w:t>
                  </w:r>
                </w:p>
              </w:tc>
            </w:tr>
          </w:tbl>
          <w:p>
            <w:pPr>
              <w:pStyle w:val="37"/>
              <w:ind w:firstLine="480"/>
            </w:pPr>
            <w:r>
              <w:rPr>
                <w:rFonts w:hint="eastAsia"/>
              </w:rPr>
              <w:t>营运期噪声执行国家《</w:t>
            </w:r>
            <w:r>
              <w:rPr>
                <w:rFonts w:ascii="SimSun" w:hAnsi="SimSun"/>
              </w:rPr>
              <w:t>工业企业厂界</w:t>
            </w:r>
            <w:r>
              <w:rPr>
                <w:rFonts w:hint="eastAsia" w:ascii="SimSun" w:hAnsi="SimSun"/>
              </w:rPr>
              <w:t>环境</w:t>
            </w:r>
            <w:r>
              <w:rPr>
                <w:rFonts w:ascii="SimSun" w:hAnsi="SimSun"/>
              </w:rPr>
              <w:t>噪声</w:t>
            </w:r>
            <w:r>
              <w:rPr>
                <w:rFonts w:hint="eastAsia" w:ascii="SimSun" w:hAnsi="SimSun"/>
              </w:rPr>
              <w:t>排放</w:t>
            </w:r>
            <w:r>
              <w:rPr>
                <w:rFonts w:ascii="SimSun" w:hAnsi="SimSun"/>
              </w:rPr>
              <w:t>标准</w:t>
            </w:r>
            <w:r>
              <w:rPr>
                <w:rFonts w:hint="eastAsia"/>
              </w:rPr>
              <w:t>》（GB12348-2008）中3类标准。标准限值见下表：</w:t>
            </w:r>
          </w:p>
          <w:p>
            <w:pPr>
              <w:pStyle w:val="36"/>
              <w:rPr>
                <w:szCs w:val="21"/>
              </w:rPr>
            </w:pPr>
            <w:r>
              <w:rPr>
                <w:rFonts w:hint="eastAsia"/>
              </w:rPr>
              <w:t>表4-7厂界噪声标准值表等效声级</w:t>
            </w:r>
            <w:r>
              <w:t>L</w:t>
            </w:r>
            <w:r>
              <w:rPr>
                <w:szCs w:val="21"/>
              </w:rPr>
              <w:t>Aeq:dB</w:t>
            </w:r>
            <w:r>
              <w:rPr>
                <w:rFonts w:hint="eastAsia"/>
                <w:szCs w:val="21"/>
              </w:rPr>
              <w:t>（A）</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5"/>
              <w:gridCol w:w="2969"/>
              <w:gridCol w:w="2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46" w:type="pct"/>
                  <w:vAlign w:val="center"/>
                </w:tcPr>
                <w:p>
                  <w:pPr>
                    <w:pStyle w:val="47"/>
                  </w:pPr>
                  <w:r>
                    <w:rPr>
                      <w:rFonts w:hint="eastAsia"/>
                    </w:rPr>
                    <w:t>类别</w:t>
                  </w:r>
                </w:p>
              </w:tc>
              <w:tc>
                <w:tcPr>
                  <w:tcW w:w="1806" w:type="pct"/>
                  <w:vAlign w:val="center"/>
                </w:tcPr>
                <w:p>
                  <w:pPr>
                    <w:pStyle w:val="47"/>
                  </w:pPr>
                  <w:r>
                    <w:rPr>
                      <w:rFonts w:hint="eastAsia"/>
                    </w:rPr>
                    <w:t>昼间</w:t>
                  </w:r>
                </w:p>
              </w:tc>
              <w:tc>
                <w:tcPr>
                  <w:tcW w:w="1548" w:type="pct"/>
                  <w:vAlign w:val="center"/>
                </w:tcPr>
                <w:p>
                  <w:pPr>
                    <w:pStyle w:val="47"/>
                  </w:pPr>
                  <w:r>
                    <w:rPr>
                      <w:rFonts w:hint="eastAsia"/>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46" w:type="pct"/>
                  <w:vAlign w:val="center"/>
                </w:tcPr>
                <w:p>
                  <w:pPr>
                    <w:pStyle w:val="47"/>
                  </w:pPr>
                  <w:r>
                    <w:rPr>
                      <w:rFonts w:hint="eastAsia"/>
                    </w:rPr>
                    <w:t>3类</w:t>
                  </w:r>
                </w:p>
              </w:tc>
              <w:tc>
                <w:tcPr>
                  <w:tcW w:w="1806" w:type="pct"/>
                  <w:vAlign w:val="center"/>
                </w:tcPr>
                <w:p>
                  <w:pPr>
                    <w:pStyle w:val="47"/>
                  </w:pPr>
                  <w:r>
                    <w:rPr>
                      <w:rFonts w:hint="eastAsia"/>
                    </w:rPr>
                    <w:t>65</w:t>
                  </w:r>
                </w:p>
              </w:tc>
              <w:tc>
                <w:tcPr>
                  <w:tcW w:w="1548" w:type="pct"/>
                  <w:vAlign w:val="center"/>
                </w:tcPr>
                <w:p>
                  <w:pPr>
                    <w:pStyle w:val="47"/>
                  </w:pPr>
                  <w:r>
                    <w:rPr>
                      <w:rFonts w:hint="eastAsia"/>
                    </w:rPr>
                    <w:t>55</w:t>
                  </w:r>
                </w:p>
              </w:tc>
            </w:tr>
          </w:tbl>
          <w:p>
            <w:pPr>
              <w:pStyle w:val="37"/>
              <w:ind w:firstLine="480"/>
            </w:pPr>
            <w:r>
              <w:rPr>
                <w:rFonts w:hint="eastAsia"/>
              </w:rPr>
              <w:t>4、固废</w:t>
            </w:r>
          </w:p>
          <w:p>
            <w:pPr>
              <w:pStyle w:val="37"/>
              <w:ind w:firstLine="480"/>
              <w:rPr>
                <w:rFonts w:ascii="SimSun" w:hAnsi="SimSun"/>
              </w:rPr>
            </w:pPr>
            <w:r>
              <w:rPr>
                <w:rFonts w:hint="eastAsia" w:ascii="SimSun" w:hAnsi="SimSun"/>
              </w:rPr>
              <w:t>按照《一般工业固体废物贮存、处置场污染控制标准》（GB18599-2001）及其修改单、《危险废物贮存污染控制标准》（GB18597-2001）及其修改单中的相关要求执行。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40" w:hRule="atLeast"/>
        </w:trPr>
        <w:tc>
          <w:tcPr>
            <w:tcW w:w="843" w:type="dxa"/>
            <w:textDirection w:val="tbRlV"/>
            <w:vAlign w:val="bottom"/>
          </w:tcPr>
          <w:p>
            <w:pPr>
              <w:spacing w:line="360" w:lineRule="auto"/>
              <w:ind w:left="113" w:right="113"/>
              <w:jc w:val="both"/>
              <w:rPr>
                <w:rFonts w:ascii="SimSun" w:hAnsi="SimSun"/>
                <w:sz w:val="24"/>
              </w:rPr>
            </w:pPr>
            <w:r>
              <w:rPr>
                <w:rFonts w:hint="eastAsia" w:ascii="SimSun" w:hAnsi="SimSun"/>
                <w:sz w:val="24"/>
              </w:rPr>
              <w:t>总量控制指标</w:t>
            </w:r>
          </w:p>
        </w:tc>
        <w:tc>
          <w:tcPr>
            <w:tcW w:w="8445" w:type="dxa"/>
            <w:vAlign w:val="center"/>
          </w:tcPr>
          <w:p>
            <w:pPr>
              <w:pStyle w:val="37"/>
              <w:ind w:firstLine="480"/>
            </w:pPr>
            <w:r>
              <w:rPr>
                <w:rFonts w:hint="eastAsia"/>
              </w:rPr>
              <w:t>本项目不新增总量控制指标。</w:t>
            </w:r>
          </w:p>
        </w:tc>
      </w:tr>
    </w:tbl>
    <w:p>
      <w:pPr>
        <w:pStyle w:val="2"/>
      </w:pPr>
      <w:r>
        <w:br w:type="page"/>
      </w:r>
      <w:bookmarkStart w:id="9" w:name="_Toc496518917"/>
      <w:bookmarkStart w:id="10" w:name="_Toc34472025"/>
      <w:r>
        <w:rPr>
          <w:rFonts w:hint="eastAsia"/>
        </w:rPr>
        <w:t>表五建设项目工程分析</w:t>
      </w:r>
      <w:bookmarkEnd w:id="9"/>
      <w:bookmarkEnd w:id="10"/>
    </w:p>
    <w:p>
      <w:pPr>
        <w:spacing w:line="40" w:lineRule="exact"/>
        <w:rPr>
          <w:rFonts w:eastAsia="SimHei"/>
          <w:b/>
          <w:sz w:val="30"/>
        </w:rPr>
      </w:pP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8" w:hRule="atLeast"/>
          <w:jc w:val="center"/>
        </w:trPr>
        <w:tc>
          <w:tcPr>
            <w:tcW w:w="5000" w:type="pct"/>
          </w:tcPr>
          <w:p>
            <w:pPr>
              <w:spacing w:line="540" w:lineRule="exact"/>
              <w:rPr>
                <w:rFonts w:ascii="SimHei" w:hAnsi="SimSun" w:eastAsia="SimHei"/>
                <w:b/>
                <w:bCs/>
                <w:sz w:val="28"/>
              </w:rPr>
            </w:pPr>
            <w:r>
              <w:rPr>
                <w:rFonts w:hint="eastAsia" w:ascii="SimHei" w:hAnsi="SimSun" w:eastAsia="SimHei"/>
                <w:b/>
                <w:bCs/>
                <w:sz w:val="28"/>
              </w:rPr>
              <w:t>工艺流程简述（图示）</w:t>
            </w:r>
          </w:p>
          <w:p>
            <w:pPr>
              <w:pStyle w:val="4"/>
              <w:ind w:firstLine="482"/>
            </w:pPr>
            <w:r>
              <w:rPr>
                <w:rFonts w:hint="eastAsia"/>
              </w:rPr>
              <w:t>一、施工期工艺流程及产污位置示意图</w:t>
            </w:r>
          </w:p>
          <w:p>
            <w:pPr>
              <w:pStyle w:val="37"/>
              <w:ind w:firstLine="480"/>
            </w:pPr>
            <w:r>
              <w:rPr>
                <w:rFonts w:hint="eastAsia"/>
              </w:rPr>
              <w:t>该项目的施工期建设主要包括主体工程：磁选车间；辅助工程及厂房修建。施工期对环境的影响主要包括：施工废水、施工噪声和施工扬尘。该项目建设性质为技改，厂区场地、公用工程及办公生活设施等依托原有。本项目施工期施工工艺流程及产污分布如下图：</w:t>
            </w:r>
          </w:p>
          <w:p>
            <w:pPr>
              <w:jc w:val="center"/>
            </w:pPr>
            <w:r>
              <w:object>
                <v:shape id="_x0000_i1025" o:spt="75" type="#_x0000_t75" style="height:224pt;width:449.5pt;" o:ole="t" filled="f" o:preferrelative="t" stroked="f" coordsize="21600,21600">
                  <v:path/>
                  <v:fill on="f" focussize="0,0"/>
                  <v:stroke on="f" joinstyle="miter"/>
                  <v:imagedata r:id="rId16" o:title=""/>
                  <o:lock v:ext="edit" aspectratio="t"/>
                  <w10:wrap type="none"/>
                  <w10:anchorlock/>
                </v:shape>
                <o:OLEObject Type="Embed" ProgID="Visio.Drawing.15" ShapeID="_x0000_i1025" DrawAspect="Content" ObjectID="_1468075725" r:id="rId15">
                  <o:LockedField>false</o:LockedField>
                </o:OLEObject>
              </w:object>
            </w:r>
          </w:p>
          <w:p>
            <w:pPr>
              <w:pStyle w:val="36"/>
            </w:pPr>
            <w:r>
              <w:rPr>
                <w:rFonts w:hint="eastAsia"/>
              </w:rPr>
              <w:t>图5-1 施工期工艺流程及产污分布图</w:t>
            </w:r>
          </w:p>
          <w:p>
            <w:pPr>
              <w:pStyle w:val="37"/>
              <w:ind w:firstLine="480"/>
            </w:pPr>
            <w:r>
              <w:rPr>
                <w:rFonts w:hint="eastAsia"/>
              </w:rPr>
              <w:t>工艺流程简述：</w:t>
            </w:r>
          </w:p>
          <w:p>
            <w:pPr>
              <w:pStyle w:val="37"/>
              <w:ind w:firstLine="480"/>
            </w:pPr>
            <w:r>
              <w:rPr>
                <w:rFonts w:hint="eastAsia"/>
              </w:rPr>
              <w:t>本项目基础工程主要为场地平整，场地平整施工主要产生建筑弃土（挖方、填方、弃方）；施工机械施工作业过程将产生一定的噪声，同时产生一定的扬尘、施工废水、生活污水等；</w:t>
            </w:r>
          </w:p>
          <w:p>
            <w:pPr>
              <w:pStyle w:val="37"/>
              <w:ind w:firstLine="480"/>
            </w:pPr>
            <w:r>
              <w:rPr>
                <w:rFonts w:hint="eastAsia"/>
              </w:rPr>
              <w:t>本项目已建成投入使用，因此本报告不再对施工期环境影响进行分析。</w:t>
            </w:r>
          </w:p>
          <w:p>
            <w:pPr>
              <w:pStyle w:val="4"/>
              <w:ind w:firstLine="482"/>
            </w:pPr>
            <w:r>
              <w:rPr>
                <w:rFonts w:hint="eastAsia"/>
              </w:rPr>
              <w:t>二、运营期生产工艺流程及其产污点图</w:t>
            </w:r>
          </w:p>
          <w:p>
            <w:pPr>
              <w:pStyle w:val="37"/>
              <w:ind w:firstLine="480"/>
            </w:pPr>
            <w:r>
              <w:rPr>
                <w:rFonts w:hint="eastAsia"/>
              </w:rPr>
              <w:t>本项目工艺流程及产污分布图如下：</w:t>
            </w:r>
          </w:p>
          <w:p>
            <w:pPr>
              <w:jc w:val="center"/>
            </w:pPr>
            <w:r>
              <w:object>
                <v:shape id="_x0000_i1026" o:spt="75" type="#_x0000_t75" style="height:494.5pt;width:453pt;" o:ole="t" filled="f" o:preferrelative="t" stroked="f" coordsize="21600,21600">
                  <v:path/>
                  <v:fill on="f" focussize="0,0"/>
                  <v:stroke on="f" joinstyle="miter"/>
                  <v:imagedata r:id="rId18" o:title=""/>
                  <o:lock v:ext="edit" aspectratio="t"/>
                  <w10:wrap type="none"/>
                  <w10:anchorlock/>
                </v:shape>
                <o:OLEObject Type="Embed" ProgID="Visio.Drawing.15" ShapeID="_x0000_i1026" DrawAspect="Content" ObjectID="_1468075726" r:id="rId17">
                  <o:LockedField>false</o:LockedField>
                </o:OLEObject>
              </w:object>
            </w:r>
          </w:p>
          <w:p>
            <w:pPr>
              <w:pStyle w:val="36"/>
            </w:pPr>
            <w:r>
              <w:rPr>
                <w:rFonts w:hint="eastAsia"/>
              </w:rPr>
              <w:t>图5-2 运营期工艺流程及产污分布图</w:t>
            </w:r>
          </w:p>
          <w:p>
            <w:pPr>
              <w:pStyle w:val="37"/>
              <w:ind w:firstLine="480"/>
            </w:pPr>
            <w:r>
              <w:rPr>
                <w:rFonts w:hint="eastAsia"/>
              </w:rPr>
              <w:t>工艺流程简述如下：</w:t>
            </w:r>
          </w:p>
          <w:p>
            <w:pPr>
              <w:pStyle w:val="37"/>
              <w:ind w:firstLine="480"/>
            </w:pPr>
            <w:r>
              <w:rPr>
                <w:rFonts w:hint="eastAsia"/>
              </w:rPr>
              <w:t>1、原料矿石</w:t>
            </w:r>
          </w:p>
          <w:p>
            <w:pPr>
              <w:pStyle w:val="37"/>
              <w:ind w:firstLine="480"/>
            </w:pPr>
            <w:r>
              <w:rPr>
                <w:rFonts w:hint="eastAsia"/>
              </w:rPr>
              <w:t>本项目原料矿石在当地钾长石矿山购买，主要为5~</w:t>
            </w:r>
            <w:r>
              <w:t>10目的钾长石头矿</w:t>
            </w:r>
            <w:r>
              <w:rPr>
                <w:rFonts w:hint="eastAsia"/>
              </w:rPr>
              <w:t>、3~</w:t>
            </w:r>
            <w:r>
              <w:t>5目的钾长石二沙</w:t>
            </w:r>
            <w:r>
              <w:rPr>
                <w:rFonts w:hint="eastAsia"/>
              </w:rPr>
              <w:t>，</w:t>
            </w:r>
            <w:r>
              <w:t>采用载重汽车封闭运输至厂区内原料堆场</w:t>
            </w:r>
            <w:r>
              <w:rPr>
                <w:rFonts w:hint="eastAsia"/>
              </w:rPr>
              <w:t>。</w:t>
            </w:r>
          </w:p>
          <w:p>
            <w:pPr>
              <w:pStyle w:val="37"/>
              <w:ind w:firstLine="480"/>
            </w:pPr>
            <w:r>
              <w:rPr>
                <w:rFonts w:hint="eastAsia"/>
              </w:rPr>
              <w:t>2、水洗分选</w:t>
            </w:r>
          </w:p>
          <w:p>
            <w:pPr>
              <w:pStyle w:val="37"/>
              <w:ind w:firstLine="480"/>
            </w:pPr>
            <w:r>
              <w:rPr>
                <w:rFonts w:hint="eastAsia"/>
              </w:rPr>
              <w:t>本项目采用2台旋沙机进行水洗分选，其工作原理为：借助于固体颗粒大小不同、比重不同，因而在液体中的沉降速率不同的原理进行分级的。矿浆从位于沉降区中部的进料口给入水槽，倾斜安装的水槽下槽下端是矿浆分级沉降区，螺旋低速转动，对矿浆起搅拌作用，使轻细颗粒悬浮到上面，流到溢流边堰溢出，进入下一道工序，粗重颗粒则沉降到槽体底部，由螺旋输送到排料口作为反砂排出。</w:t>
            </w:r>
          </w:p>
          <w:p>
            <w:pPr>
              <w:pStyle w:val="37"/>
              <w:ind w:firstLine="480"/>
            </w:pPr>
            <w:r>
              <w:rPr>
                <w:rFonts w:hint="eastAsia"/>
              </w:rPr>
              <w:t>3、球磨</w:t>
            </w:r>
          </w:p>
          <w:p>
            <w:pPr>
              <w:pStyle w:val="37"/>
              <w:ind w:firstLine="480"/>
            </w:pPr>
            <w:r>
              <w:rPr>
                <w:rFonts w:hint="eastAsia"/>
              </w:rPr>
              <w:t>本项目采用2</w:t>
            </w:r>
            <w:r>
              <w:t>.7×4.5m球磨机对水洗分级后的矿石进行细磨</w:t>
            </w:r>
            <w:r>
              <w:rPr>
                <w:rFonts w:hint="eastAsia"/>
              </w:rPr>
              <w:t>，</w:t>
            </w:r>
            <w:r>
              <w:t>由于进入球磨机的物料含有大量的水分</w:t>
            </w:r>
            <w:r>
              <w:rPr>
                <w:rFonts w:hint="eastAsia"/>
              </w:rPr>
              <w:t>，</w:t>
            </w:r>
            <w:r>
              <w:t>能够有效抑制粉尘产生</w:t>
            </w:r>
            <w:r>
              <w:rPr>
                <w:rFonts w:hint="eastAsia"/>
              </w:rPr>
              <w:t>。</w:t>
            </w:r>
          </w:p>
          <w:p>
            <w:pPr>
              <w:pStyle w:val="37"/>
              <w:ind w:firstLine="480"/>
            </w:pPr>
            <w:r>
              <w:rPr>
                <w:rFonts w:hint="eastAsia"/>
              </w:rPr>
              <w:t>4、平板磁选</w:t>
            </w:r>
          </w:p>
          <w:p>
            <w:pPr>
              <w:pStyle w:val="37"/>
              <w:ind w:firstLine="480"/>
            </w:pPr>
            <w:r>
              <w:rPr>
                <w:rFonts w:hint="eastAsia"/>
              </w:rPr>
              <w:t>本项目采用4平方的平板磁选机进行初步磁选，平板磁选机由机架、板式磁选系统、入料分选系统、传动系统、卸铁系统、调节系统、冲洗装置等结构组成。采用带式分选结构，在整个工作区域从进料到出料，物料在皮带的带动下，可对物料进行多次磁搅拌，同时在水流的冲洗作用下，把不含磁的矿石分选处，带有磁性的矿物被皮带输送到板选机的脱磁区，从而将带有磁性的矿物通过脱磁装置脱掉。</w:t>
            </w:r>
          </w:p>
          <w:p>
            <w:pPr>
              <w:pStyle w:val="37"/>
              <w:ind w:firstLine="480"/>
            </w:pPr>
            <w:r>
              <w:rPr>
                <w:rFonts w:hint="eastAsia"/>
              </w:rPr>
              <w:t>5、高梯度磁选</w:t>
            </w:r>
          </w:p>
          <w:p>
            <w:pPr>
              <w:pStyle w:val="37"/>
              <w:ind w:firstLine="480"/>
            </w:pPr>
            <w:r>
              <w:rPr>
                <w:rFonts w:hint="eastAsia"/>
              </w:rPr>
              <w:t>本项目钾长石矿经平板磁选机初步磁选后，由2台立环式高梯度磁选机再次进行精选，其中一台型号为L</w:t>
            </w:r>
            <w:r>
              <w:t>HGC-2.5(1.0T</w:t>
            </w:r>
            <w:r>
              <w:rPr>
                <w:rFonts w:hint="eastAsia"/>
              </w:rPr>
              <w:t>)，另一台型号为L</w:t>
            </w:r>
            <w:r>
              <w:t>HGC-2.5(1.4T</w:t>
            </w:r>
            <w:r>
              <w:rPr>
                <w:rFonts w:hint="eastAsia"/>
              </w:rPr>
              <w:t>)，其构筑主要为机架、精矿收集箱、激磁线圈、磁轭、转环总成、驱动装置、脉动装置及各种矿箱等组成。磁轭固定在机架上，与固定在其上的激磁线圈共同产生强磁场，转环由转环驱动装置带动顺时针旋转，缓慢通过磁场，在转环外圆上安装了多个分选盒，分选盒内安装有导磁材料制成的多层磁介质，转环通过磁场时，磁介质被磁化，在表面形成高梯度磁场，选矿时，矿浆自矿箱进入，沿上磁极缝隙流经转环，其中的磁性颗粒被吸附在磁介质表面，随转环转至上部无磁区，由精矿冲洗装置冲入精矿箱中，非磁性物质沿下磁轭缝隙流入矿箱中。磁选机除铁率为0</w:t>
            </w:r>
            <w:r>
              <w:t>.35</w:t>
            </w:r>
            <w:r>
              <w:rPr>
                <w:rFonts w:hint="eastAsia"/>
              </w:rPr>
              <w:t>%，</w:t>
            </w:r>
            <w:r>
              <w:t>则副产品黑砂的产生量195t</w:t>
            </w:r>
            <w:r>
              <w:rPr>
                <w:rFonts w:hint="eastAsia"/>
              </w:rPr>
              <w:t>，</w:t>
            </w:r>
            <w:r>
              <w:t>尾砂产生量为原料的</w:t>
            </w:r>
            <w:r>
              <w:rPr>
                <w:rFonts w:hint="eastAsia"/>
              </w:rPr>
              <w:t>1</w:t>
            </w:r>
            <w:r>
              <w:t>0</w:t>
            </w:r>
            <w:r>
              <w:rPr>
                <w:rFonts w:hint="eastAsia"/>
              </w:rPr>
              <w:t>%，则尾砂产生量为5</w:t>
            </w:r>
            <w:r>
              <w:t>577t</w:t>
            </w:r>
            <w:r>
              <w:rPr>
                <w:rFonts w:hint="eastAsia"/>
              </w:rPr>
              <w:t>。</w:t>
            </w:r>
          </w:p>
          <w:p>
            <w:pPr>
              <w:pStyle w:val="37"/>
              <w:ind w:firstLine="480"/>
            </w:pPr>
            <w:r>
              <w:rPr>
                <w:rFonts w:hint="eastAsia"/>
              </w:rPr>
              <w:t>6、过滤</w:t>
            </w:r>
          </w:p>
          <w:p>
            <w:pPr>
              <w:pStyle w:val="37"/>
              <w:ind w:firstLine="480"/>
            </w:pPr>
            <w:r>
              <w:t>本项目采用</w:t>
            </w:r>
            <w:r>
              <w:rPr>
                <w:rFonts w:hint="eastAsia"/>
              </w:rPr>
              <w:t>4</w:t>
            </w:r>
            <w:r>
              <w:t>0平方米陶瓷过滤机对除铁后的钾长石进行再次过滤</w:t>
            </w:r>
            <w:r>
              <w:rPr>
                <w:rFonts w:hint="eastAsia"/>
              </w:rPr>
              <w:t>、</w:t>
            </w:r>
            <w:r>
              <w:t>脱水</w:t>
            </w:r>
            <w:r>
              <w:rPr>
                <w:rFonts w:hint="eastAsia"/>
              </w:rPr>
              <w:t>，</w:t>
            </w:r>
            <w:r>
              <w:t>过滤后的矿石即为本项目钾长石矿产品</w:t>
            </w:r>
            <w:r>
              <w:rPr>
                <w:rFonts w:hint="eastAsia"/>
              </w:rPr>
              <w:t>，该过程将产生废水、固废。</w:t>
            </w:r>
          </w:p>
          <w:p>
            <w:pPr>
              <w:pStyle w:val="37"/>
              <w:ind w:firstLine="480"/>
            </w:pPr>
            <w:r>
              <w:rPr>
                <w:rFonts w:hint="eastAsia"/>
              </w:rPr>
              <w:t>7、浓密机</w:t>
            </w:r>
          </w:p>
          <w:p>
            <w:pPr>
              <w:pStyle w:val="37"/>
              <w:ind w:firstLine="480"/>
            </w:pPr>
            <w:r>
              <w:t>本项目设置有一个直径为</w:t>
            </w:r>
            <w:r>
              <w:rPr>
                <w:rFonts w:hint="eastAsia"/>
              </w:rPr>
              <w:t>1</w:t>
            </w:r>
            <w:r>
              <w:t>6m</w:t>
            </w:r>
            <w:r>
              <w:rPr>
                <w:rFonts w:hint="eastAsia"/>
              </w:rPr>
              <w:t>，</w:t>
            </w:r>
            <w:r>
              <w:t>高度约5</w:t>
            </w:r>
            <w:r>
              <w:rPr>
                <w:rFonts w:hint="eastAsia"/>
              </w:rPr>
              <w:t>m的浓密池，进入浓密塔的水主要有以下几类：脱泥斗的脱泥水，以及磁选机磁选废水的上清液，本项目设置有一座浓密处理装置，完全可满足本项目水处理的要求。浓密设施为漏斗形状可依靠自然沉淀实现对固液的分离，根据设计，经浓密设施浓缩处理后的沉淀物含水率约40%。沉淀物及压滤机压滤脱水后，上清液进入浓密设施，压滤后的固废作为尾砂外售。</w:t>
            </w:r>
          </w:p>
          <w:p>
            <w:pPr>
              <w:pStyle w:val="4"/>
              <w:ind w:firstLine="482"/>
            </w:pPr>
            <w:r>
              <w:rPr>
                <w:rFonts w:hint="eastAsia"/>
                <w:lang w:val="zh-CN"/>
              </w:rPr>
              <w:t>三、水平衡及物料平衡</w:t>
            </w:r>
          </w:p>
          <w:p>
            <w:pPr>
              <w:pStyle w:val="37"/>
              <w:ind w:firstLine="480"/>
            </w:pPr>
            <w:r>
              <w:rPr>
                <w:rFonts w:hint="eastAsia"/>
              </w:rPr>
              <w:t>1、水平衡分析</w:t>
            </w:r>
          </w:p>
          <w:p>
            <w:pPr>
              <w:pStyle w:val="37"/>
              <w:ind w:firstLine="480"/>
            </w:pPr>
            <w:r>
              <w:rPr>
                <w:rFonts w:hint="eastAsia"/>
              </w:rPr>
              <w:t>本项目用水包括生产用水和生活用水，其中生产主要为水洗用水、球磨机用水、磁选冲铁用水。</w:t>
            </w:r>
          </w:p>
          <w:p>
            <w:pPr>
              <w:pStyle w:val="37"/>
              <w:ind w:firstLine="480"/>
            </w:pPr>
            <w:r>
              <w:rPr>
                <w:rFonts w:hint="eastAsia"/>
              </w:rPr>
              <w:t>（1）生活用水：本项目新增劳动定员为</w:t>
            </w:r>
            <w:r>
              <w:t>10</w:t>
            </w:r>
            <w:r>
              <w:rPr>
                <w:rFonts w:hint="eastAsia"/>
              </w:rPr>
              <w:t>人，均为周边住户，采用三班制，不在厂区内食宿，根据《建筑给水排水设计规范（2009年版）》（GB50015-2003），职工办公用水量按50L/人·d计，则职工办公用水量为0.5t/d，污水产生系数取0.9，则项目办公废水产生量为0.4</w:t>
            </w:r>
            <w:r>
              <w:t>5</w:t>
            </w:r>
            <w:r>
              <w:rPr>
                <w:rFonts w:hint="eastAsia"/>
              </w:rPr>
              <w:t>t/d，依托现有工程内化粪池处理后，排入乡镇污水管网。</w:t>
            </w:r>
          </w:p>
          <w:p>
            <w:pPr>
              <w:pStyle w:val="37"/>
              <w:ind w:firstLine="480"/>
            </w:pPr>
            <w:r>
              <w:rPr>
                <w:rFonts w:hint="eastAsia"/>
              </w:rPr>
              <w:t>（2）水洗用水：本项目对购入的原料进行水洗，根据现有工程运行情况，水洗生产线用水量为0</w:t>
            </w:r>
            <w:r>
              <w:t>.34m</w:t>
            </w:r>
            <w:r>
              <w:rPr>
                <w:vertAlign w:val="superscript"/>
              </w:rPr>
              <w:t>3</w:t>
            </w:r>
            <w:r>
              <w:t>/t原料</w:t>
            </w:r>
            <w:r>
              <w:rPr>
                <w:rFonts w:hint="eastAsia"/>
              </w:rPr>
              <w:t>，</w:t>
            </w:r>
            <w:r>
              <w:t>每天清洗矿石量为</w:t>
            </w:r>
            <w:r>
              <w:rPr>
                <w:rFonts w:hint="eastAsia"/>
              </w:rPr>
              <w:t>2</w:t>
            </w:r>
            <w:r>
              <w:t>00t</w:t>
            </w:r>
            <w:r>
              <w:rPr>
                <w:rFonts w:hint="eastAsia"/>
              </w:rPr>
              <w:t>，</w:t>
            </w:r>
            <w:r>
              <w:t>则用水量为</w:t>
            </w:r>
            <w:r>
              <w:rPr>
                <w:rFonts w:hint="eastAsia"/>
              </w:rPr>
              <w:t>6</w:t>
            </w:r>
            <w:r>
              <w:t>8m</w:t>
            </w:r>
            <w:r>
              <w:rPr>
                <w:vertAlign w:val="superscript"/>
              </w:rPr>
              <w:t>3</w:t>
            </w:r>
            <w:r>
              <w:t>/d</w:t>
            </w:r>
            <w:r>
              <w:rPr>
                <w:rFonts w:hint="eastAsia"/>
              </w:rPr>
              <w:t>，</w:t>
            </w:r>
            <w:r>
              <w:t>水洗工序损耗量约</w:t>
            </w:r>
            <w:r>
              <w:rPr>
                <w:rFonts w:hint="eastAsia"/>
              </w:rPr>
              <w:t>3</w:t>
            </w:r>
            <w:r>
              <w:t>0</w:t>
            </w:r>
            <w:r>
              <w:rPr>
                <w:rFonts w:hint="eastAsia"/>
              </w:rPr>
              <w:t>%（包括矿石带走和蒸发损耗），即水洗工序废水产生量约4</w:t>
            </w:r>
            <w:r>
              <w:t>7.6m</w:t>
            </w:r>
            <w:r>
              <w:rPr>
                <w:vertAlign w:val="superscript"/>
              </w:rPr>
              <w:t>3</w:t>
            </w:r>
            <w:r>
              <w:t>/d</w:t>
            </w:r>
            <w:r>
              <w:rPr>
                <w:rFonts w:hint="eastAsia"/>
              </w:rPr>
              <w:t>。</w:t>
            </w:r>
          </w:p>
          <w:p>
            <w:pPr>
              <w:pStyle w:val="37"/>
              <w:ind w:firstLine="480"/>
            </w:pPr>
            <w:r>
              <w:rPr>
                <w:rFonts w:hint="eastAsia"/>
              </w:rPr>
              <w:t>（3）球磨机用水</w:t>
            </w:r>
          </w:p>
          <w:p>
            <w:pPr>
              <w:pStyle w:val="37"/>
              <w:ind w:firstLine="480"/>
            </w:pPr>
            <w:r>
              <w:t>根据现有工程运行情况</w:t>
            </w:r>
            <w:r>
              <w:rPr>
                <w:rFonts w:hint="eastAsia"/>
              </w:rPr>
              <w:t>，</w:t>
            </w:r>
            <w:r>
              <w:t>球磨机每吨矿石用水量约</w:t>
            </w:r>
            <w:r>
              <w:rPr>
                <w:rFonts w:hint="eastAsia"/>
              </w:rPr>
              <w:t>1</w:t>
            </w:r>
            <w:r>
              <w:t>.68m</w:t>
            </w:r>
            <w:r>
              <w:rPr>
                <w:vertAlign w:val="superscript"/>
              </w:rPr>
              <w:t>3</w:t>
            </w:r>
            <w:r>
              <w:rPr>
                <w:rFonts w:hint="eastAsia"/>
              </w:rPr>
              <w:t>，每天球磨矿石量为2</w:t>
            </w:r>
            <w:r>
              <w:t>00t</w:t>
            </w:r>
            <w:r>
              <w:rPr>
                <w:rFonts w:hint="eastAsia"/>
              </w:rPr>
              <w:t>，则球磨工序用水量为3</w:t>
            </w:r>
            <w:r>
              <w:t>36m</w:t>
            </w:r>
            <w:r>
              <w:rPr>
                <w:vertAlign w:val="superscript"/>
              </w:rPr>
              <w:t>3</w:t>
            </w:r>
            <w:r>
              <w:t>/d</w:t>
            </w:r>
            <w:r>
              <w:rPr>
                <w:rFonts w:hint="eastAsia"/>
              </w:rPr>
              <w:t>，</w:t>
            </w:r>
            <w:r>
              <w:t>球磨工序用水均来自废水循环沉淀处理系统处理后的循环水</w:t>
            </w:r>
            <w:r>
              <w:rPr>
                <w:rFonts w:hint="eastAsia"/>
              </w:rPr>
              <w:t>，</w:t>
            </w:r>
            <w:r>
              <w:t>球磨工序的用水损耗约占</w:t>
            </w:r>
            <w:r>
              <w:rPr>
                <w:rFonts w:hint="eastAsia"/>
              </w:rPr>
              <w:t>3</w:t>
            </w:r>
            <w:r>
              <w:t>0</w:t>
            </w:r>
            <w:r>
              <w:rPr>
                <w:rFonts w:hint="eastAsia"/>
              </w:rPr>
              <w:t>%，</w:t>
            </w:r>
            <w:r>
              <w:t>则废水产生量为</w:t>
            </w:r>
            <w:r>
              <w:rPr>
                <w:rFonts w:hint="eastAsia"/>
              </w:rPr>
              <w:t>2</w:t>
            </w:r>
            <w:r>
              <w:t>35.2m</w:t>
            </w:r>
            <w:r>
              <w:rPr>
                <w:vertAlign w:val="superscript"/>
              </w:rPr>
              <w:t>3</w:t>
            </w:r>
            <w:r>
              <w:t>/d</w:t>
            </w:r>
            <w:r>
              <w:rPr>
                <w:rFonts w:hint="eastAsia"/>
              </w:rPr>
              <w:t>。</w:t>
            </w:r>
          </w:p>
          <w:p>
            <w:pPr>
              <w:pStyle w:val="37"/>
              <w:ind w:firstLine="480"/>
            </w:pPr>
            <w:r>
              <w:rPr>
                <w:rFonts w:hint="eastAsia"/>
              </w:rPr>
              <w:t>（4）磁选机用水</w:t>
            </w:r>
          </w:p>
          <w:p>
            <w:pPr>
              <w:pStyle w:val="37"/>
              <w:ind w:firstLine="480"/>
            </w:pPr>
            <w:r>
              <w:t>本项目使用水冲去磁选机上带走的铁</w:t>
            </w:r>
            <w:r>
              <w:rPr>
                <w:rFonts w:hint="eastAsia"/>
              </w:rPr>
              <w:t>，</w:t>
            </w:r>
            <w:r>
              <w:t>磁选机除铁工序用水量约</w:t>
            </w:r>
            <w:r>
              <w:rPr>
                <w:rFonts w:hint="eastAsia"/>
              </w:rPr>
              <w:t>8m</w:t>
            </w:r>
            <w:r>
              <w:rPr>
                <w:vertAlign w:val="superscript"/>
              </w:rPr>
              <w:t>3</w:t>
            </w:r>
            <w:r>
              <w:t>/h</w:t>
            </w:r>
            <w:r>
              <w:rPr>
                <w:rFonts w:hint="eastAsia"/>
              </w:rPr>
              <w:t>，</w:t>
            </w:r>
            <w:r>
              <w:t>本项目3台磁选机每天工作时间为</w:t>
            </w:r>
            <w:r>
              <w:rPr>
                <w:rFonts w:hint="eastAsia"/>
              </w:rPr>
              <w:t>8小时，则用水量为1</w:t>
            </w:r>
            <w:r>
              <w:t>92m</w:t>
            </w:r>
            <w:r>
              <w:rPr>
                <w:vertAlign w:val="superscript"/>
              </w:rPr>
              <w:t>3</w:t>
            </w:r>
            <w:r>
              <w:t>/d</w:t>
            </w:r>
            <w:r>
              <w:rPr>
                <w:rFonts w:hint="eastAsia"/>
              </w:rPr>
              <w:t>，冲铁工序用水损耗约为3</w:t>
            </w:r>
            <w:r>
              <w:t>0</w:t>
            </w:r>
            <w:r>
              <w:rPr>
                <w:rFonts w:hint="eastAsia"/>
              </w:rPr>
              <w:t>%，</w:t>
            </w:r>
            <w:r>
              <w:t>则冲铁废水产生量为</w:t>
            </w:r>
            <w:r>
              <w:rPr>
                <w:rFonts w:hint="eastAsia"/>
              </w:rPr>
              <w:t>1</w:t>
            </w:r>
            <w:r>
              <w:t>34.4m</w:t>
            </w:r>
            <w:r>
              <w:rPr>
                <w:vertAlign w:val="superscript"/>
              </w:rPr>
              <w:t>3</w:t>
            </w:r>
            <w:r>
              <w:rPr>
                <w:rFonts w:hint="eastAsia"/>
              </w:rPr>
              <w:t>。</w:t>
            </w:r>
          </w:p>
          <w:p>
            <w:pPr>
              <w:pStyle w:val="37"/>
              <w:ind w:firstLine="480"/>
            </w:pPr>
            <w:r>
              <w:t>本项目运营期用水情况如下表</w:t>
            </w:r>
            <w:r>
              <w:rPr>
                <w:rFonts w:hint="eastAsia"/>
              </w:rPr>
              <w:t>：</w:t>
            </w:r>
          </w:p>
          <w:p>
            <w:pPr>
              <w:pStyle w:val="37"/>
              <w:ind w:firstLine="480"/>
            </w:pPr>
          </w:p>
          <w:p>
            <w:pPr>
              <w:pStyle w:val="37"/>
              <w:ind w:firstLine="480"/>
            </w:pPr>
          </w:p>
          <w:p>
            <w:pPr>
              <w:pStyle w:val="37"/>
              <w:ind w:firstLine="480"/>
            </w:pPr>
          </w:p>
          <w:p>
            <w:pPr>
              <w:pStyle w:val="54"/>
            </w:pPr>
            <w:r>
              <w:rPr>
                <w:rFonts w:hint="eastAsia"/>
              </w:rPr>
              <w:t>表5-1 运营期用水及排水情况一览表单位</w:t>
            </w:r>
            <w:r>
              <w:t>m</w:t>
            </w:r>
            <w:r>
              <w:rPr>
                <w:vertAlign w:val="superscript"/>
              </w:rPr>
              <w:t>3</w:t>
            </w:r>
            <w:r>
              <w:t>/d</w:t>
            </w:r>
          </w:p>
          <w:tbl>
            <w:tblPr>
              <w:tblStyle w:val="2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61"/>
              <w:gridCol w:w="1132"/>
              <w:gridCol w:w="1593"/>
              <w:gridCol w:w="1101"/>
              <w:gridCol w:w="887"/>
              <w:gridCol w:w="1060"/>
              <w:gridCol w:w="272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 w:hRule="atLeast"/>
                <w:jc w:val="center"/>
              </w:trPr>
              <w:tc>
                <w:tcPr>
                  <w:tcW w:w="561" w:type="dxa"/>
                  <w:vAlign w:val="center"/>
                </w:tcPr>
                <w:p>
                  <w:pPr>
                    <w:pStyle w:val="47"/>
                  </w:pPr>
                  <w:r>
                    <w:rPr>
                      <w:rFonts w:hint="eastAsia"/>
                    </w:rPr>
                    <w:t>序号</w:t>
                  </w:r>
                </w:p>
              </w:tc>
              <w:tc>
                <w:tcPr>
                  <w:tcW w:w="1132" w:type="dxa"/>
                  <w:vAlign w:val="center"/>
                </w:tcPr>
                <w:p>
                  <w:pPr>
                    <w:pStyle w:val="47"/>
                  </w:pPr>
                  <w:r>
                    <w:rPr>
                      <w:rFonts w:hint="eastAsia"/>
                    </w:rPr>
                    <w:t>用水项目</w:t>
                  </w:r>
                </w:p>
              </w:tc>
              <w:tc>
                <w:tcPr>
                  <w:tcW w:w="1593" w:type="dxa"/>
                  <w:vAlign w:val="center"/>
                </w:tcPr>
                <w:p>
                  <w:pPr>
                    <w:pStyle w:val="47"/>
                  </w:pPr>
                  <w:r>
                    <w:rPr>
                      <w:rFonts w:hint="eastAsia"/>
                    </w:rPr>
                    <w:t>用水指标</w:t>
                  </w:r>
                </w:p>
              </w:tc>
              <w:tc>
                <w:tcPr>
                  <w:tcW w:w="1101" w:type="dxa"/>
                  <w:vAlign w:val="center"/>
                </w:tcPr>
                <w:p>
                  <w:pPr>
                    <w:pStyle w:val="47"/>
                  </w:pPr>
                  <w:r>
                    <w:rPr>
                      <w:rFonts w:hint="eastAsia"/>
                    </w:rPr>
                    <w:t>设计最大数量</w:t>
                  </w:r>
                </w:p>
              </w:tc>
              <w:tc>
                <w:tcPr>
                  <w:tcW w:w="887" w:type="dxa"/>
                  <w:vAlign w:val="center"/>
                </w:tcPr>
                <w:p>
                  <w:pPr>
                    <w:pStyle w:val="47"/>
                  </w:pPr>
                  <w:r>
                    <w:rPr>
                      <w:rFonts w:hint="eastAsia"/>
                    </w:rPr>
                    <w:t>循环水回用量</w:t>
                  </w:r>
                </w:p>
              </w:tc>
              <w:tc>
                <w:tcPr>
                  <w:tcW w:w="1060" w:type="dxa"/>
                  <w:vAlign w:val="center"/>
                </w:tcPr>
                <w:p>
                  <w:pPr>
                    <w:pStyle w:val="47"/>
                  </w:pPr>
                  <w:r>
                    <w:rPr>
                      <w:rFonts w:hint="eastAsia"/>
                    </w:rPr>
                    <w:t>新鲜水用量</w:t>
                  </w:r>
                </w:p>
              </w:tc>
              <w:tc>
                <w:tcPr>
                  <w:tcW w:w="2720" w:type="dxa"/>
                  <w:vAlign w:val="center"/>
                </w:tcPr>
                <w:p>
                  <w:pPr>
                    <w:pStyle w:val="47"/>
                  </w:pPr>
                  <w:r>
                    <w:rPr>
                      <w:rFonts w:hint="eastAsia"/>
                    </w:rPr>
                    <w:t>排放去向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561" w:type="dxa"/>
                  <w:vAlign w:val="center"/>
                </w:tcPr>
                <w:p>
                  <w:pPr>
                    <w:pStyle w:val="47"/>
                  </w:pPr>
                  <w:r>
                    <w:rPr>
                      <w:rFonts w:hint="eastAsia"/>
                    </w:rPr>
                    <w:t>1</w:t>
                  </w:r>
                </w:p>
              </w:tc>
              <w:tc>
                <w:tcPr>
                  <w:tcW w:w="1132" w:type="dxa"/>
                  <w:vAlign w:val="center"/>
                </w:tcPr>
                <w:p>
                  <w:pPr>
                    <w:pStyle w:val="47"/>
                  </w:pPr>
                  <w:r>
                    <w:rPr>
                      <w:rFonts w:hint="eastAsia"/>
                    </w:rPr>
                    <w:t>生活用水</w:t>
                  </w:r>
                </w:p>
              </w:tc>
              <w:tc>
                <w:tcPr>
                  <w:tcW w:w="1593" w:type="dxa"/>
                  <w:vAlign w:val="center"/>
                </w:tcPr>
                <w:p>
                  <w:pPr>
                    <w:pStyle w:val="47"/>
                  </w:pPr>
                  <w:r>
                    <w:t>50L/人</w:t>
                  </w:r>
                  <w:r>
                    <w:rPr>
                      <w:rFonts w:hint="eastAsia"/>
                    </w:rPr>
                    <w:t>·</w:t>
                  </w:r>
                  <w:r>
                    <w:t>d</w:t>
                  </w:r>
                </w:p>
              </w:tc>
              <w:tc>
                <w:tcPr>
                  <w:tcW w:w="1101" w:type="dxa"/>
                  <w:vAlign w:val="center"/>
                </w:tcPr>
                <w:p>
                  <w:pPr>
                    <w:pStyle w:val="47"/>
                  </w:pPr>
                  <w:r>
                    <w:rPr>
                      <w:rFonts w:hint="eastAsia"/>
                    </w:rPr>
                    <w:t>11</w:t>
                  </w:r>
                  <w:r>
                    <w:t>人</w:t>
                  </w:r>
                </w:p>
              </w:tc>
              <w:tc>
                <w:tcPr>
                  <w:tcW w:w="887" w:type="dxa"/>
                  <w:vAlign w:val="center"/>
                </w:tcPr>
                <w:p>
                  <w:pPr>
                    <w:pStyle w:val="47"/>
                  </w:pPr>
                  <w:r>
                    <w:rPr>
                      <w:rFonts w:hint="eastAsia"/>
                    </w:rPr>
                    <w:t>0</w:t>
                  </w:r>
                </w:p>
              </w:tc>
              <w:tc>
                <w:tcPr>
                  <w:tcW w:w="1060" w:type="dxa"/>
                  <w:vAlign w:val="center"/>
                </w:tcPr>
                <w:p>
                  <w:pPr>
                    <w:pStyle w:val="47"/>
                  </w:pPr>
                  <w:r>
                    <w:rPr>
                      <w:rFonts w:hint="eastAsia"/>
                    </w:rPr>
                    <w:t>0</w:t>
                  </w:r>
                  <w:r>
                    <w:t>.45</w:t>
                  </w:r>
                </w:p>
              </w:tc>
              <w:tc>
                <w:tcPr>
                  <w:tcW w:w="2720" w:type="dxa"/>
                  <w:vAlign w:val="center"/>
                </w:tcPr>
                <w:p>
                  <w:pPr>
                    <w:pStyle w:val="47"/>
                  </w:pPr>
                  <w:r>
                    <w:rPr>
                      <w:rFonts w:hint="eastAsia"/>
                    </w:rPr>
                    <w:t>依托现有工程化粪池处理后排入乡镇污水管网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561" w:type="dxa"/>
                  <w:vAlign w:val="center"/>
                </w:tcPr>
                <w:p>
                  <w:pPr>
                    <w:pStyle w:val="47"/>
                  </w:pPr>
                  <w:r>
                    <w:rPr>
                      <w:rFonts w:hint="eastAsia"/>
                    </w:rPr>
                    <w:t>2</w:t>
                  </w:r>
                </w:p>
              </w:tc>
              <w:tc>
                <w:tcPr>
                  <w:tcW w:w="1132" w:type="dxa"/>
                  <w:vAlign w:val="center"/>
                </w:tcPr>
                <w:p>
                  <w:pPr>
                    <w:pStyle w:val="47"/>
                  </w:pPr>
                  <w:r>
                    <w:t>水洗用水</w:t>
                  </w:r>
                </w:p>
              </w:tc>
              <w:tc>
                <w:tcPr>
                  <w:tcW w:w="1593" w:type="dxa"/>
                  <w:tcBorders>
                    <w:bottom w:val="single" w:color="auto" w:sz="4" w:space="0"/>
                  </w:tcBorders>
                  <w:vAlign w:val="center"/>
                </w:tcPr>
                <w:p>
                  <w:pPr>
                    <w:pStyle w:val="47"/>
                  </w:pPr>
                  <w:r>
                    <w:t>0.34m</w:t>
                  </w:r>
                  <w:r>
                    <w:rPr>
                      <w:vertAlign w:val="superscript"/>
                    </w:rPr>
                    <w:t>3</w:t>
                  </w:r>
                  <w:r>
                    <w:t>/t原料</w:t>
                  </w:r>
                </w:p>
              </w:tc>
              <w:tc>
                <w:tcPr>
                  <w:tcW w:w="1101" w:type="dxa"/>
                  <w:vAlign w:val="center"/>
                </w:tcPr>
                <w:p>
                  <w:pPr>
                    <w:pStyle w:val="47"/>
                  </w:pPr>
                  <w:r>
                    <w:rPr>
                      <w:rFonts w:hint="eastAsia"/>
                    </w:rPr>
                    <w:t>2</w:t>
                  </w:r>
                  <w:r>
                    <w:t>00t</w:t>
                  </w:r>
                </w:p>
              </w:tc>
              <w:tc>
                <w:tcPr>
                  <w:tcW w:w="887" w:type="dxa"/>
                  <w:vAlign w:val="center"/>
                </w:tcPr>
                <w:p>
                  <w:pPr>
                    <w:pStyle w:val="47"/>
                  </w:pPr>
                  <w:r>
                    <w:t>47.6</w:t>
                  </w:r>
                </w:p>
              </w:tc>
              <w:tc>
                <w:tcPr>
                  <w:tcW w:w="1060" w:type="dxa"/>
                  <w:vAlign w:val="center"/>
                </w:tcPr>
                <w:p>
                  <w:pPr>
                    <w:pStyle w:val="47"/>
                  </w:pPr>
                  <w:r>
                    <w:rPr>
                      <w:rFonts w:hint="eastAsia"/>
                    </w:rPr>
                    <w:t>2</w:t>
                  </w:r>
                  <w:r>
                    <w:t>0.4</w:t>
                  </w:r>
                </w:p>
              </w:tc>
              <w:tc>
                <w:tcPr>
                  <w:tcW w:w="2720" w:type="dxa"/>
                  <w:vMerge w:val="restart"/>
                  <w:vAlign w:val="center"/>
                </w:tcPr>
                <w:p>
                  <w:pPr>
                    <w:pStyle w:val="47"/>
                  </w:pPr>
                  <w:r>
                    <w:rPr>
                      <w:rFonts w:hint="eastAsia"/>
                    </w:rPr>
                    <w:t>废水经浓密机处理后循环使用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561" w:type="dxa"/>
                  <w:vAlign w:val="center"/>
                </w:tcPr>
                <w:p>
                  <w:pPr>
                    <w:pStyle w:val="47"/>
                  </w:pPr>
                  <w:r>
                    <w:rPr>
                      <w:rFonts w:hint="eastAsia"/>
                    </w:rPr>
                    <w:t>3</w:t>
                  </w:r>
                </w:p>
              </w:tc>
              <w:tc>
                <w:tcPr>
                  <w:tcW w:w="1132" w:type="dxa"/>
                  <w:vAlign w:val="center"/>
                </w:tcPr>
                <w:p>
                  <w:pPr>
                    <w:pStyle w:val="47"/>
                  </w:pPr>
                  <w:r>
                    <w:t>球磨机用水</w:t>
                  </w:r>
                </w:p>
              </w:tc>
              <w:tc>
                <w:tcPr>
                  <w:tcW w:w="1593" w:type="dxa"/>
                  <w:tcBorders>
                    <w:bottom w:val="single" w:color="auto" w:sz="4" w:space="0"/>
                  </w:tcBorders>
                  <w:vAlign w:val="center"/>
                </w:tcPr>
                <w:p>
                  <w:pPr>
                    <w:pStyle w:val="47"/>
                  </w:pPr>
                  <w:r>
                    <w:rPr>
                      <w:rFonts w:hint="eastAsia"/>
                    </w:rPr>
                    <w:t>1</w:t>
                  </w:r>
                  <w:r>
                    <w:t>.68m</w:t>
                  </w:r>
                  <w:r>
                    <w:rPr>
                      <w:vertAlign w:val="superscript"/>
                    </w:rPr>
                    <w:t>3</w:t>
                  </w:r>
                  <w:r>
                    <w:t>/t原料</w:t>
                  </w:r>
                </w:p>
              </w:tc>
              <w:tc>
                <w:tcPr>
                  <w:tcW w:w="1101" w:type="dxa"/>
                  <w:vAlign w:val="center"/>
                </w:tcPr>
                <w:p>
                  <w:pPr>
                    <w:pStyle w:val="47"/>
                  </w:pPr>
                  <w:r>
                    <w:rPr>
                      <w:rFonts w:hint="eastAsia"/>
                    </w:rPr>
                    <w:t>2</w:t>
                  </w:r>
                  <w:r>
                    <w:t>00t</w:t>
                  </w:r>
                </w:p>
              </w:tc>
              <w:tc>
                <w:tcPr>
                  <w:tcW w:w="887" w:type="dxa"/>
                  <w:vAlign w:val="center"/>
                </w:tcPr>
                <w:p>
                  <w:pPr>
                    <w:pStyle w:val="47"/>
                  </w:pPr>
                  <w:r>
                    <w:t>235.2</w:t>
                  </w:r>
                </w:p>
              </w:tc>
              <w:tc>
                <w:tcPr>
                  <w:tcW w:w="1060" w:type="dxa"/>
                  <w:vAlign w:val="center"/>
                </w:tcPr>
                <w:p>
                  <w:pPr>
                    <w:pStyle w:val="47"/>
                  </w:pPr>
                  <w:r>
                    <w:rPr>
                      <w:rFonts w:hint="eastAsia"/>
                    </w:rPr>
                    <w:t>1</w:t>
                  </w:r>
                  <w:r>
                    <w:t>00.8</w:t>
                  </w:r>
                </w:p>
              </w:tc>
              <w:tc>
                <w:tcPr>
                  <w:tcW w:w="2720" w:type="dxa"/>
                  <w:vMerge w:val="continue"/>
                  <w:vAlign w:val="center"/>
                </w:tcPr>
                <w:p>
                  <w:pPr>
                    <w:pStyle w:val="47"/>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561" w:type="dxa"/>
                  <w:vAlign w:val="center"/>
                </w:tcPr>
                <w:p>
                  <w:pPr>
                    <w:pStyle w:val="47"/>
                  </w:pPr>
                  <w:r>
                    <w:rPr>
                      <w:rFonts w:hint="eastAsia"/>
                    </w:rPr>
                    <w:t>4</w:t>
                  </w:r>
                </w:p>
              </w:tc>
              <w:tc>
                <w:tcPr>
                  <w:tcW w:w="1132" w:type="dxa"/>
                  <w:vAlign w:val="center"/>
                </w:tcPr>
                <w:p>
                  <w:pPr>
                    <w:pStyle w:val="47"/>
                  </w:pPr>
                  <w:r>
                    <w:rPr>
                      <w:rFonts w:hint="eastAsia"/>
                    </w:rPr>
                    <w:t>磁选机用水</w:t>
                  </w:r>
                </w:p>
              </w:tc>
              <w:tc>
                <w:tcPr>
                  <w:tcW w:w="1593" w:type="dxa"/>
                  <w:tcBorders>
                    <w:bottom w:val="single" w:color="auto" w:sz="4" w:space="0"/>
                  </w:tcBorders>
                  <w:vAlign w:val="center"/>
                </w:tcPr>
                <w:p>
                  <w:pPr>
                    <w:pStyle w:val="47"/>
                  </w:pPr>
                  <w:r>
                    <w:t>3×</w:t>
                  </w:r>
                  <w:r>
                    <w:rPr>
                      <w:rFonts w:hint="eastAsia"/>
                    </w:rPr>
                    <w:t>8m</w:t>
                  </w:r>
                  <w:r>
                    <w:rPr>
                      <w:vertAlign w:val="superscript"/>
                    </w:rPr>
                    <w:t>3</w:t>
                  </w:r>
                  <w:r>
                    <w:t>/h</w:t>
                  </w:r>
                </w:p>
              </w:tc>
              <w:tc>
                <w:tcPr>
                  <w:tcW w:w="1101" w:type="dxa"/>
                  <w:vAlign w:val="center"/>
                </w:tcPr>
                <w:p>
                  <w:pPr>
                    <w:pStyle w:val="47"/>
                  </w:pPr>
                  <w:r>
                    <w:t>8h</w:t>
                  </w:r>
                </w:p>
              </w:tc>
              <w:tc>
                <w:tcPr>
                  <w:tcW w:w="887" w:type="dxa"/>
                  <w:vAlign w:val="center"/>
                </w:tcPr>
                <w:p>
                  <w:pPr>
                    <w:pStyle w:val="47"/>
                  </w:pPr>
                  <w:r>
                    <w:rPr>
                      <w:rFonts w:hint="eastAsia"/>
                    </w:rPr>
                    <w:t>1</w:t>
                  </w:r>
                  <w:r>
                    <w:t>34.4</w:t>
                  </w:r>
                </w:p>
              </w:tc>
              <w:tc>
                <w:tcPr>
                  <w:tcW w:w="1060" w:type="dxa"/>
                  <w:vAlign w:val="center"/>
                </w:tcPr>
                <w:p>
                  <w:pPr>
                    <w:pStyle w:val="47"/>
                  </w:pPr>
                  <w:r>
                    <w:rPr>
                      <w:rFonts w:hint="eastAsia"/>
                    </w:rPr>
                    <w:t>5</w:t>
                  </w:r>
                  <w:r>
                    <w:t>7.6</w:t>
                  </w:r>
                </w:p>
              </w:tc>
              <w:tc>
                <w:tcPr>
                  <w:tcW w:w="2720" w:type="dxa"/>
                  <w:vAlign w:val="center"/>
                </w:tcPr>
                <w:p>
                  <w:pPr>
                    <w:pStyle w:val="47"/>
                  </w:pPr>
                  <w:r>
                    <w:rPr>
                      <w:rFonts w:hint="eastAsia"/>
                    </w:rPr>
                    <w:t>废水经沉淀池处理后循环使用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4387" w:type="dxa"/>
                  <w:gridSpan w:val="4"/>
                  <w:vAlign w:val="center"/>
                </w:tcPr>
                <w:p>
                  <w:pPr>
                    <w:pStyle w:val="47"/>
                  </w:pPr>
                  <w:r>
                    <w:t>总计</w:t>
                  </w:r>
                </w:p>
              </w:tc>
              <w:tc>
                <w:tcPr>
                  <w:tcW w:w="887" w:type="dxa"/>
                  <w:vAlign w:val="center"/>
                </w:tcPr>
                <w:p>
                  <w:pPr>
                    <w:pStyle w:val="47"/>
                  </w:pPr>
                  <w:r>
                    <w:t>417.2</w:t>
                  </w:r>
                </w:p>
              </w:tc>
              <w:tc>
                <w:tcPr>
                  <w:tcW w:w="1060" w:type="dxa"/>
                  <w:vAlign w:val="center"/>
                </w:tcPr>
                <w:p>
                  <w:pPr>
                    <w:pStyle w:val="47"/>
                  </w:pPr>
                  <w:r>
                    <w:t>179.25</w:t>
                  </w:r>
                </w:p>
              </w:tc>
              <w:tc>
                <w:tcPr>
                  <w:tcW w:w="2720" w:type="dxa"/>
                  <w:vAlign w:val="center"/>
                </w:tcPr>
                <w:p>
                  <w:pPr>
                    <w:pStyle w:val="47"/>
                  </w:pPr>
                  <w:r>
                    <w:rPr>
                      <w:rFonts w:hint="eastAsia"/>
                    </w:rPr>
                    <w:t>/</w:t>
                  </w:r>
                </w:p>
              </w:tc>
            </w:tr>
          </w:tbl>
          <w:p>
            <w:pPr>
              <w:pStyle w:val="37"/>
              <w:ind w:firstLine="480"/>
            </w:pPr>
            <w:r>
              <w:rPr>
                <w:rFonts w:hint="eastAsia"/>
              </w:rPr>
              <w:t>项目水平衡图如下：</w:t>
            </w:r>
          </w:p>
          <w:p>
            <w:pPr>
              <w:jc w:val="center"/>
            </w:pPr>
            <w:r>
              <w:object>
                <v:shape id="_x0000_i1027" o:spt="75" type="#_x0000_t75" style="height:416.5pt;width:409pt;" o:ole="t" filled="f" o:preferrelative="t" stroked="f" coordsize="21600,21600">
                  <v:path/>
                  <v:fill on="f" focussize="0,0"/>
                  <v:stroke on="f" joinstyle="miter"/>
                  <v:imagedata r:id="rId20" o:title=""/>
                  <o:lock v:ext="edit" aspectratio="t"/>
                  <w10:wrap type="none"/>
                  <w10:anchorlock/>
                </v:shape>
                <o:OLEObject Type="Embed" ProgID="Visio.Drawing.15" ShapeID="_x0000_i1027" DrawAspect="Content" ObjectID="_1468075727" r:id="rId19">
                  <o:LockedField>false</o:LockedField>
                </o:OLEObject>
              </w:object>
            </w:r>
          </w:p>
          <w:p>
            <w:pPr>
              <w:pStyle w:val="36"/>
              <w:rPr>
                <w:lang w:val="zh-CN"/>
              </w:rPr>
            </w:pPr>
            <w:r>
              <w:rPr>
                <w:rFonts w:hint="eastAsia"/>
                <w:lang w:val="zh-CN"/>
              </w:rPr>
              <w:t>图5-3项目水平衡图单位：m</w:t>
            </w:r>
            <w:r>
              <w:rPr>
                <w:rFonts w:hint="eastAsia"/>
                <w:vertAlign w:val="superscript"/>
                <w:lang w:val="zh-CN"/>
              </w:rPr>
              <w:t>3</w:t>
            </w:r>
            <w:r>
              <w:rPr>
                <w:rFonts w:hint="eastAsia"/>
                <w:lang w:val="zh-CN"/>
              </w:rPr>
              <w:t>/d</w:t>
            </w:r>
          </w:p>
          <w:p>
            <w:pPr>
              <w:pStyle w:val="37"/>
              <w:ind w:firstLine="480"/>
              <w:rPr>
                <w:lang w:val="zh-CN"/>
              </w:rPr>
            </w:pPr>
            <w:r>
              <w:rPr>
                <w:rFonts w:hint="eastAsia"/>
                <w:lang w:val="zh-CN"/>
              </w:rPr>
              <w:t>2、物料平衡</w:t>
            </w:r>
          </w:p>
          <w:p>
            <w:pPr>
              <w:pStyle w:val="37"/>
              <w:ind w:firstLine="480"/>
              <w:rPr>
                <w:lang w:val="zh-CN"/>
              </w:rPr>
            </w:pPr>
            <w:r>
              <w:rPr>
                <w:lang w:val="zh-CN"/>
              </w:rPr>
              <w:t>本项目使用的原料主要为钾长石头矿及二沙</w:t>
            </w:r>
            <w:r>
              <w:rPr>
                <w:rFonts w:hint="eastAsia"/>
                <w:lang w:val="zh-CN"/>
              </w:rPr>
              <w:t>，</w:t>
            </w:r>
            <w:r>
              <w:rPr>
                <w:lang w:val="zh-CN"/>
              </w:rPr>
              <w:t>根据项目生产工艺流程及原辅材料消耗</w:t>
            </w:r>
            <w:r>
              <w:rPr>
                <w:rFonts w:hint="eastAsia"/>
                <w:lang w:val="zh-CN"/>
              </w:rPr>
              <w:t>，</w:t>
            </w:r>
            <w:r>
              <w:rPr>
                <w:lang w:val="zh-CN"/>
              </w:rPr>
              <w:t>按照年生产物料消耗和产出情况</w:t>
            </w:r>
            <w:r>
              <w:rPr>
                <w:rFonts w:hint="eastAsia"/>
                <w:lang w:val="zh-CN"/>
              </w:rPr>
              <w:t>，</w:t>
            </w:r>
            <w:r>
              <w:rPr>
                <w:lang w:val="zh-CN"/>
              </w:rPr>
              <w:t>本项目物料平衡分析如下</w:t>
            </w:r>
            <w:r>
              <w:rPr>
                <w:rFonts w:hint="eastAsia"/>
                <w:lang w:val="zh-CN"/>
              </w:rPr>
              <w:t>：</w:t>
            </w:r>
          </w:p>
          <w:p>
            <w:pPr>
              <w:pStyle w:val="54"/>
              <w:rPr>
                <w:lang w:val="zh-CN"/>
              </w:rPr>
            </w:pPr>
            <w:r>
              <w:rPr>
                <w:lang w:val="zh-CN"/>
              </w:rPr>
              <w:t>表</w:t>
            </w:r>
            <w:r>
              <w:rPr>
                <w:rFonts w:hint="eastAsia"/>
                <w:lang w:val="zh-CN"/>
              </w:rPr>
              <w:t>5</w:t>
            </w:r>
            <w:r>
              <w:rPr>
                <w:lang w:val="zh-CN"/>
              </w:rPr>
              <w:t>-2 本项目运营期物料平衡</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256"/>
              <w:gridCol w:w="1861"/>
              <w:gridCol w:w="3499"/>
              <w:gridCol w:w="144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1" w:hRule="atLeast"/>
              </w:trPr>
              <w:tc>
                <w:tcPr>
                  <w:tcW w:w="2272" w:type="pct"/>
                  <w:gridSpan w:val="2"/>
                  <w:vAlign w:val="center"/>
                </w:tcPr>
                <w:p>
                  <w:pPr>
                    <w:pStyle w:val="50"/>
                  </w:pPr>
                  <w:r>
                    <w:rPr>
                      <w:rFonts w:hint="eastAsia"/>
                    </w:rPr>
                    <w:t>输入</w:t>
                  </w:r>
                </w:p>
              </w:tc>
              <w:tc>
                <w:tcPr>
                  <w:tcW w:w="2728" w:type="pct"/>
                  <w:gridSpan w:val="2"/>
                  <w:tcBorders>
                    <w:right w:val="single" w:color="auto" w:sz="4" w:space="0"/>
                  </w:tcBorders>
                  <w:vAlign w:val="center"/>
                </w:tcPr>
                <w:p>
                  <w:pPr>
                    <w:pStyle w:val="50"/>
                  </w:pPr>
                  <w:r>
                    <w:rPr>
                      <w:rFonts w:hint="eastAsia"/>
                    </w:rPr>
                    <w:t>输出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0" w:hRule="atLeast"/>
              </w:trPr>
              <w:tc>
                <w:tcPr>
                  <w:tcW w:w="1245" w:type="pct"/>
                  <w:vAlign w:val="center"/>
                </w:tcPr>
                <w:p>
                  <w:pPr>
                    <w:pStyle w:val="50"/>
                  </w:pPr>
                  <w:r>
                    <w:rPr>
                      <w:rFonts w:hint="eastAsia"/>
                    </w:rPr>
                    <w:t>物料名称</w:t>
                  </w:r>
                </w:p>
              </w:tc>
              <w:tc>
                <w:tcPr>
                  <w:tcW w:w="1027" w:type="pct"/>
                  <w:vAlign w:val="center"/>
                </w:tcPr>
                <w:p>
                  <w:pPr>
                    <w:pStyle w:val="50"/>
                  </w:pPr>
                  <w:r>
                    <w:rPr>
                      <w:rFonts w:hint="eastAsia"/>
                    </w:rPr>
                    <w:t>数量</w:t>
                  </w:r>
                </w:p>
              </w:tc>
              <w:tc>
                <w:tcPr>
                  <w:tcW w:w="1931" w:type="pct"/>
                  <w:vAlign w:val="center"/>
                </w:tcPr>
                <w:p>
                  <w:pPr>
                    <w:pStyle w:val="50"/>
                  </w:pPr>
                  <w:r>
                    <w:rPr>
                      <w:rFonts w:hint="eastAsia"/>
                    </w:rPr>
                    <w:t>输出物名称</w:t>
                  </w:r>
                </w:p>
              </w:tc>
              <w:tc>
                <w:tcPr>
                  <w:tcW w:w="798" w:type="pct"/>
                  <w:tcBorders>
                    <w:right w:val="single" w:color="auto" w:sz="4" w:space="0"/>
                  </w:tcBorders>
                  <w:vAlign w:val="center"/>
                </w:tcPr>
                <w:p>
                  <w:pPr>
                    <w:pStyle w:val="50"/>
                  </w:pPr>
                  <w:r>
                    <w:rPr>
                      <w:rFonts w:hint="eastAsia"/>
                    </w:rPr>
                    <w:t>数量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 w:hRule="atLeast"/>
              </w:trPr>
              <w:tc>
                <w:tcPr>
                  <w:tcW w:w="1245" w:type="pct"/>
                  <w:vMerge w:val="restart"/>
                  <w:vAlign w:val="center"/>
                </w:tcPr>
                <w:p>
                  <w:pPr>
                    <w:pStyle w:val="50"/>
                  </w:pPr>
                  <w:r>
                    <w:rPr>
                      <w:rFonts w:hint="eastAsia"/>
                    </w:rPr>
                    <w:t>钾长石头矿、二沙</w:t>
                  </w:r>
                </w:p>
              </w:tc>
              <w:tc>
                <w:tcPr>
                  <w:tcW w:w="1027" w:type="pct"/>
                  <w:vMerge w:val="restart"/>
                  <w:vAlign w:val="center"/>
                </w:tcPr>
                <w:p>
                  <w:pPr>
                    <w:pStyle w:val="50"/>
                  </w:pPr>
                  <w:r>
                    <w:t>55891.8</w:t>
                  </w:r>
                </w:p>
              </w:tc>
              <w:tc>
                <w:tcPr>
                  <w:tcW w:w="1931" w:type="pct"/>
                  <w:vAlign w:val="center"/>
                </w:tcPr>
                <w:p>
                  <w:pPr>
                    <w:pStyle w:val="50"/>
                  </w:pPr>
                  <w:r>
                    <w:rPr>
                      <w:rFonts w:hint="eastAsia"/>
                    </w:rPr>
                    <w:t>产品（钾长石粉）</w:t>
                  </w:r>
                </w:p>
              </w:tc>
              <w:tc>
                <w:tcPr>
                  <w:tcW w:w="798" w:type="pct"/>
                  <w:tcBorders>
                    <w:right w:val="single" w:color="auto" w:sz="4" w:space="0"/>
                  </w:tcBorders>
                  <w:vAlign w:val="center"/>
                </w:tcPr>
                <w:p>
                  <w:pPr>
                    <w:pStyle w:val="50"/>
                  </w:pPr>
                  <w:r>
                    <w:rPr>
                      <w:rFonts w:hint="eastAsia"/>
                    </w:rPr>
                    <w:t>5</w:t>
                  </w:r>
                  <w:r>
                    <w:t>0000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9" w:hRule="atLeast"/>
              </w:trPr>
              <w:tc>
                <w:tcPr>
                  <w:tcW w:w="1245" w:type="pct"/>
                  <w:vMerge w:val="continue"/>
                  <w:vAlign w:val="center"/>
                </w:tcPr>
                <w:p>
                  <w:pPr>
                    <w:pStyle w:val="50"/>
                  </w:pPr>
                </w:p>
              </w:tc>
              <w:tc>
                <w:tcPr>
                  <w:tcW w:w="1027" w:type="pct"/>
                  <w:vMerge w:val="continue"/>
                  <w:vAlign w:val="center"/>
                </w:tcPr>
                <w:p>
                  <w:pPr>
                    <w:pStyle w:val="50"/>
                  </w:pPr>
                </w:p>
              </w:tc>
              <w:tc>
                <w:tcPr>
                  <w:tcW w:w="1931" w:type="pct"/>
                  <w:vAlign w:val="center"/>
                </w:tcPr>
                <w:p>
                  <w:pPr>
                    <w:pStyle w:val="50"/>
                  </w:pPr>
                  <w:r>
                    <w:rPr>
                      <w:rFonts w:hint="eastAsia"/>
                    </w:rPr>
                    <w:t>尾砂</w:t>
                  </w:r>
                </w:p>
              </w:tc>
              <w:tc>
                <w:tcPr>
                  <w:tcW w:w="798" w:type="pct"/>
                  <w:tcBorders>
                    <w:right w:val="single" w:color="auto" w:sz="4" w:space="0"/>
                  </w:tcBorders>
                  <w:vAlign w:val="center"/>
                </w:tcPr>
                <w:p>
                  <w:pPr>
                    <w:pStyle w:val="50"/>
                  </w:pPr>
                  <w:r>
                    <w:rPr>
                      <w:rFonts w:hint="eastAsia"/>
                    </w:rPr>
                    <w:t>5</w:t>
                  </w:r>
                  <w:r>
                    <w:t>719.9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trPr>
              <w:tc>
                <w:tcPr>
                  <w:tcW w:w="1245" w:type="pct"/>
                  <w:vMerge w:val="continue"/>
                  <w:vAlign w:val="center"/>
                </w:tcPr>
                <w:p>
                  <w:pPr>
                    <w:pStyle w:val="50"/>
                  </w:pPr>
                </w:p>
              </w:tc>
              <w:tc>
                <w:tcPr>
                  <w:tcW w:w="1027" w:type="pct"/>
                  <w:vMerge w:val="continue"/>
                  <w:vAlign w:val="center"/>
                </w:tcPr>
                <w:p>
                  <w:pPr>
                    <w:pStyle w:val="50"/>
                  </w:pPr>
                </w:p>
              </w:tc>
              <w:tc>
                <w:tcPr>
                  <w:tcW w:w="1931" w:type="pct"/>
                  <w:vAlign w:val="center"/>
                </w:tcPr>
                <w:p>
                  <w:pPr>
                    <w:pStyle w:val="50"/>
                  </w:pPr>
                  <w:r>
                    <w:rPr>
                      <w:rFonts w:hint="eastAsia"/>
                    </w:rPr>
                    <w:t>黑砂</w:t>
                  </w:r>
                </w:p>
              </w:tc>
              <w:tc>
                <w:tcPr>
                  <w:tcW w:w="798" w:type="pct"/>
                  <w:vAlign w:val="center"/>
                </w:tcPr>
                <w:p>
                  <w:pPr>
                    <w:pStyle w:val="50"/>
                  </w:pPr>
                  <w:r>
                    <w:rPr>
                      <w:rFonts w:hint="eastAsia"/>
                    </w:rPr>
                    <w:t>1</w:t>
                  </w:r>
                  <w:r>
                    <w:t>71.6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trPr>
              <w:tc>
                <w:tcPr>
                  <w:tcW w:w="1245" w:type="pct"/>
                  <w:vMerge w:val="continue"/>
                  <w:vAlign w:val="center"/>
                </w:tcPr>
                <w:p>
                  <w:pPr>
                    <w:pStyle w:val="50"/>
                  </w:pPr>
                </w:p>
              </w:tc>
              <w:tc>
                <w:tcPr>
                  <w:tcW w:w="1027" w:type="pct"/>
                  <w:vMerge w:val="continue"/>
                  <w:vAlign w:val="center"/>
                </w:tcPr>
                <w:p>
                  <w:pPr>
                    <w:pStyle w:val="50"/>
                  </w:pPr>
                </w:p>
              </w:tc>
              <w:tc>
                <w:tcPr>
                  <w:tcW w:w="1931" w:type="pct"/>
                  <w:vAlign w:val="center"/>
                </w:tcPr>
                <w:p>
                  <w:pPr>
                    <w:pStyle w:val="50"/>
                  </w:pPr>
                  <w:r>
                    <w:rPr>
                      <w:rFonts w:hint="eastAsia"/>
                    </w:rPr>
                    <w:t>扬尘</w:t>
                  </w:r>
                </w:p>
              </w:tc>
              <w:tc>
                <w:tcPr>
                  <w:tcW w:w="798" w:type="pct"/>
                  <w:vAlign w:val="center"/>
                </w:tcPr>
                <w:p>
                  <w:pPr>
                    <w:pStyle w:val="50"/>
                  </w:pPr>
                  <w:r>
                    <w:rPr>
                      <w:rFonts w:hint="eastAsia"/>
                    </w:rPr>
                    <w:t>0</w:t>
                  </w:r>
                  <w:r>
                    <w:t>.3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9" w:hRule="atLeast"/>
              </w:trPr>
              <w:tc>
                <w:tcPr>
                  <w:tcW w:w="1245" w:type="pct"/>
                  <w:vAlign w:val="center"/>
                </w:tcPr>
                <w:p>
                  <w:pPr>
                    <w:pStyle w:val="50"/>
                  </w:pPr>
                  <w:r>
                    <w:rPr>
                      <w:rFonts w:hint="eastAsia"/>
                    </w:rPr>
                    <w:t>合计</w:t>
                  </w:r>
                </w:p>
              </w:tc>
              <w:tc>
                <w:tcPr>
                  <w:tcW w:w="1027" w:type="pct"/>
                  <w:vAlign w:val="center"/>
                </w:tcPr>
                <w:p>
                  <w:pPr>
                    <w:pStyle w:val="50"/>
                  </w:pPr>
                  <w:r>
                    <w:t>55891.8</w:t>
                  </w:r>
                </w:p>
              </w:tc>
              <w:tc>
                <w:tcPr>
                  <w:tcW w:w="1931" w:type="pct"/>
                  <w:vAlign w:val="center"/>
                </w:tcPr>
                <w:p>
                  <w:pPr>
                    <w:pStyle w:val="50"/>
                  </w:pPr>
                  <w:r>
                    <w:rPr>
                      <w:rFonts w:hint="eastAsia"/>
                    </w:rPr>
                    <w:t>合计</w:t>
                  </w:r>
                </w:p>
              </w:tc>
              <w:tc>
                <w:tcPr>
                  <w:tcW w:w="798" w:type="pct"/>
                  <w:vAlign w:val="center"/>
                </w:tcPr>
                <w:p>
                  <w:pPr>
                    <w:pStyle w:val="50"/>
                  </w:pPr>
                  <w:r>
                    <w:t>55891.8</w:t>
                  </w:r>
                </w:p>
              </w:tc>
            </w:tr>
          </w:tbl>
          <w:p>
            <w:pPr>
              <w:pStyle w:val="4"/>
              <w:ind w:firstLine="482"/>
            </w:pPr>
            <w:r>
              <w:rPr>
                <w:rFonts w:hint="eastAsia"/>
              </w:rPr>
              <w:t>四、</w:t>
            </w:r>
            <w:r>
              <w:t>主要污染工序</w:t>
            </w:r>
          </w:p>
          <w:p>
            <w:pPr>
              <w:pStyle w:val="37"/>
              <w:ind w:firstLine="480"/>
            </w:pPr>
            <w:r>
              <w:rPr>
                <w:rFonts w:hint="eastAsia"/>
              </w:rPr>
              <w:t>1、施工期主要污染物排放治理措施</w:t>
            </w:r>
          </w:p>
          <w:p>
            <w:pPr>
              <w:pStyle w:val="37"/>
              <w:ind w:firstLine="480"/>
              <w:rPr>
                <w:rFonts w:hAnsi="SimSun"/>
                <w:bCs/>
              </w:rPr>
            </w:pPr>
            <w:r>
              <w:rPr>
                <w:rFonts w:hint="eastAsia" w:hAnsi="SimSun"/>
                <w:bCs/>
              </w:rPr>
              <w:t>本项目施工期已过，本报告将不再对施工期污染物排放情况进行分析。</w:t>
            </w:r>
          </w:p>
          <w:p>
            <w:pPr>
              <w:pStyle w:val="37"/>
              <w:ind w:firstLine="480"/>
            </w:pPr>
            <w:r>
              <w:rPr>
                <w:rFonts w:hint="eastAsia"/>
              </w:rPr>
              <w:t>2、营运期主要污染物排放及治理措施</w:t>
            </w:r>
          </w:p>
          <w:p>
            <w:pPr>
              <w:pStyle w:val="37"/>
              <w:ind w:firstLine="480"/>
            </w:pPr>
            <w:r>
              <w:rPr>
                <w:rFonts w:hint="eastAsia"/>
              </w:rPr>
              <w:t>（1）运营期废气排放及治理措施</w:t>
            </w:r>
          </w:p>
          <w:p>
            <w:pPr>
              <w:pStyle w:val="37"/>
              <w:ind w:firstLine="480"/>
            </w:pPr>
            <w:r>
              <w:rPr>
                <w:rFonts w:hint="eastAsia"/>
              </w:rPr>
              <w:t>项目建成后，项目使用的原料是在矿山经洗选筛分后的矿石，在厂区内的加工过程全部为湿法作业，产生的粉尘量较小，因此项目运营期的废气主要是原料堆场扬尘、产品堆场扬尘、道路扬尘。为使项目无组织粉尘的排放，本环评建设原料堆场加盖搭棚，并增设喷雾设施。</w:t>
            </w:r>
          </w:p>
          <w:p>
            <w:pPr>
              <w:pStyle w:val="37"/>
              <w:ind w:firstLine="480"/>
            </w:pPr>
            <w:r>
              <w:t>1</w:t>
            </w:r>
            <w:r>
              <w:rPr>
                <w:rFonts w:hint="eastAsia"/>
              </w:rPr>
              <w:t>）原料堆场扬尘</w:t>
            </w:r>
          </w:p>
          <w:p>
            <w:pPr>
              <w:pStyle w:val="37"/>
              <w:ind w:firstLine="480"/>
            </w:pPr>
            <w:r>
              <w:rPr>
                <w:rFonts w:hint="eastAsia"/>
              </w:rPr>
              <w:t>项目技改后，项目用钾长石原矿</w:t>
            </w:r>
            <w:r>
              <w:t>5.58</w:t>
            </w:r>
            <w:r>
              <w:rPr>
                <w:rFonts w:hint="eastAsia"/>
              </w:rPr>
              <w:t>万t/a。</w:t>
            </w:r>
          </w:p>
          <w:p>
            <w:pPr>
              <w:pStyle w:val="37"/>
              <w:ind w:firstLine="480"/>
            </w:pPr>
            <w:r>
              <w:rPr>
                <w:rFonts w:hint="eastAsia"/>
              </w:rPr>
              <w:t>由于本项目原料已在矿山经洗选筛分后的矿石，含水量较高，原料堆场的产尘量约为其矿石总量的0.01‰，则本项目原料堆场扬尘产生量为</w:t>
            </w:r>
            <w:r>
              <w:t>0.56</w:t>
            </w:r>
            <w:r>
              <w:rPr>
                <w:rFonts w:hint="eastAsia"/>
              </w:rPr>
              <w:t>t/a，评价要求建设单位加盖防尘网，其除（抑）尘效率可达80%（因产品粒径较大，且含水率较高，仅为表面附着细微颗粒物在风力作用下易起尘，矿石湿润后表面颗粒物附着于矿石，不易产生粉尘），则最终堆场扬尘排放量为</w:t>
            </w:r>
            <w:r>
              <w:t>0.112</w:t>
            </w:r>
            <w:r>
              <w:rPr>
                <w:rFonts w:hint="eastAsia"/>
              </w:rPr>
              <w:t>t/a。</w:t>
            </w:r>
          </w:p>
          <w:p>
            <w:pPr>
              <w:pStyle w:val="37"/>
              <w:ind w:firstLine="480"/>
            </w:pPr>
            <w:r>
              <w:rPr>
                <w:rFonts w:hint="eastAsia"/>
              </w:rPr>
              <w:t>2）产品堆场扬尘</w:t>
            </w:r>
          </w:p>
          <w:p>
            <w:pPr>
              <w:pStyle w:val="37"/>
              <w:ind w:firstLine="480"/>
            </w:pPr>
            <w:r>
              <w:rPr>
                <w:rFonts w:hint="eastAsia"/>
              </w:rPr>
              <w:t>由于本项目产品在生产过程中会使用大量的水冲洗，含水量较高，根据类比，成品堆场产尘量约为其产品总量的0.01‰，本项目年产钾长石粉5万吨，则本项目成品堆场扬尘产生量为</w:t>
            </w:r>
            <w:r>
              <w:t>0.5</w:t>
            </w:r>
            <w:r>
              <w:rPr>
                <w:rFonts w:hint="eastAsia"/>
              </w:rPr>
              <w:t>t/a，本环评要求建设单位将产品全部堆放于成品仓库内，其除（抑）尘效率可达70%（因产品含水率较高，仅为表面附着细微颗粒物在风力作用下易起尘，矿石湿润后表面颗粒物附着于矿石，不易产生粉尘），则最终堆场扬尘排放量为0.1</w:t>
            </w:r>
            <w:r>
              <w:t>5</w:t>
            </w:r>
            <w:r>
              <w:rPr>
                <w:rFonts w:hint="eastAsia"/>
              </w:rPr>
              <w:t>t/a。</w:t>
            </w:r>
          </w:p>
          <w:p>
            <w:pPr>
              <w:pStyle w:val="37"/>
              <w:ind w:firstLine="480"/>
            </w:pPr>
            <w:r>
              <w:rPr>
                <w:rFonts w:hint="eastAsia"/>
              </w:rPr>
              <w:t>3）道路运输扬尘</w:t>
            </w:r>
          </w:p>
          <w:p>
            <w:pPr>
              <w:pStyle w:val="37"/>
              <w:ind w:firstLine="480"/>
            </w:pPr>
            <w:r>
              <w:rPr>
                <w:rFonts w:hint="eastAsia"/>
              </w:rPr>
              <w:t>钾长石物料运输过程中可能产生扬尘，在干燥有风的气象条件下，堆场及道路将产生较大的扬尘，项目对无组织排放扬尘，进行定期洒水，抑制扬尘扬起。</w:t>
            </w:r>
          </w:p>
          <w:p>
            <w:pPr>
              <w:pStyle w:val="37"/>
              <w:ind w:firstLine="480"/>
            </w:pPr>
            <w:r>
              <w:rPr>
                <w:rFonts w:hint="eastAsia"/>
              </w:rPr>
              <w:t>汽车载有散状物料在道路上行驶的扬尘，选用上海港环境保护中心和武汉水运工程学院提出的经验公式估算，经验公式为：</w:t>
            </w:r>
          </w:p>
          <w:p>
            <w:pPr>
              <w:pStyle w:val="37"/>
              <w:ind w:firstLine="480"/>
            </w:pPr>
            <w:r>
              <w:rPr>
                <w:rFonts w:hint="eastAsia"/>
              </w:rPr>
              <w:t>Q=0.123×（V/5）×（M/6.8）0.85×（P/0.5）0.72×L×Q′/M</w:t>
            </w:r>
          </w:p>
          <w:p>
            <w:pPr>
              <w:pStyle w:val="37"/>
              <w:ind w:firstLine="480"/>
            </w:pPr>
            <w:r>
              <w:rPr>
                <w:rFonts w:hint="eastAsia"/>
              </w:rPr>
              <w:t>式中：</w:t>
            </w:r>
          </w:p>
          <w:p>
            <w:pPr>
              <w:pStyle w:val="37"/>
              <w:ind w:firstLine="480"/>
            </w:pPr>
            <w:r>
              <w:rPr>
                <w:rFonts w:hint="eastAsia"/>
              </w:rPr>
              <w:t>Q—汽车行驶的起尘量，(kg/辆)；</w:t>
            </w:r>
          </w:p>
          <w:p>
            <w:pPr>
              <w:pStyle w:val="37"/>
              <w:ind w:firstLine="480"/>
            </w:pPr>
            <w:r>
              <w:rPr>
                <w:rFonts w:hint="eastAsia"/>
              </w:rPr>
              <w:t>V一汽车行驶速度，15km/h；</w:t>
            </w:r>
          </w:p>
          <w:p>
            <w:pPr>
              <w:pStyle w:val="37"/>
              <w:ind w:firstLine="480"/>
            </w:pPr>
            <w:r>
              <w:rPr>
                <w:rFonts w:hint="eastAsia"/>
              </w:rPr>
              <w:t>M—汽车载货总重量，装载机5t，卡车15t；</w:t>
            </w:r>
          </w:p>
          <w:p>
            <w:pPr>
              <w:pStyle w:val="37"/>
              <w:ind w:firstLine="480"/>
            </w:pPr>
            <w:r>
              <w:rPr>
                <w:rFonts w:hint="eastAsia"/>
              </w:rPr>
              <w:t>P—道路表面物料量，0.5kg/m</w:t>
            </w:r>
            <w:r>
              <w:rPr>
                <w:rFonts w:hint="eastAsia"/>
                <w:vertAlign w:val="superscript"/>
              </w:rPr>
              <w:t>2</w:t>
            </w:r>
            <w:r>
              <w:rPr>
                <w:rFonts w:hint="eastAsia"/>
              </w:rPr>
              <w:t>；</w:t>
            </w:r>
          </w:p>
          <w:p>
            <w:pPr>
              <w:pStyle w:val="37"/>
              <w:ind w:firstLine="480"/>
            </w:pPr>
            <w:r>
              <w:rPr>
                <w:rFonts w:hint="eastAsia"/>
              </w:rPr>
              <w:t>L—道路长度，0.2km；</w:t>
            </w:r>
          </w:p>
          <w:p>
            <w:pPr>
              <w:pStyle w:val="37"/>
              <w:ind w:firstLine="480"/>
            </w:pPr>
            <w:r>
              <w:rPr>
                <w:rFonts w:hint="eastAsia"/>
              </w:rPr>
              <w:t>Q′—汽车运输量，装载机3.36t，卡车12t。</w:t>
            </w:r>
          </w:p>
          <w:p>
            <w:pPr>
              <w:pStyle w:val="37"/>
              <w:ind w:firstLine="480"/>
            </w:pPr>
            <w:r>
              <w:rPr>
                <w:rFonts w:hint="eastAsia"/>
              </w:rPr>
              <w:t>经计算，运输道路产生扬尘为0.18 kg/辆，项目技改完成后，每天运输车辆约为16辆，则运输道路产生扬尘为2.88kg/d，0.86t/a。本次环评要求建设单位进出车辆经轮胎清洗及汽车封闭运输，可减少60%的粉尘排放，即每年排放的道路粉尘量为0.34t/a。</w:t>
            </w:r>
          </w:p>
          <w:p>
            <w:pPr>
              <w:pStyle w:val="37"/>
              <w:ind w:firstLine="480"/>
            </w:pPr>
            <w:r>
              <w:rPr>
                <w:rFonts w:hint="eastAsia"/>
              </w:rPr>
              <w:t>（2）运营期废水及治理措施</w:t>
            </w:r>
          </w:p>
          <w:p>
            <w:pPr>
              <w:pStyle w:val="37"/>
              <w:ind w:firstLine="480"/>
            </w:pPr>
            <w:r>
              <w:rPr>
                <w:rFonts w:hint="eastAsia"/>
              </w:rPr>
              <w:t>本项目运营期废水包括生产废水和生活污水。其中生产废水主要为水洗废水、脱泥废水、球磨机废水、磁选机废水、过滤废水、产品堆场渗滤液、生活污水等。其中水洗废水、脱泥废水、球磨机废水、磁选机废水、过滤废水、产品堆场渗滤液经浓密机和循环水池处理后，与原项目一起循环使用。</w:t>
            </w:r>
          </w:p>
          <w:p>
            <w:pPr>
              <w:pStyle w:val="37"/>
              <w:ind w:firstLine="480"/>
            </w:pPr>
            <w:r>
              <w:t>1</w:t>
            </w:r>
            <w:r>
              <w:rPr>
                <w:rFonts w:hint="eastAsia"/>
              </w:rPr>
              <w:t>）</w:t>
            </w:r>
            <w:r>
              <w:t>水洗废水</w:t>
            </w:r>
          </w:p>
          <w:p>
            <w:pPr>
              <w:pStyle w:val="37"/>
              <w:ind w:firstLine="480"/>
            </w:pPr>
            <w:r>
              <w:rPr>
                <w:rFonts w:hint="eastAsia"/>
              </w:rPr>
              <w:t>本项目对购入厂区的原料进行清洗，项目水洗工序用水量为</w:t>
            </w:r>
            <w:r>
              <w:t>68m</w:t>
            </w:r>
            <w:r>
              <w:rPr>
                <w:vertAlign w:val="superscript"/>
              </w:rPr>
              <w:t>3</w:t>
            </w:r>
            <w:r>
              <w:t>/d</w:t>
            </w:r>
            <w:r>
              <w:rPr>
                <w:rFonts w:hint="eastAsia"/>
              </w:rPr>
              <w:t>，</w:t>
            </w:r>
            <w:r>
              <w:t>水洗过程中用水损耗约为</w:t>
            </w:r>
            <w:r>
              <w:rPr>
                <w:rFonts w:hint="eastAsia"/>
              </w:rPr>
              <w:t>3</w:t>
            </w:r>
            <w:r>
              <w:t>0</w:t>
            </w:r>
            <w:r>
              <w:rPr>
                <w:rFonts w:hint="eastAsia"/>
              </w:rPr>
              <w:t>%，</w:t>
            </w:r>
            <w:r>
              <w:t>水洗工序废水产生量为</w:t>
            </w:r>
            <w:r>
              <w:rPr>
                <w:rFonts w:hint="eastAsia"/>
              </w:rPr>
              <w:t>4</w:t>
            </w:r>
            <w:r>
              <w:t>7.6m</w:t>
            </w:r>
            <w:r>
              <w:rPr>
                <w:vertAlign w:val="superscript"/>
              </w:rPr>
              <w:t>3</w:t>
            </w:r>
            <w:r>
              <w:t>/d</w:t>
            </w:r>
            <w:r>
              <w:rPr>
                <w:rFonts w:hint="eastAsia"/>
              </w:rPr>
              <w:t>。水洗工序废水主要污染物为S</w:t>
            </w:r>
            <w:r>
              <w:t>S</w:t>
            </w:r>
            <w:r>
              <w:rPr>
                <w:rFonts w:hint="eastAsia"/>
              </w:rPr>
              <w:t>，</w:t>
            </w:r>
            <w:r>
              <w:t>含量达到</w:t>
            </w:r>
            <w:r>
              <w:rPr>
                <w:rFonts w:hint="eastAsia"/>
              </w:rPr>
              <w:t>3</w:t>
            </w:r>
            <w:r>
              <w:t>8g/L以上</w:t>
            </w:r>
            <w:r>
              <w:rPr>
                <w:rFonts w:hint="eastAsia"/>
              </w:rPr>
              <w:t>，</w:t>
            </w:r>
            <w:r>
              <w:t>全部抽至浓密机沉淀处理后</w:t>
            </w:r>
            <w:r>
              <w:rPr>
                <w:rFonts w:hint="eastAsia"/>
              </w:rPr>
              <w:t>，</w:t>
            </w:r>
            <w:r>
              <w:t>回用于水洗工序不外排</w:t>
            </w:r>
            <w:r>
              <w:rPr>
                <w:rFonts w:hint="eastAsia"/>
              </w:rPr>
              <w:t>。</w:t>
            </w:r>
          </w:p>
          <w:p>
            <w:pPr>
              <w:pStyle w:val="37"/>
              <w:ind w:firstLine="480"/>
            </w:pPr>
            <w:r>
              <w:rPr>
                <w:rFonts w:hint="eastAsia"/>
              </w:rPr>
              <w:t>2）脱泥废水</w:t>
            </w:r>
          </w:p>
          <w:p>
            <w:pPr>
              <w:pStyle w:val="37"/>
              <w:ind w:firstLine="480"/>
            </w:pPr>
            <w:r>
              <w:t>项目在螺旋分级后使用脱泥斗将矿产品和泥浆水分离</w:t>
            </w:r>
            <w:r>
              <w:rPr>
                <w:rFonts w:hint="eastAsia"/>
              </w:rPr>
              <w:t>，</w:t>
            </w:r>
            <w:r>
              <w:t>脱泥废水产生量约</w:t>
            </w:r>
            <w:r>
              <w:rPr>
                <w:rFonts w:hint="eastAsia"/>
              </w:rPr>
              <w:t>1</w:t>
            </w:r>
            <w:r>
              <w:t>6.3m</w:t>
            </w:r>
            <w:r>
              <w:rPr>
                <w:vertAlign w:val="superscript"/>
              </w:rPr>
              <w:t>3</w:t>
            </w:r>
            <w:r>
              <w:t>/d</w:t>
            </w:r>
            <w:r>
              <w:rPr>
                <w:rFonts w:hint="eastAsia"/>
              </w:rPr>
              <w:t>，</w:t>
            </w:r>
            <w:r>
              <w:t>其主要污染物为</w:t>
            </w:r>
            <w:r>
              <w:rPr>
                <w:rFonts w:hint="eastAsia"/>
              </w:rPr>
              <w:t>S</w:t>
            </w:r>
            <w:r>
              <w:t>S</w:t>
            </w:r>
            <w:r>
              <w:rPr>
                <w:rFonts w:hint="eastAsia"/>
              </w:rPr>
              <w:t>，</w:t>
            </w:r>
            <w:r>
              <w:t>含量约</w:t>
            </w:r>
            <w:r>
              <w:rPr>
                <w:rFonts w:hint="eastAsia"/>
              </w:rPr>
              <w:t>3</w:t>
            </w:r>
            <w:r>
              <w:t>8g/L</w:t>
            </w:r>
            <w:r>
              <w:rPr>
                <w:rFonts w:hint="eastAsia"/>
              </w:rPr>
              <w:t>，</w:t>
            </w:r>
            <w:r>
              <w:t>全部经泵抽至浓密机沉淀处理后回用于生产</w:t>
            </w:r>
            <w:r>
              <w:rPr>
                <w:rFonts w:hint="eastAsia"/>
              </w:rPr>
              <w:t>工艺，不外排。</w:t>
            </w:r>
          </w:p>
          <w:p>
            <w:pPr>
              <w:pStyle w:val="37"/>
              <w:ind w:firstLine="480"/>
            </w:pPr>
            <w:r>
              <w:rPr>
                <w:rFonts w:hint="eastAsia"/>
              </w:rPr>
              <w:t>3）球磨机废水</w:t>
            </w:r>
          </w:p>
          <w:p>
            <w:pPr>
              <w:pStyle w:val="37"/>
              <w:ind w:firstLine="480"/>
            </w:pPr>
            <w:r>
              <w:t>本项目设置有</w:t>
            </w:r>
            <w:r>
              <w:rPr>
                <w:rFonts w:hint="eastAsia"/>
              </w:rPr>
              <w:t>1台球磨机，采用湿法磨粉，球磨机废水产生量为2</w:t>
            </w:r>
            <w:r>
              <w:t>35.2m</w:t>
            </w:r>
            <w:r>
              <w:rPr>
                <w:vertAlign w:val="superscript"/>
              </w:rPr>
              <w:t>3</w:t>
            </w:r>
            <w:r>
              <w:t>/d</w:t>
            </w:r>
            <w:r>
              <w:rPr>
                <w:rFonts w:hint="eastAsia"/>
              </w:rPr>
              <w:t>，</w:t>
            </w:r>
            <w:r>
              <w:t>其主要污染物为</w:t>
            </w:r>
            <w:r>
              <w:rPr>
                <w:rFonts w:hint="eastAsia"/>
              </w:rPr>
              <w:t>S</w:t>
            </w:r>
            <w:r>
              <w:t>S</w:t>
            </w:r>
            <w:r>
              <w:rPr>
                <w:rFonts w:hint="eastAsia"/>
              </w:rPr>
              <w:t>，含量约38g/L，全部经泵抽至浓密机沉淀处理后回用于生产工艺，不外排。</w:t>
            </w:r>
          </w:p>
          <w:p>
            <w:pPr>
              <w:pStyle w:val="37"/>
              <w:ind w:firstLine="480"/>
            </w:pPr>
            <w:r>
              <w:rPr>
                <w:rFonts w:hint="eastAsia"/>
              </w:rPr>
              <w:t>4）磁选机废水</w:t>
            </w:r>
          </w:p>
          <w:p>
            <w:pPr>
              <w:pStyle w:val="37"/>
              <w:ind w:firstLine="480"/>
            </w:pPr>
            <w:r>
              <w:t>本项目设置有3台磁选机</w:t>
            </w:r>
            <w:r>
              <w:rPr>
                <w:rFonts w:hint="eastAsia"/>
              </w:rPr>
              <w:t>，</w:t>
            </w:r>
            <w:r>
              <w:t>磁选机磁选过程中将产生冲铁废水</w:t>
            </w:r>
            <w:r>
              <w:rPr>
                <w:rFonts w:hint="eastAsia"/>
              </w:rPr>
              <w:t>，</w:t>
            </w:r>
            <w:r>
              <w:t>废水产生量为</w:t>
            </w:r>
            <w:r>
              <w:rPr>
                <w:rFonts w:hint="eastAsia"/>
              </w:rPr>
              <w:t>2</w:t>
            </w:r>
            <w:r>
              <w:t>39.3m</w:t>
            </w:r>
            <w:r>
              <w:rPr>
                <w:vertAlign w:val="superscript"/>
              </w:rPr>
              <w:t>3</w:t>
            </w:r>
            <w:r>
              <w:t>/d</w:t>
            </w:r>
            <w:r>
              <w:rPr>
                <w:rFonts w:hint="eastAsia"/>
              </w:rPr>
              <w:t>，</w:t>
            </w:r>
            <w:r>
              <w:t>其主要污染物为</w:t>
            </w:r>
            <w:r>
              <w:rPr>
                <w:rFonts w:hint="eastAsia"/>
              </w:rPr>
              <w:t>S</w:t>
            </w:r>
            <w:r>
              <w:t>S</w:t>
            </w:r>
            <w:r>
              <w:rPr>
                <w:rFonts w:hint="eastAsia"/>
              </w:rPr>
              <w:t>，</w:t>
            </w:r>
            <w:r>
              <w:t>经沉淀池沉淀后</w:t>
            </w:r>
            <w:r>
              <w:rPr>
                <w:rFonts w:hint="eastAsia"/>
              </w:rPr>
              <w:t>，</w:t>
            </w:r>
            <w:r>
              <w:t>排入浓密机沉淀处理</w:t>
            </w:r>
            <w:r>
              <w:rPr>
                <w:rFonts w:hint="eastAsia"/>
              </w:rPr>
              <w:t>后全部循环使用，不外排。</w:t>
            </w:r>
          </w:p>
          <w:p>
            <w:pPr>
              <w:pStyle w:val="37"/>
              <w:ind w:firstLine="480"/>
            </w:pPr>
            <w:r>
              <w:rPr>
                <w:rFonts w:hint="eastAsia"/>
              </w:rPr>
              <w:t>5）过滤废水</w:t>
            </w:r>
          </w:p>
          <w:p>
            <w:pPr>
              <w:pStyle w:val="37"/>
              <w:ind w:firstLine="480"/>
            </w:pPr>
            <w:r>
              <w:t>项目过滤废水包括</w:t>
            </w:r>
            <w:r>
              <w:rPr>
                <w:rFonts w:hint="eastAsia"/>
              </w:rPr>
              <w:t>2个部分，一是浓密机产生的沉淀尾砂进入板框压滤机内进行压滤脱水，废水产生量为6</w:t>
            </w:r>
            <w:r>
              <w:t>8.4m</w:t>
            </w:r>
            <w:r>
              <w:rPr>
                <w:vertAlign w:val="superscript"/>
              </w:rPr>
              <w:t>3</w:t>
            </w:r>
            <w:r>
              <w:t>/d</w:t>
            </w:r>
            <w:r>
              <w:rPr>
                <w:rFonts w:hint="eastAsia"/>
              </w:rPr>
              <w:t>；二是产品袋式压滤机除水后进入成品仓库，袋式压滤机废水产生量为4</w:t>
            </w:r>
            <w:r>
              <w:t>0.3m</w:t>
            </w:r>
            <w:r>
              <w:rPr>
                <w:vertAlign w:val="superscript"/>
              </w:rPr>
              <w:t>3</w:t>
            </w:r>
            <w:r>
              <w:t>/d</w:t>
            </w:r>
            <w:r>
              <w:rPr>
                <w:rFonts w:hint="eastAsia"/>
              </w:rPr>
              <w:t>。过滤废水主要污染物为S</w:t>
            </w:r>
            <w:r>
              <w:t>S</w:t>
            </w:r>
            <w:r>
              <w:rPr>
                <w:rFonts w:hint="eastAsia"/>
              </w:rPr>
              <w:t>，</w:t>
            </w:r>
            <w:r>
              <w:t>其浓度约</w:t>
            </w:r>
            <w:r>
              <w:rPr>
                <w:rFonts w:hint="eastAsia"/>
              </w:rPr>
              <w:t>3</w:t>
            </w:r>
            <w:r>
              <w:t>8g/L</w:t>
            </w:r>
            <w:r>
              <w:rPr>
                <w:rFonts w:hint="eastAsia"/>
              </w:rPr>
              <w:t>，</w:t>
            </w:r>
            <w:r>
              <w:t>采用泵抽至浓密机沉淀处理后</w:t>
            </w:r>
            <w:r>
              <w:rPr>
                <w:rFonts w:hint="eastAsia"/>
              </w:rPr>
              <w:t>循环使用，不外排。</w:t>
            </w:r>
          </w:p>
          <w:p>
            <w:pPr>
              <w:pStyle w:val="37"/>
              <w:ind w:firstLine="480"/>
            </w:pPr>
            <w:r>
              <w:rPr>
                <w:rFonts w:hint="eastAsia"/>
              </w:rPr>
              <w:t>6）产品堆场渗滤液</w:t>
            </w:r>
          </w:p>
          <w:p>
            <w:pPr>
              <w:pStyle w:val="37"/>
              <w:ind w:firstLine="480"/>
            </w:pPr>
            <w:r>
              <w:t>本项目采用湿法磁选工艺</w:t>
            </w:r>
            <w:r>
              <w:rPr>
                <w:rFonts w:hint="eastAsia"/>
              </w:rPr>
              <w:t>，</w:t>
            </w:r>
            <w:r>
              <w:t>在产品仓库内将产生渗滤液</w:t>
            </w:r>
            <w:r>
              <w:rPr>
                <w:rFonts w:hint="eastAsia"/>
              </w:rPr>
              <w:t>，</w:t>
            </w:r>
            <w:r>
              <w:t>其产生量为</w:t>
            </w:r>
            <w:r>
              <w:rPr>
                <w:rFonts w:hint="eastAsia"/>
              </w:rPr>
              <w:t>5</w:t>
            </w:r>
            <w:r>
              <w:t>.2m</w:t>
            </w:r>
            <w:r>
              <w:rPr>
                <w:vertAlign w:val="superscript"/>
              </w:rPr>
              <w:t>3</w:t>
            </w:r>
            <w:r>
              <w:t>/d</w:t>
            </w:r>
            <w:r>
              <w:rPr>
                <w:rFonts w:hint="eastAsia"/>
              </w:rPr>
              <w:t>，</w:t>
            </w:r>
            <w:r>
              <w:t>通过仓库内截流沟渠回流至厂区清水池内循环使用</w:t>
            </w:r>
            <w:r>
              <w:rPr>
                <w:rFonts w:hint="eastAsia"/>
              </w:rPr>
              <w:t>。</w:t>
            </w:r>
          </w:p>
          <w:p>
            <w:pPr>
              <w:pStyle w:val="37"/>
              <w:ind w:firstLine="480"/>
            </w:pPr>
            <w:r>
              <w:rPr>
                <w:rFonts w:hint="eastAsia"/>
              </w:rPr>
              <w:t>7）生活污水</w:t>
            </w:r>
          </w:p>
          <w:p>
            <w:pPr>
              <w:pStyle w:val="37"/>
              <w:ind w:firstLine="480"/>
            </w:pPr>
            <w:r>
              <w:rPr>
                <w:rFonts w:hint="eastAsia"/>
              </w:rPr>
              <w:t>本项目新增劳动定远为1</w:t>
            </w:r>
            <w:r>
              <w:t>0人</w:t>
            </w:r>
            <w:r>
              <w:rPr>
                <w:rFonts w:hint="eastAsia"/>
              </w:rPr>
              <w:t>，生活用水量约</w:t>
            </w:r>
            <w:r>
              <w:t>0.45</w:t>
            </w:r>
            <w:r>
              <w:rPr>
                <w:rFonts w:hint="eastAsia"/>
              </w:rPr>
              <w:t>m</w:t>
            </w:r>
            <w:r>
              <w:rPr>
                <w:rFonts w:hint="eastAsia"/>
                <w:vertAlign w:val="superscript"/>
              </w:rPr>
              <w:t>3</w:t>
            </w:r>
            <w:r>
              <w:rPr>
                <w:rFonts w:hint="eastAsia"/>
              </w:rPr>
              <w:t>/d（</w:t>
            </w:r>
            <w:r>
              <w:t>135</w:t>
            </w:r>
            <w:r>
              <w:rPr>
                <w:rFonts w:hint="eastAsia"/>
              </w:rPr>
              <w:t>m</w:t>
            </w:r>
            <w:r>
              <w:rPr>
                <w:rFonts w:hint="eastAsia"/>
                <w:vertAlign w:val="superscript"/>
              </w:rPr>
              <w:t>3</w:t>
            </w:r>
            <w:r>
              <w:rPr>
                <w:rFonts w:hint="eastAsia"/>
              </w:rPr>
              <w:t>/a），生活污水产生系数取0.9，则生活污水产生量约</w:t>
            </w:r>
            <w:r>
              <w:t>0.4</w:t>
            </w:r>
            <w:r>
              <w:rPr>
                <w:rFonts w:hint="eastAsia"/>
              </w:rPr>
              <w:t>m</w:t>
            </w:r>
            <w:r>
              <w:rPr>
                <w:rFonts w:hint="eastAsia"/>
                <w:vertAlign w:val="superscript"/>
              </w:rPr>
              <w:t>3</w:t>
            </w:r>
            <w:r>
              <w:rPr>
                <w:rFonts w:hint="eastAsia"/>
              </w:rPr>
              <w:t>/d（</w:t>
            </w:r>
            <w:r>
              <w:t>120</w:t>
            </w:r>
            <w:r>
              <w:rPr>
                <w:rFonts w:hint="eastAsia"/>
              </w:rPr>
              <w:t>m</w:t>
            </w:r>
            <w:r>
              <w:rPr>
                <w:rFonts w:hint="eastAsia"/>
                <w:vertAlign w:val="superscript"/>
              </w:rPr>
              <w:t>3</w:t>
            </w:r>
            <w:r>
              <w:rPr>
                <w:rFonts w:hint="eastAsia"/>
              </w:rPr>
              <w:t>/a），其主要污染物分别为CODcr、BOD</w:t>
            </w:r>
            <w:r>
              <w:rPr>
                <w:rFonts w:hint="eastAsia"/>
                <w:vertAlign w:val="subscript"/>
              </w:rPr>
              <w:t>5</w:t>
            </w:r>
            <w:r>
              <w:rPr>
                <w:rFonts w:hint="eastAsia"/>
              </w:rPr>
              <w:t>、SS、NH</w:t>
            </w:r>
            <w:r>
              <w:rPr>
                <w:rFonts w:hint="eastAsia"/>
                <w:vertAlign w:val="subscript"/>
              </w:rPr>
              <w:t>3</w:t>
            </w:r>
            <w:r>
              <w:rPr>
                <w:rFonts w:hint="eastAsia"/>
              </w:rPr>
              <w:t>-N、动植物油等，其浓度分别为350mg/L、200 mg/L、200 mg/L、35 mg/L、20 mg/L，生活污水依托现有工程内化粪池处理后排入乡镇污水管网。</w:t>
            </w:r>
          </w:p>
          <w:p>
            <w:pPr>
              <w:pStyle w:val="37"/>
              <w:ind w:firstLine="480"/>
            </w:pPr>
            <w:r>
              <w:rPr>
                <w:rFonts w:hint="eastAsia"/>
              </w:rPr>
              <w:t>（3）运营期噪声源强及治理措施</w:t>
            </w:r>
          </w:p>
          <w:p>
            <w:pPr>
              <w:pStyle w:val="37"/>
              <w:ind w:firstLine="480"/>
            </w:pPr>
            <w:r>
              <w:rPr>
                <w:rFonts w:hint="eastAsia"/>
              </w:rPr>
              <w:t>项目运营期的主要噪声源为球磨机、分选机、脱泥斗、磁选机、浓密机等设备噪声。根据类比分析及现场调查走访周边企业实测可得，各具体声源等效声级值见表5-</w:t>
            </w:r>
            <w:r>
              <w:t>3</w:t>
            </w:r>
            <w:r>
              <w:rPr>
                <w:rFonts w:hint="eastAsia"/>
              </w:rPr>
              <w:t>。</w:t>
            </w:r>
          </w:p>
          <w:p>
            <w:pPr>
              <w:pStyle w:val="36"/>
            </w:pPr>
            <w:r>
              <w:rPr>
                <w:rFonts w:hint="eastAsia"/>
              </w:rPr>
              <w:t>表5-</w:t>
            </w:r>
            <w:r>
              <w:t>4</w:t>
            </w:r>
            <w:r>
              <w:rPr>
                <w:rFonts w:hint="eastAsia"/>
              </w:rPr>
              <w:t>本项目主要设备噪声源强一览表单位：dB（A）</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084"/>
              <w:gridCol w:w="591"/>
              <w:gridCol w:w="1131"/>
              <w:gridCol w:w="1419"/>
              <w:gridCol w:w="710"/>
              <w:gridCol w:w="565"/>
              <w:gridCol w:w="567"/>
              <w:gridCol w:w="569"/>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26" w:type="pct"/>
                  <w:vMerge w:val="restart"/>
                  <w:vAlign w:val="center"/>
                </w:tcPr>
                <w:p>
                  <w:pPr>
                    <w:pStyle w:val="47"/>
                  </w:pPr>
                  <w:r>
                    <w:rPr>
                      <w:rFonts w:hint="eastAsia"/>
                    </w:rPr>
                    <w:t>序号</w:t>
                  </w:r>
                </w:p>
              </w:tc>
              <w:tc>
                <w:tcPr>
                  <w:tcW w:w="598" w:type="pct"/>
                  <w:vMerge w:val="restart"/>
                  <w:vAlign w:val="center"/>
                </w:tcPr>
                <w:p>
                  <w:pPr>
                    <w:pStyle w:val="47"/>
                  </w:pPr>
                  <w:r>
                    <w:rPr>
                      <w:rFonts w:hint="eastAsia"/>
                    </w:rPr>
                    <w:t>设备名称</w:t>
                  </w:r>
                </w:p>
              </w:tc>
              <w:tc>
                <w:tcPr>
                  <w:tcW w:w="326" w:type="pct"/>
                  <w:vMerge w:val="restart"/>
                  <w:vAlign w:val="center"/>
                </w:tcPr>
                <w:p>
                  <w:pPr>
                    <w:pStyle w:val="47"/>
                  </w:pPr>
                  <w:r>
                    <w:rPr>
                      <w:rFonts w:hint="eastAsia"/>
                    </w:rPr>
                    <w:t>数量</w:t>
                  </w:r>
                </w:p>
              </w:tc>
              <w:tc>
                <w:tcPr>
                  <w:tcW w:w="624" w:type="pct"/>
                  <w:vMerge w:val="restart"/>
                  <w:vAlign w:val="center"/>
                </w:tcPr>
                <w:p>
                  <w:pPr>
                    <w:pStyle w:val="47"/>
                  </w:pPr>
                  <w:r>
                    <w:rPr>
                      <w:rFonts w:hint="eastAsia"/>
                    </w:rPr>
                    <w:t>噪声源强dB（A）</w:t>
                  </w:r>
                </w:p>
              </w:tc>
              <w:tc>
                <w:tcPr>
                  <w:tcW w:w="783" w:type="pct"/>
                  <w:vMerge w:val="restart"/>
                  <w:vAlign w:val="center"/>
                </w:tcPr>
                <w:p>
                  <w:pPr>
                    <w:pStyle w:val="47"/>
                  </w:pPr>
                  <w:r>
                    <w:rPr>
                      <w:rFonts w:hint="eastAsia"/>
                    </w:rPr>
                    <w:t>采取措施</w:t>
                  </w:r>
                </w:p>
              </w:tc>
              <w:tc>
                <w:tcPr>
                  <w:tcW w:w="1331" w:type="pct"/>
                  <w:gridSpan w:val="4"/>
                  <w:vAlign w:val="center"/>
                </w:tcPr>
                <w:p>
                  <w:pPr>
                    <w:pStyle w:val="47"/>
                  </w:pPr>
                  <w:r>
                    <w:rPr>
                      <w:rFonts w:hint="eastAsia"/>
                    </w:rPr>
                    <w:t>与场界的距离（m）</w:t>
                  </w:r>
                </w:p>
              </w:tc>
              <w:tc>
                <w:tcPr>
                  <w:tcW w:w="1012" w:type="pct"/>
                  <w:vMerge w:val="restart"/>
                  <w:vAlign w:val="center"/>
                </w:tcPr>
                <w:p>
                  <w:pPr>
                    <w:pStyle w:val="47"/>
                  </w:pPr>
                  <w:r>
                    <w:rPr>
                      <w:rFonts w:hint="eastAsia"/>
                    </w:rPr>
                    <w:t>治理后的噪声值dB（A）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26" w:type="pct"/>
                  <w:vMerge w:val="continue"/>
                  <w:vAlign w:val="center"/>
                </w:tcPr>
                <w:p>
                  <w:pPr>
                    <w:pStyle w:val="47"/>
                  </w:pPr>
                </w:p>
              </w:tc>
              <w:tc>
                <w:tcPr>
                  <w:tcW w:w="598" w:type="pct"/>
                  <w:vMerge w:val="continue"/>
                  <w:vAlign w:val="center"/>
                </w:tcPr>
                <w:p>
                  <w:pPr>
                    <w:pStyle w:val="47"/>
                  </w:pPr>
                </w:p>
              </w:tc>
              <w:tc>
                <w:tcPr>
                  <w:tcW w:w="326" w:type="pct"/>
                  <w:vMerge w:val="continue"/>
                  <w:vAlign w:val="center"/>
                </w:tcPr>
                <w:p>
                  <w:pPr>
                    <w:pStyle w:val="47"/>
                  </w:pPr>
                </w:p>
              </w:tc>
              <w:tc>
                <w:tcPr>
                  <w:tcW w:w="624" w:type="pct"/>
                  <w:vMerge w:val="continue"/>
                  <w:vAlign w:val="center"/>
                </w:tcPr>
                <w:p>
                  <w:pPr>
                    <w:pStyle w:val="47"/>
                  </w:pPr>
                </w:p>
              </w:tc>
              <w:tc>
                <w:tcPr>
                  <w:tcW w:w="783" w:type="pct"/>
                  <w:vMerge w:val="continue"/>
                  <w:vAlign w:val="center"/>
                </w:tcPr>
                <w:p>
                  <w:pPr>
                    <w:pStyle w:val="47"/>
                  </w:pPr>
                </w:p>
              </w:tc>
              <w:tc>
                <w:tcPr>
                  <w:tcW w:w="392" w:type="pct"/>
                  <w:vAlign w:val="center"/>
                </w:tcPr>
                <w:p>
                  <w:pPr>
                    <w:pStyle w:val="47"/>
                  </w:pPr>
                  <w:r>
                    <w:rPr>
                      <w:rFonts w:hint="eastAsia"/>
                    </w:rPr>
                    <w:t>东</w:t>
                  </w:r>
                </w:p>
              </w:tc>
              <w:tc>
                <w:tcPr>
                  <w:tcW w:w="312" w:type="pct"/>
                  <w:vAlign w:val="center"/>
                </w:tcPr>
                <w:p>
                  <w:pPr>
                    <w:pStyle w:val="47"/>
                  </w:pPr>
                  <w:r>
                    <w:rPr>
                      <w:rFonts w:hint="eastAsia"/>
                    </w:rPr>
                    <w:t>南</w:t>
                  </w:r>
                </w:p>
              </w:tc>
              <w:tc>
                <w:tcPr>
                  <w:tcW w:w="313" w:type="pct"/>
                  <w:vAlign w:val="center"/>
                </w:tcPr>
                <w:p>
                  <w:pPr>
                    <w:pStyle w:val="47"/>
                  </w:pPr>
                  <w:r>
                    <w:rPr>
                      <w:rFonts w:hint="eastAsia"/>
                    </w:rPr>
                    <w:t>西</w:t>
                  </w:r>
                </w:p>
              </w:tc>
              <w:tc>
                <w:tcPr>
                  <w:tcW w:w="314" w:type="pct"/>
                  <w:vAlign w:val="center"/>
                </w:tcPr>
                <w:p>
                  <w:pPr>
                    <w:pStyle w:val="47"/>
                  </w:pPr>
                  <w:r>
                    <w:rPr>
                      <w:rFonts w:hint="eastAsia"/>
                    </w:rPr>
                    <w:t>北</w:t>
                  </w:r>
                </w:p>
              </w:tc>
              <w:tc>
                <w:tcPr>
                  <w:tcW w:w="1012"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26" w:type="pct"/>
                  <w:vAlign w:val="center"/>
                </w:tcPr>
                <w:p>
                  <w:pPr>
                    <w:pStyle w:val="47"/>
                  </w:pPr>
                  <w:r>
                    <w:t>1</w:t>
                  </w:r>
                </w:p>
              </w:tc>
              <w:tc>
                <w:tcPr>
                  <w:tcW w:w="598" w:type="pct"/>
                  <w:vAlign w:val="center"/>
                </w:tcPr>
                <w:p>
                  <w:pPr>
                    <w:pStyle w:val="47"/>
                  </w:pPr>
                  <w:r>
                    <w:t>球磨机</w:t>
                  </w:r>
                </w:p>
              </w:tc>
              <w:tc>
                <w:tcPr>
                  <w:tcW w:w="326" w:type="pct"/>
                  <w:vAlign w:val="center"/>
                </w:tcPr>
                <w:p>
                  <w:pPr>
                    <w:pStyle w:val="47"/>
                  </w:pPr>
                  <w:r>
                    <w:rPr>
                      <w:rFonts w:hint="eastAsia"/>
                    </w:rPr>
                    <w:t>1</w:t>
                  </w:r>
                </w:p>
              </w:tc>
              <w:tc>
                <w:tcPr>
                  <w:tcW w:w="624" w:type="pct"/>
                  <w:vAlign w:val="center"/>
                </w:tcPr>
                <w:p>
                  <w:pPr>
                    <w:pStyle w:val="47"/>
                  </w:pPr>
                  <w:r>
                    <w:rPr>
                      <w:rFonts w:hint="eastAsia"/>
                    </w:rPr>
                    <w:t>118</w:t>
                  </w:r>
                </w:p>
              </w:tc>
              <w:tc>
                <w:tcPr>
                  <w:tcW w:w="783" w:type="pct"/>
                  <w:vAlign w:val="center"/>
                </w:tcPr>
                <w:p>
                  <w:pPr>
                    <w:pStyle w:val="47"/>
                  </w:pPr>
                  <w:r>
                    <w:t>基础减振</w:t>
                  </w:r>
                  <w:r>
                    <w:rPr>
                      <w:rFonts w:hint="eastAsia"/>
                    </w:rPr>
                    <w:t>、厂房隔声、加装隔声罩、隔音棉等</w:t>
                  </w:r>
                </w:p>
              </w:tc>
              <w:tc>
                <w:tcPr>
                  <w:tcW w:w="392" w:type="pct"/>
                  <w:vAlign w:val="center"/>
                </w:tcPr>
                <w:p>
                  <w:pPr>
                    <w:pStyle w:val="47"/>
                  </w:pPr>
                  <w:r>
                    <w:rPr>
                      <w:rFonts w:hint="eastAsia"/>
                    </w:rPr>
                    <w:t>5</w:t>
                  </w:r>
                  <w:r>
                    <w:t>6</w:t>
                  </w:r>
                </w:p>
              </w:tc>
              <w:tc>
                <w:tcPr>
                  <w:tcW w:w="312" w:type="pct"/>
                  <w:vAlign w:val="center"/>
                </w:tcPr>
                <w:p>
                  <w:pPr>
                    <w:pStyle w:val="47"/>
                  </w:pPr>
                  <w:r>
                    <w:rPr>
                      <w:rFonts w:hint="eastAsia"/>
                    </w:rPr>
                    <w:t>4</w:t>
                  </w:r>
                  <w:r>
                    <w:t>5</w:t>
                  </w:r>
                </w:p>
              </w:tc>
              <w:tc>
                <w:tcPr>
                  <w:tcW w:w="313" w:type="pct"/>
                  <w:vAlign w:val="center"/>
                </w:tcPr>
                <w:p>
                  <w:pPr>
                    <w:pStyle w:val="47"/>
                  </w:pPr>
                  <w:r>
                    <w:rPr>
                      <w:rFonts w:hint="eastAsia"/>
                    </w:rPr>
                    <w:t>2</w:t>
                  </w:r>
                  <w:r>
                    <w:t>5</w:t>
                  </w:r>
                </w:p>
              </w:tc>
              <w:tc>
                <w:tcPr>
                  <w:tcW w:w="314" w:type="pct"/>
                  <w:vAlign w:val="center"/>
                </w:tcPr>
                <w:p>
                  <w:pPr>
                    <w:pStyle w:val="47"/>
                  </w:pPr>
                  <w:r>
                    <w:rPr>
                      <w:rFonts w:hint="eastAsia"/>
                    </w:rPr>
                    <w:t>1</w:t>
                  </w:r>
                  <w:r>
                    <w:t>51</w:t>
                  </w:r>
                </w:p>
              </w:tc>
              <w:tc>
                <w:tcPr>
                  <w:tcW w:w="1012" w:type="pct"/>
                  <w:vAlign w:val="center"/>
                </w:tcPr>
                <w:p>
                  <w:pPr>
                    <w:pStyle w:val="47"/>
                  </w:pPr>
                  <w:r>
                    <w:rPr>
                      <w:rFonts w:hint="eastAsia"/>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326" w:type="pct"/>
                  <w:vAlign w:val="center"/>
                </w:tcPr>
                <w:p>
                  <w:pPr>
                    <w:pStyle w:val="47"/>
                  </w:pPr>
                  <w:r>
                    <w:t>2</w:t>
                  </w:r>
                </w:p>
              </w:tc>
              <w:tc>
                <w:tcPr>
                  <w:tcW w:w="598" w:type="pct"/>
                  <w:vAlign w:val="center"/>
                </w:tcPr>
                <w:p>
                  <w:pPr>
                    <w:pStyle w:val="47"/>
                  </w:pPr>
                  <w:r>
                    <w:t>分选机</w:t>
                  </w:r>
                </w:p>
              </w:tc>
              <w:tc>
                <w:tcPr>
                  <w:tcW w:w="326" w:type="pct"/>
                  <w:vAlign w:val="center"/>
                </w:tcPr>
                <w:p>
                  <w:pPr>
                    <w:pStyle w:val="47"/>
                  </w:pPr>
                  <w:r>
                    <w:rPr>
                      <w:rFonts w:hint="eastAsia"/>
                    </w:rPr>
                    <w:t>2</w:t>
                  </w:r>
                </w:p>
              </w:tc>
              <w:tc>
                <w:tcPr>
                  <w:tcW w:w="624" w:type="pct"/>
                  <w:vAlign w:val="center"/>
                </w:tcPr>
                <w:p>
                  <w:pPr>
                    <w:pStyle w:val="47"/>
                  </w:pPr>
                  <w:r>
                    <w:rPr>
                      <w:rFonts w:hint="eastAsia"/>
                    </w:rPr>
                    <w:t>7</w:t>
                  </w:r>
                  <w:r>
                    <w:t>5</w:t>
                  </w:r>
                </w:p>
              </w:tc>
              <w:tc>
                <w:tcPr>
                  <w:tcW w:w="783" w:type="pct"/>
                  <w:vAlign w:val="center"/>
                </w:tcPr>
                <w:p>
                  <w:pPr>
                    <w:jc w:val="center"/>
                  </w:pPr>
                  <w:r>
                    <w:t>基础减振</w:t>
                  </w:r>
                  <w:r>
                    <w:rPr>
                      <w:rFonts w:hint="eastAsia"/>
                    </w:rPr>
                    <w:t>、厂房隔声</w:t>
                  </w:r>
                </w:p>
              </w:tc>
              <w:tc>
                <w:tcPr>
                  <w:tcW w:w="392" w:type="pct"/>
                  <w:vAlign w:val="center"/>
                </w:tcPr>
                <w:p>
                  <w:pPr>
                    <w:pStyle w:val="47"/>
                  </w:pPr>
                  <w:r>
                    <w:rPr>
                      <w:rFonts w:hint="eastAsia"/>
                    </w:rPr>
                    <w:t>5</w:t>
                  </w:r>
                  <w:r>
                    <w:t>6</w:t>
                  </w:r>
                </w:p>
              </w:tc>
              <w:tc>
                <w:tcPr>
                  <w:tcW w:w="312" w:type="pct"/>
                  <w:vAlign w:val="center"/>
                </w:tcPr>
                <w:p>
                  <w:pPr>
                    <w:pStyle w:val="47"/>
                  </w:pPr>
                  <w:r>
                    <w:rPr>
                      <w:rFonts w:hint="eastAsia"/>
                    </w:rPr>
                    <w:t>4</w:t>
                  </w:r>
                  <w:r>
                    <w:t>7</w:t>
                  </w:r>
                </w:p>
              </w:tc>
              <w:tc>
                <w:tcPr>
                  <w:tcW w:w="313" w:type="pct"/>
                  <w:vAlign w:val="center"/>
                </w:tcPr>
                <w:p>
                  <w:pPr>
                    <w:pStyle w:val="47"/>
                  </w:pPr>
                  <w:r>
                    <w:rPr>
                      <w:rFonts w:hint="eastAsia"/>
                    </w:rPr>
                    <w:t>2</w:t>
                  </w:r>
                  <w:r>
                    <w:t>5</w:t>
                  </w:r>
                </w:p>
              </w:tc>
              <w:tc>
                <w:tcPr>
                  <w:tcW w:w="314" w:type="pct"/>
                  <w:vAlign w:val="center"/>
                </w:tcPr>
                <w:p>
                  <w:pPr>
                    <w:pStyle w:val="47"/>
                  </w:pPr>
                  <w:r>
                    <w:rPr>
                      <w:rFonts w:hint="eastAsia"/>
                    </w:rPr>
                    <w:t>1</w:t>
                  </w:r>
                  <w:r>
                    <w:t>49</w:t>
                  </w:r>
                </w:p>
              </w:tc>
              <w:tc>
                <w:tcPr>
                  <w:tcW w:w="1012" w:type="pct"/>
                  <w:vAlign w:val="center"/>
                </w:tcPr>
                <w:p>
                  <w:pPr>
                    <w:pStyle w:val="47"/>
                  </w:pPr>
                  <w: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326" w:type="pct"/>
                  <w:vAlign w:val="center"/>
                </w:tcPr>
                <w:p>
                  <w:pPr>
                    <w:pStyle w:val="47"/>
                  </w:pPr>
                  <w:r>
                    <w:t>3</w:t>
                  </w:r>
                </w:p>
              </w:tc>
              <w:tc>
                <w:tcPr>
                  <w:tcW w:w="598" w:type="pct"/>
                  <w:vAlign w:val="center"/>
                </w:tcPr>
                <w:p>
                  <w:pPr>
                    <w:pStyle w:val="47"/>
                  </w:pPr>
                  <w:r>
                    <w:t>脱泥斗</w:t>
                  </w:r>
                </w:p>
              </w:tc>
              <w:tc>
                <w:tcPr>
                  <w:tcW w:w="326" w:type="pct"/>
                  <w:vAlign w:val="center"/>
                </w:tcPr>
                <w:p>
                  <w:pPr>
                    <w:pStyle w:val="47"/>
                  </w:pPr>
                  <w:r>
                    <w:rPr>
                      <w:rFonts w:hint="eastAsia"/>
                    </w:rPr>
                    <w:t>1</w:t>
                  </w:r>
                </w:p>
              </w:tc>
              <w:tc>
                <w:tcPr>
                  <w:tcW w:w="624" w:type="pct"/>
                  <w:vAlign w:val="center"/>
                </w:tcPr>
                <w:p>
                  <w:pPr>
                    <w:pStyle w:val="47"/>
                  </w:pPr>
                  <w:r>
                    <w:rPr>
                      <w:rFonts w:hint="eastAsia"/>
                    </w:rPr>
                    <w:t>6</w:t>
                  </w:r>
                  <w:r>
                    <w:t>0</w:t>
                  </w:r>
                </w:p>
              </w:tc>
              <w:tc>
                <w:tcPr>
                  <w:tcW w:w="783" w:type="pct"/>
                  <w:vAlign w:val="center"/>
                </w:tcPr>
                <w:p>
                  <w:pPr>
                    <w:jc w:val="center"/>
                  </w:pPr>
                  <w:r>
                    <w:t>基础减振</w:t>
                  </w:r>
                  <w:r>
                    <w:rPr>
                      <w:rFonts w:hint="eastAsia"/>
                    </w:rPr>
                    <w:t>、厂房隔声</w:t>
                  </w:r>
                </w:p>
              </w:tc>
              <w:tc>
                <w:tcPr>
                  <w:tcW w:w="392" w:type="pct"/>
                  <w:vAlign w:val="center"/>
                </w:tcPr>
                <w:p>
                  <w:pPr>
                    <w:pStyle w:val="47"/>
                  </w:pPr>
                  <w:r>
                    <w:rPr>
                      <w:rFonts w:hint="eastAsia"/>
                    </w:rPr>
                    <w:t>5</w:t>
                  </w:r>
                  <w:r>
                    <w:t>6</w:t>
                  </w:r>
                </w:p>
              </w:tc>
              <w:tc>
                <w:tcPr>
                  <w:tcW w:w="312" w:type="pct"/>
                  <w:vAlign w:val="center"/>
                </w:tcPr>
                <w:p>
                  <w:pPr>
                    <w:pStyle w:val="47"/>
                  </w:pPr>
                  <w:r>
                    <w:rPr>
                      <w:rFonts w:hint="eastAsia"/>
                    </w:rPr>
                    <w:t>4</w:t>
                  </w:r>
                  <w:r>
                    <w:t>7</w:t>
                  </w:r>
                </w:p>
              </w:tc>
              <w:tc>
                <w:tcPr>
                  <w:tcW w:w="313" w:type="pct"/>
                  <w:vAlign w:val="center"/>
                </w:tcPr>
                <w:p>
                  <w:pPr>
                    <w:pStyle w:val="47"/>
                  </w:pPr>
                  <w:r>
                    <w:rPr>
                      <w:rFonts w:hint="eastAsia"/>
                    </w:rPr>
                    <w:t>2</w:t>
                  </w:r>
                  <w:r>
                    <w:t>5</w:t>
                  </w:r>
                </w:p>
              </w:tc>
              <w:tc>
                <w:tcPr>
                  <w:tcW w:w="314" w:type="pct"/>
                  <w:vAlign w:val="center"/>
                </w:tcPr>
                <w:p>
                  <w:pPr>
                    <w:pStyle w:val="47"/>
                  </w:pPr>
                  <w:r>
                    <w:rPr>
                      <w:rFonts w:hint="eastAsia"/>
                    </w:rPr>
                    <w:t>1</w:t>
                  </w:r>
                  <w:r>
                    <w:t>49</w:t>
                  </w:r>
                </w:p>
              </w:tc>
              <w:tc>
                <w:tcPr>
                  <w:tcW w:w="1012" w:type="pct"/>
                  <w:vAlign w:val="center"/>
                </w:tcPr>
                <w:p>
                  <w:pPr>
                    <w:pStyle w:val="47"/>
                  </w:pPr>
                  <w: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26" w:type="pct"/>
                  <w:vAlign w:val="center"/>
                </w:tcPr>
                <w:p>
                  <w:pPr>
                    <w:pStyle w:val="47"/>
                  </w:pPr>
                  <w:r>
                    <w:t>4</w:t>
                  </w:r>
                </w:p>
              </w:tc>
              <w:tc>
                <w:tcPr>
                  <w:tcW w:w="598" w:type="pct"/>
                  <w:vAlign w:val="center"/>
                </w:tcPr>
                <w:p>
                  <w:pPr>
                    <w:pStyle w:val="47"/>
                  </w:pPr>
                  <w:r>
                    <w:t>磁选机</w:t>
                  </w:r>
                </w:p>
              </w:tc>
              <w:tc>
                <w:tcPr>
                  <w:tcW w:w="326" w:type="pct"/>
                  <w:vAlign w:val="center"/>
                </w:tcPr>
                <w:p>
                  <w:pPr>
                    <w:pStyle w:val="47"/>
                  </w:pPr>
                  <w:r>
                    <w:rPr>
                      <w:rFonts w:hint="eastAsia"/>
                    </w:rPr>
                    <w:t>3</w:t>
                  </w:r>
                </w:p>
              </w:tc>
              <w:tc>
                <w:tcPr>
                  <w:tcW w:w="624" w:type="pct"/>
                  <w:vAlign w:val="center"/>
                </w:tcPr>
                <w:p>
                  <w:pPr>
                    <w:pStyle w:val="47"/>
                  </w:pPr>
                  <w:r>
                    <w:rPr>
                      <w:rFonts w:hint="eastAsia"/>
                    </w:rPr>
                    <w:t>8</w:t>
                  </w:r>
                  <w:r>
                    <w:t>0</w:t>
                  </w:r>
                </w:p>
              </w:tc>
              <w:tc>
                <w:tcPr>
                  <w:tcW w:w="783" w:type="pct"/>
                  <w:vAlign w:val="center"/>
                </w:tcPr>
                <w:p>
                  <w:pPr>
                    <w:jc w:val="center"/>
                  </w:pPr>
                  <w:r>
                    <w:t>基础减振</w:t>
                  </w:r>
                  <w:r>
                    <w:rPr>
                      <w:rFonts w:hint="eastAsia"/>
                    </w:rPr>
                    <w:t>、厂房隔声</w:t>
                  </w:r>
                </w:p>
              </w:tc>
              <w:tc>
                <w:tcPr>
                  <w:tcW w:w="392" w:type="pct"/>
                  <w:vAlign w:val="center"/>
                </w:tcPr>
                <w:p>
                  <w:pPr>
                    <w:pStyle w:val="47"/>
                  </w:pPr>
                  <w:r>
                    <w:rPr>
                      <w:rFonts w:hint="eastAsia"/>
                    </w:rPr>
                    <w:t>5</w:t>
                  </w:r>
                  <w:r>
                    <w:t>6</w:t>
                  </w:r>
                </w:p>
              </w:tc>
              <w:tc>
                <w:tcPr>
                  <w:tcW w:w="312" w:type="pct"/>
                  <w:vAlign w:val="center"/>
                </w:tcPr>
                <w:p>
                  <w:pPr>
                    <w:pStyle w:val="47"/>
                  </w:pPr>
                  <w:r>
                    <w:rPr>
                      <w:rFonts w:hint="eastAsia"/>
                    </w:rPr>
                    <w:t>4</w:t>
                  </w:r>
                  <w:r>
                    <w:t>3</w:t>
                  </w:r>
                </w:p>
              </w:tc>
              <w:tc>
                <w:tcPr>
                  <w:tcW w:w="313" w:type="pct"/>
                  <w:vAlign w:val="center"/>
                </w:tcPr>
                <w:p>
                  <w:pPr>
                    <w:pStyle w:val="47"/>
                  </w:pPr>
                  <w:r>
                    <w:rPr>
                      <w:rFonts w:hint="eastAsia"/>
                    </w:rPr>
                    <w:t>2</w:t>
                  </w:r>
                  <w:r>
                    <w:t>5</w:t>
                  </w:r>
                </w:p>
              </w:tc>
              <w:tc>
                <w:tcPr>
                  <w:tcW w:w="314" w:type="pct"/>
                  <w:vAlign w:val="center"/>
                </w:tcPr>
                <w:p>
                  <w:pPr>
                    <w:pStyle w:val="47"/>
                  </w:pPr>
                  <w:r>
                    <w:rPr>
                      <w:rFonts w:hint="eastAsia"/>
                    </w:rPr>
                    <w:t>1</w:t>
                  </w:r>
                  <w:r>
                    <w:t>53</w:t>
                  </w:r>
                </w:p>
              </w:tc>
              <w:tc>
                <w:tcPr>
                  <w:tcW w:w="1012" w:type="pct"/>
                  <w:vAlign w:val="center"/>
                </w:tcPr>
                <w:p>
                  <w:pPr>
                    <w:pStyle w:val="47"/>
                  </w:pP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326" w:type="pct"/>
                  <w:vAlign w:val="center"/>
                </w:tcPr>
                <w:p>
                  <w:pPr>
                    <w:pStyle w:val="47"/>
                  </w:pPr>
                  <w:r>
                    <w:t>5</w:t>
                  </w:r>
                </w:p>
              </w:tc>
              <w:tc>
                <w:tcPr>
                  <w:tcW w:w="598" w:type="pct"/>
                  <w:vAlign w:val="center"/>
                </w:tcPr>
                <w:p>
                  <w:pPr>
                    <w:pStyle w:val="47"/>
                  </w:pPr>
                  <w:r>
                    <w:rPr>
                      <w:rFonts w:hint="eastAsia"/>
                    </w:rPr>
                    <w:t>浓密机</w:t>
                  </w:r>
                </w:p>
              </w:tc>
              <w:tc>
                <w:tcPr>
                  <w:tcW w:w="326" w:type="pct"/>
                  <w:vAlign w:val="center"/>
                </w:tcPr>
                <w:p>
                  <w:pPr>
                    <w:pStyle w:val="47"/>
                  </w:pPr>
                  <w:r>
                    <w:rPr>
                      <w:rFonts w:hint="eastAsia"/>
                    </w:rPr>
                    <w:t>1</w:t>
                  </w:r>
                </w:p>
              </w:tc>
              <w:tc>
                <w:tcPr>
                  <w:tcW w:w="624" w:type="pct"/>
                  <w:vAlign w:val="center"/>
                </w:tcPr>
                <w:p>
                  <w:pPr>
                    <w:pStyle w:val="47"/>
                  </w:pPr>
                  <w:r>
                    <w:rPr>
                      <w:rFonts w:hint="eastAsia"/>
                    </w:rPr>
                    <w:t>8</w:t>
                  </w:r>
                  <w:r>
                    <w:t>0</w:t>
                  </w:r>
                </w:p>
              </w:tc>
              <w:tc>
                <w:tcPr>
                  <w:tcW w:w="783" w:type="pct"/>
                  <w:vAlign w:val="center"/>
                </w:tcPr>
                <w:p>
                  <w:pPr>
                    <w:jc w:val="center"/>
                  </w:pPr>
                  <w:r>
                    <w:t>基础减振</w:t>
                  </w:r>
                  <w:r>
                    <w:rPr>
                      <w:rFonts w:hint="eastAsia"/>
                    </w:rPr>
                    <w:t>、厂房隔声</w:t>
                  </w:r>
                </w:p>
              </w:tc>
              <w:tc>
                <w:tcPr>
                  <w:tcW w:w="392" w:type="pct"/>
                  <w:vAlign w:val="center"/>
                </w:tcPr>
                <w:p>
                  <w:pPr>
                    <w:pStyle w:val="47"/>
                  </w:pPr>
                  <w:r>
                    <w:rPr>
                      <w:rFonts w:hint="eastAsia"/>
                    </w:rPr>
                    <w:t>5</w:t>
                  </w:r>
                  <w:r>
                    <w:t>2</w:t>
                  </w:r>
                </w:p>
              </w:tc>
              <w:tc>
                <w:tcPr>
                  <w:tcW w:w="312" w:type="pct"/>
                  <w:vAlign w:val="center"/>
                </w:tcPr>
                <w:p>
                  <w:pPr>
                    <w:pStyle w:val="47"/>
                  </w:pPr>
                  <w:r>
                    <w:rPr>
                      <w:rFonts w:hint="eastAsia"/>
                    </w:rPr>
                    <w:t>4</w:t>
                  </w:r>
                  <w:r>
                    <w:t>8</w:t>
                  </w:r>
                </w:p>
              </w:tc>
              <w:tc>
                <w:tcPr>
                  <w:tcW w:w="313" w:type="pct"/>
                  <w:vAlign w:val="center"/>
                </w:tcPr>
                <w:p>
                  <w:pPr>
                    <w:pStyle w:val="47"/>
                  </w:pPr>
                  <w:r>
                    <w:rPr>
                      <w:rFonts w:hint="eastAsia"/>
                    </w:rPr>
                    <w:t>2</w:t>
                  </w:r>
                  <w:r>
                    <w:t>9</w:t>
                  </w:r>
                </w:p>
              </w:tc>
              <w:tc>
                <w:tcPr>
                  <w:tcW w:w="314" w:type="pct"/>
                  <w:vAlign w:val="center"/>
                </w:tcPr>
                <w:p>
                  <w:pPr>
                    <w:pStyle w:val="47"/>
                  </w:pPr>
                  <w:r>
                    <w:rPr>
                      <w:rFonts w:hint="eastAsia"/>
                    </w:rPr>
                    <w:t>1</w:t>
                  </w:r>
                  <w:r>
                    <w:t>48</w:t>
                  </w:r>
                </w:p>
              </w:tc>
              <w:tc>
                <w:tcPr>
                  <w:tcW w:w="1012" w:type="pct"/>
                  <w:vAlign w:val="center"/>
                </w:tcPr>
                <w:p>
                  <w:pPr>
                    <w:pStyle w:val="47"/>
                  </w:pPr>
                  <w:r>
                    <w:rPr>
                      <w:rFonts w:hint="eastAsia"/>
                    </w:rPr>
                    <w:t>7</w:t>
                  </w:r>
                  <w:r>
                    <w:t>0</w:t>
                  </w:r>
                </w:p>
              </w:tc>
            </w:tr>
          </w:tbl>
          <w:p>
            <w:pPr>
              <w:pStyle w:val="37"/>
              <w:ind w:firstLine="480"/>
            </w:pPr>
            <w:r>
              <w:rPr>
                <w:rFonts w:hint="eastAsia"/>
              </w:rPr>
              <w:t>（4）固体废弃物</w:t>
            </w:r>
          </w:p>
          <w:p>
            <w:pPr>
              <w:pStyle w:val="37"/>
              <w:ind w:firstLine="480"/>
            </w:pPr>
            <w:r>
              <w:rPr>
                <w:rFonts w:hint="eastAsia"/>
              </w:rPr>
              <w:t>本项目运营期固体废弃物主要为检修废油、生活垃圾、尾砂和黑砂等。</w:t>
            </w:r>
          </w:p>
          <w:p>
            <w:pPr>
              <w:pStyle w:val="37"/>
              <w:ind w:firstLine="480"/>
            </w:pPr>
            <w:r>
              <w:rPr>
                <w:rFonts w:hint="eastAsia"/>
              </w:rPr>
              <w:t>1）生活垃圾</w:t>
            </w:r>
          </w:p>
          <w:p>
            <w:pPr>
              <w:pStyle w:val="37"/>
              <w:ind w:firstLine="480"/>
            </w:pPr>
            <w:r>
              <w:rPr>
                <w:rFonts w:hint="eastAsia"/>
              </w:rPr>
              <w:t>本项目按1</w:t>
            </w:r>
            <w:r>
              <w:t>0</w:t>
            </w:r>
            <w:r>
              <w:rPr>
                <w:rFonts w:hint="eastAsia"/>
              </w:rPr>
              <w:t>人计算，按每人</w:t>
            </w:r>
            <w:r>
              <w:t>每天产生垃圾</w:t>
            </w:r>
            <w:r>
              <w:rPr>
                <w:rFonts w:hint="eastAsia"/>
              </w:rPr>
              <w:t>0.5</w:t>
            </w:r>
            <w:r>
              <w:t>kg，工作日以300d计算，则生活垃圾的产生量为1.5t/a</w:t>
            </w:r>
            <w:r>
              <w:rPr>
                <w:rFonts w:hint="eastAsia"/>
              </w:rPr>
              <w:t>，</w:t>
            </w:r>
            <w:r>
              <w:t>产生的生活垃圾</w:t>
            </w:r>
            <w:r>
              <w:rPr>
                <w:rFonts w:hint="eastAsia"/>
              </w:rPr>
              <w:t>通过场区内设置的垃圾桶收集装袋</w:t>
            </w:r>
            <w:r>
              <w:t>后</w:t>
            </w:r>
            <w:r>
              <w:rPr>
                <w:rFonts w:hint="eastAsia"/>
              </w:rPr>
              <w:t>送</w:t>
            </w:r>
            <w:r>
              <w:t>环卫部门</w:t>
            </w:r>
            <w:r>
              <w:rPr>
                <w:rFonts w:hint="eastAsia"/>
              </w:rPr>
              <w:t>，由环卫部门</w:t>
            </w:r>
            <w:r>
              <w:t>清运至垃圾填埋场卫生填埋</w:t>
            </w:r>
            <w:r>
              <w:rPr>
                <w:rFonts w:hint="eastAsia"/>
              </w:rPr>
              <w:t>。</w:t>
            </w:r>
          </w:p>
          <w:p>
            <w:pPr>
              <w:pStyle w:val="37"/>
              <w:ind w:firstLine="480"/>
            </w:pPr>
            <w:r>
              <w:rPr>
                <w:rFonts w:hint="eastAsia"/>
              </w:rPr>
              <w:t>2）检修废油</w:t>
            </w:r>
          </w:p>
          <w:p>
            <w:pPr>
              <w:pStyle w:val="37"/>
              <w:ind w:firstLine="480"/>
            </w:pPr>
            <w:r>
              <w:rPr>
                <w:rFonts w:hint="eastAsia"/>
              </w:rPr>
              <w:t>本项目运营期设备检修废油主要产生于对各类机械的修理、打油等，产生量约0.3t/a，根据《国家危险废物名录》，该类固废属于HW08类危险废物，本次环评要求建设单位暂存于废废暂存间，交由有危废处置资质单位进行处理。同时，建设单位应规范设置危险废物暂存间，完善标识标牌及防流失、防扬散、防泄漏措施，建立管理台账。</w:t>
            </w:r>
          </w:p>
          <w:p>
            <w:pPr>
              <w:pStyle w:val="37"/>
              <w:ind w:firstLine="480"/>
            </w:pPr>
            <w:r>
              <w:rPr>
                <w:rFonts w:hint="eastAsia"/>
              </w:rPr>
              <w:t>3）尾砂和黑砂</w:t>
            </w:r>
          </w:p>
          <w:p>
            <w:pPr>
              <w:pStyle w:val="37"/>
              <w:ind w:firstLine="480"/>
            </w:pPr>
            <w:r>
              <w:rPr>
                <w:rFonts w:hint="eastAsia"/>
              </w:rPr>
              <w:t>本项目生产过程中尾砂年产生量约5577吨，出售作建筑材料，黑砂年产生量195吨，作为副产品出售。</w:t>
            </w:r>
          </w:p>
          <w:p>
            <w:pPr>
              <w:pStyle w:val="37"/>
              <w:ind w:firstLine="480"/>
            </w:pPr>
            <w:r>
              <w:rPr>
                <w:rFonts w:hint="eastAsia"/>
              </w:rPr>
              <w:t>项目运营期固体废弃物处理处置情况如下表：</w:t>
            </w:r>
          </w:p>
          <w:p>
            <w:pPr>
              <w:pStyle w:val="36"/>
            </w:pPr>
          </w:p>
          <w:p>
            <w:pPr>
              <w:pStyle w:val="36"/>
            </w:pPr>
          </w:p>
          <w:p>
            <w:pPr>
              <w:pStyle w:val="36"/>
            </w:pPr>
            <w:r>
              <w:rPr>
                <w:rFonts w:hint="eastAsia"/>
              </w:rPr>
              <w:t>表5-</w:t>
            </w:r>
            <w:r>
              <w:t>5</w:t>
            </w:r>
            <w:r>
              <w:rPr>
                <w:rFonts w:hint="eastAsia"/>
              </w:rPr>
              <w:t>运营期固废处理处置情况一览表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6"/>
              <w:gridCol w:w="1056"/>
              <w:gridCol w:w="1477"/>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1" w:type="pct"/>
                  <w:vAlign w:val="center"/>
                </w:tcPr>
                <w:p>
                  <w:pPr>
                    <w:pStyle w:val="47"/>
                  </w:pPr>
                  <w:r>
                    <w:rPr>
                      <w:rFonts w:hint="eastAsia"/>
                    </w:rPr>
                    <w:t>序号</w:t>
                  </w:r>
                </w:p>
              </w:tc>
              <w:tc>
                <w:tcPr>
                  <w:tcW w:w="583" w:type="pct"/>
                  <w:vAlign w:val="center"/>
                </w:tcPr>
                <w:p>
                  <w:pPr>
                    <w:pStyle w:val="47"/>
                  </w:pPr>
                  <w:r>
                    <w:rPr>
                      <w:rFonts w:hint="eastAsia"/>
                    </w:rPr>
                    <w:t>名称</w:t>
                  </w:r>
                </w:p>
              </w:tc>
              <w:tc>
                <w:tcPr>
                  <w:tcW w:w="583" w:type="pct"/>
                  <w:vAlign w:val="center"/>
                </w:tcPr>
                <w:p>
                  <w:pPr>
                    <w:pStyle w:val="47"/>
                  </w:pPr>
                  <w:r>
                    <w:rPr>
                      <w:rFonts w:hint="eastAsia"/>
                    </w:rPr>
                    <w:t>类别</w:t>
                  </w:r>
                </w:p>
              </w:tc>
              <w:tc>
                <w:tcPr>
                  <w:tcW w:w="815" w:type="pct"/>
                  <w:vAlign w:val="center"/>
                </w:tcPr>
                <w:p>
                  <w:pPr>
                    <w:pStyle w:val="47"/>
                  </w:pPr>
                  <w:r>
                    <w:rPr>
                      <w:rFonts w:hint="eastAsia"/>
                    </w:rPr>
                    <w:t>产生量（t/a）</w:t>
                  </w:r>
                </w:p>
              </w:tc>
              <w:tc>
                <w:tcPr>
                  <w:tcW w:w="2669" w:type="pct"/>
                  <w:vAlign w:val="center"/>
                </w:tcPr>
                <w:p>
                  <w:pPr>
                    <w:pStyle w:val="47"/>
                  </w:pPr>
                  <w:r>
                    <w:rPr>
                      <w:rFonts w:hint="eastAsia"/>
                    </w:rPr>
                    <w:t>处理、处置措施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351" w:type="pct"/>
                  <w:vAlign w:val="center"/>
                </w:tcPr>
                <w:p>
                  <w:pPr>
                    <w:pStyle w:val="47"/>
                  </w:pPr>
                  <w:r>
                    <w:rPr>
                      <w:rFonts w:hint="eastAsia"/>
                    </w:rPr>
                    <w:t>1</w:t>
                  </w:r>
                </w:p>
              </w:tc>
              <w:tc>
                <w:tcPr>
                  <w:tcW w:w="583" w:type="pct"/>
                  <w:vAlign w:val="center"/>
                </w:tcPr>
                <w:p>
                  <w:pPr>
                    <w:pStyle w:val="47"/>
                  </w:pPr>
                  <w:r>
                    <w:rPr>
                      <w:rFonts w:hint="eastAsia"/>
                    </w:rPr>
                    <w:t>生活垃圾</w:t>
                  </w:r>
                </w:p>
              </w:tc>
              <w:tc>
                <w:tcPr>
                  <w:tcW w:w="583" w:type="pct"/>
                  <w:vAlign w:val="center"/>
                </w:tcPr>
                <w:p>
                  <w:pPr>
                    <w:pStyle w:val="47"/>
                  </w:pPr>
                  <w:r>
                    <w:rPr>
                      <w:rFonts w:hint="eastAsia"/>
                    </w:rPr>
                    <w:t>一般固废</w:t>
                  </w:r>
                </w:p>
              </w:tc>
              <w:tc>
                <w:tcPr>
                  <w:tcW w:w="815" w:type="pct"/>
                  <w:vAlign w:val="center"/>
                </w:tcPr>
                <w:p>
                  <w:pPr>
                    <w:pStyle w:val="47"/>
                  </w:pPr>
                  <w:r>
                    <w:t>1.5</w:t>
                  </w:r>
                </w:p>
              </w:tc>
              <w:tc>
                <w:tcPr>
                  <w:tcW w:w="2669" w:type="pct"/>
                  <w:vAlign w:val="center"/>
                </w:tcPr>
                <w:p>
                  <w:pPr>
                    <w:pStyle w:val="47"/>
                  </w:pPr>
                  <w:r>
                    <w:rPr>
                      <w:rFonts w:hint="eastAsia"/>
                    </w:rPr>
                    <w:t>由环卫部门清运至垃圾填埋场卫生填埋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trPr>
              <w:tc>
                <w:tcPr>
                  <w:tcW w:w="351" w:type="pct"/>
                  <w:vAlign w:val="center"/>
                </w:tcPr>
                <w:p>
                  <w:pPr>
                    <w:pStyle w:val="47"/>
                  </w:pPr>
                  <w:r>
                    <w:t>2</w:t>
                  </w:r>
                </w:p>
              </w:tc>
              <w:tc>
                <w:tcPr>
                  <w:tcW w:w="583" w:type="pct"/>
                  <w:vAlign w:val="center"/>
                </w:tcPr>
                <w:p>
                  <w:pPr>
                    <w:pStyle w:val="47"/>
                  </w:pPr>
                  <w:r>
                    <w:rPr>
                      <w:rFonts w:hint="eastAsia"/>
                    </w:rPr>
                    <w:t>检修废油</w:t>
                  </w:r>
                </w:p>
              </w:tc>
              <w:tc>
                <w:tcPr>
                  <w:tcW w:w="583" w:type="pct"/>
                  <w:vAlign w:val="center"/>
                </w:tcPr>
                <w:p>
                  <w:pPr>
                    <w:pStyle w:val="47"/>
                  </w:pPr>
                  <w:r>
                    <w:rPr>
                      <w:rFonts w:hint="eastAsia"/>
                    </w:rPr>
                    <w:t>危险固废</w:t>
                  </w:r>
                </w:p>
              </w:tc>
              <w:tc>
                <w:tcPr>
                  <w:tcW w:w="815" w:type="pct"/>
                  <w:vAlign w:val="center"/>
                </w:tcPr>
                <w:p>
                  <w:pPr>
                    <w:pStyle w:val="47"/>
                  </w:pPr>
                  <w:r>
                    <w:t>0.3</w:t>
                  </w:r>
                </w:p>
              </w:tc>
              <w:tc>
                <w:tcPr>
                  <w:tcW w:w="2669" w:type="pct"/>
                  <w:vAlign w:val="center"/>
                </w:tcPr>
                <w:p>
                  <w:pPr>
                    <w:pStyle w:val="47"/>
                  </w:pPr>
                  <w:r>
                    <w:rPr>
                      <w:rFonts w:hint="eastAsia"/>
                    </w:rPr>
                    <w:t>暂存于危险废物暂存间内，定期交由资质单位处置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trPr>
              <w:tc>
                <w:tcPr>
                  <w:tcW w:w="351" w:type="pct"/>
                  <w:vAlign w:val="center"/>
                </w:tcPr>
                <w:p>
                  <w:pPr>
                    <w:pStyle w:val="47"/>
                  </w:pPr>
                  <w:r>
                    <w:rPr>
                      <w:rFonts w:hint="eastAsia"/>
                    </w:rPr>
                    <w:t>3</w:t>
                  </w:r>
                </w:p>
              </w:tc>
              <w:tc>
                <w:tcPr>
                  <w:tcW w:w="583" w:type="pct"/>
                  <w:vAlign w:val="center"/>
                </w:tcPr>
                <w:p>
                  <w:pPr>
                    <w:pStyle w:val="47"/>
                  </w:pPr>
                  <w:r>
                    <w:rPr>
                      <w:rFonts w:hint="eastAsia"/>
                    </w:rPr>
                    <w:t>尾砂</w:t>
                  </w:r>
                </w:p>
              </w:tc>
              <w:tc>
                <w:tcPr>
                  <w:tcW w:w="583" w:type="pct"/>
                  <w:vAlign w:val="center"/>
                </w:tcPr>
                <w:p>
                  <w:pPr>
                    <w:pStyle w:val="47"/>
                  </w:pPr>
                  <w:r>
                    <w:rPr>
                      <w:rFonts w:hint="eastAsia"/>
                    </w:rPr>
                    <w:t>一般固废</w:t>
                  </w:r>
                </w:p>
              </w:tc>
              <w:tc>
                <w:tcPr>
                  <w:tcW w:w="815" w:type="pct"/>
                  <w:vAlign w:val="center"/>
                </w:tcPr>
                <w:p>
                  <w:pPr>
                    <w:pStyle w:val="47"/>
                  </w:pPr>
                  <w:r>
                    <w:rPr>
                      <w:rFonts w:hint="eastAsia"/>
                    </w:rPr>
                    <w:t>5577</w:t>
                  </w:r>
                </w:p>
              </w:tc>
              <w:tc>
                <w:tcPr>
                  <w:tcW w:w="2669" w:type="pct"/>
                  <w:vAlign w:val="center"/>
                </w:tcPr>
                <w:p>
                  <w:pPr>
                    <w:pStyle w:val="47"/>
                  </w:pPr>
                  <w:r>
                    <w:rPr>
                      <w:rFonts w:hint="eastAsia"/>
                    </w:rPr>
                    <w:t>出售作建筑材料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351" w:type="pct"/>
                  <w:vAlign w:val="center"/>
                </w:tcPr>
                <w:p>
                  <w:pPr>
                    <w:pStyle w:val="47"/>
                  </w:pPr>
                  <w:r>
                    <w:rPr>
                      <w:rFonts w:hint="eastAsia"/>
                    </w:rPr>
                    <w:t>4</w:t>
                  </w:r>
                </w:p>
              </w:tc>
              <w:tc>
                <w:tcPr>
                  <w:tcW w:w="583" w:type="pct"/>
                  <w:vAlign w:val="center"/>
                </w:tcPr>
                <w:p>
                  <w:pPr>
                    <w:pStyle w:val="47"/>
                  </w:pPr>
                  <w:r>
                    <w:rPr>
                      <w:rFonts w:hint="eastAsia"/>
                    </w:rPr>
                    <w:t>黑砂</w:t>
                  </w:r>
                </w:p>
              </w:tc>
              <w:tc>
                <w:tcPr>
                  <w:tcW w:w="583" w:type="pct"/>
                  <w:vAlign w:val="center"/>
                </w:tcPr>
                <w:p>
                  <w:pPr>
                    <w:pStyle w:val="47"/>
                  </w:pPr>
                  <w:r>
                    <w:rPr>
                      <w:rFonts w:hint="eastAsia"/>
                    </w:rPr>
                    <w:t>一般固废</w:t>
                  </w:r>
                </w:p>
              </w:tc>
              <w:tc>
                <w:tcPr>
                  <w:tcW w:w="815" w:type="pct"/>
                  <w:vAlign w:val="center"/>
                </w:tcPr>
                <w:p>
                  <w:pPr>
                    <w:pStyle w:val="47"/>
                  </w:pPr>
                  <w:r>
                    <w:rPr>
                      <w:rFonts w:hint="eastAsia"/>
                    </w:rPr>
                    <w:t>195</w:t>
                  </w:r>
                </w:p>
              </w:tc>
              <w:tc>
                <w:tcPr>
                  <w:tcW w:w="2669" w:type="pct"/>
                  <w:vAlign w:val="center"/>
                </w:tcPr>
                <w:p>
                  <w:pPr>
                    <w:pStyle w:val="47"/>
                  </w:pPr>
                  <w:r>
                    <w:rPr>
                      <w:rFonts w:hint="eastAsia"/>
                    </w:rPr>
                    <w:t>作为副产品出售</w:t>
                  </w:r>
                </w:p>
              </w:tc>
            </w:tr>
          </w:tbl>
          <w:p>
            <w:pPr>
              <w:pStyle w:val="37"/>
              <w:ind w:firstLine="482"/>
              <w:rPr>
                <w:b/>
              </w:rPr>
            </w:pPr>
            <w:r>
              <w:rPr>
                <w:rFonts w:hint="eastAsia"/>
                <w:b/>
              </w:rPr>
              <w:t>五、改扩建项目“三本帐”分析</w:t>
            </w:r>
          </w:p>
          <w:p>
            <w:pPr>
              <w:pStyle w:val="37"/>
              <w:ind w:firstLine="480"/>
            </w:pPr>
            <w:r>
              <w:rPr>
                <w:rFonts w:hint="eastAsia"/>
              </w:rPr>
              <w:t>改扩建三本帐算法：改扩建前排放量—“以新带老”消减量+改扩建部分排放量=改扩建完成后总排放量。</w:t>
            </w:r>
          </w:p>
          <w:p>
            <w:pPr>
              <w:pStyle w:val="37"/>
              <w:ind w:firstLine="480"/>
            </w:pPr>
            <w:r>
              <w:t>根据已验收的</w:t>
            </w:r>
            <w:r>
              <w:rPr>
                <w:rFonts w:hint="eastAsia"/>
              </w:rPr>
              <w:t>“改扩建年产1</w:t>
            </w:r>
            <w:r>
              <w:t>5万吨电池选钾长石生产线技改项目</w:t>
            </w:r>
            <w:r>
              <w:rPr>
                <w:rFonts w:hint="eastAsia"/>
              </w:rPr>
              <w:t>”，现有工程对环境的影响主要表现为废水、废气。本项目进行改扩建后其“三本帐”如下表5-5所示。</w:t>
            </w:r>
          </w:p>
          <w:p>
            <w:pPr>
              <w:pStyle w:val="36"/>
            </w:pPr>
            <w:r>
              <w:rPr>
                <w:rFonts w:hint="eastAsia"/>
              </w:rPr>
              <w:t>表5-</w:t>
            </w:r>
            <w:r>
              <w:t>6</w:t>
            </w:r>
            <w:r>
              <w:rPr>
                <w:rFonts w:hint="eastAsia"/>
              </w:rPr>
              <w:t>改扩建项目“三本帐”一览表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25"/>
              <w:gridCol w:w="953"/>
              <w:gridCol w:w="1417"/>
              <w:gridCol w:w="1239"/>
              <w:gridCol w:w="1377"/>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Align w:val="center"/>
                </w:tcPr>
                <w:p>
                  <w:pPr>
                    <w:pStyle w:val="47"/>
                  </w:pPr>
                  <w:r>
                    <w:t>污染源</w:t>
                  </w:r>
                </w:p>
              </w:tc>
              <w:tc>
                <w:tcPr>
                  <w:tcW w:w="1173" w:type="pct"/>
                  <w:vAlign w:val="center"/>
                </w:tcPr>
                <w:p>
                  <w:pPr>
                    <w:pStyle w:val="47"/>
                  </w:pPr>
                  <w:r>
                    <w:t>污染物</w:t>
                  </w:r>
                </w:p>
              </w:tc>
              <w:tc>
                <w:tcPr>
                  <w:tcW w:w="526" w:type="pct"/>
                  <w:vAlign w:val="center"/>
                </w:tcPr>
                <w:p>
                  <w:pPr>
                    <w:pStyle w:val="47"/>
                  </w:pPr>
                  <w:r>
                    <w:rPr>
                      <w:rFonts w:hint="eastAsia"/>
                    </w:rPr>
                    <w:t>改扩建</w:t>
                  </w:r>
                  <w:r>
                    <w:t>前</w:t>
                  </w:r>
                  <w:r>
                    <w:rPr>
                      <w:rFonts w:hint="eastAsia"/>
                    </w:rPr>
                    <w:t>排放量（t/a）</w:t>
                  </w:r>
                </w:p>
              </w:tc>
              <w:tc>
                <w:tcPr>
                  <w:tcW w:w="782" w:type="pct"/>
                  <w:vAlign w:val="center"/>
                </w:tcPr>
                <w:p>
                  <w:pPr>
                    <w:pStyle w:val="47"/>
                  </w:pPr>
                  <w:r>
                    <w:rPr>
                      <w:rFonts w:hint="eastAsia"/>
                    </w:rPr>
                    <w:t>改扩建部分排放量（t/a）</w:t>
                  </w:r>
                </w:p>
              </w:tc>
              <w:tc>
                <w:tcPr>
                  <w:tcW w:w="684" w:type="pct"/>
                  <w:vAlign w:val="center"/>
                </w:tcPr>
                <w:p>
                  <w:pPr>
                    <w:pStyle w:val="47"/>
                  </w:pPr>
                  <w:r>
                    <w:rPr>
                      <w:rFonts w:hint="eastAsia"/>
                    </w:rPr>
                    <w:t>“以新带老”消减量（t/a）</w:t>
                  </w:r>
                </w:p>
              </w:tc>
              <w:tc>
                <w:tcPr>
                  <w:tcW w:w="760" w:type="pct"/>
                  <w:vAlign w:val="center"/>
                </w:tcPr>
                <w:p>
                  <w:pPr>
                    <w:pStyle w:val="47"/>
                  </w:pPr>
                  <w:r>
                    <w:rPr>
                      <w:rFonts w:hint="eastAsia"/>
                    </w:rPr>
                    <w:t>改扩建完成后总排放量（t/a）</w:t>
                  </w:r>
                </w:p>
              </w:tc>
              <w:tc>
                <w:tcPr>
                  <w:tcW w:w="608" w:type="pct"/>
                  <w:vAlign w:val="center"/>
                </w:tcPr>
                <w:p>
                  <w:pPr>
                    <w:pStyle w:val="47"/>
                  </w:pPr>
                  <w:r>
                    <w:rPr>
                      <w:rFonts w:hint="eastAsia"/>
                    </w:rPr>
                    <w:t>增减量变化（t/a）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467" w:type="pct"/>
                  <w:vMerge w:val="restart"/>
                  <w:vAlign w:val="center"/>
                </w:tcPr>
                <w:p>
                  <w:pPr>
                    <w:pStyle w:val="47"/>
                  </w:pPr>
                  <w:r>
                    <w:rPr>
                      <w:rFonts w:hint="eastAsia"/>
                    </w:rPr>
                    <w:t>废水</w:t>
                  </w:r>
                </w:p>
              </w:tc>
              <w:tc>
                <w:tcPr>
                  <w:tcW w:w="1173" w:type="pct"/>
                  <w:vAlign w:val="center"/>
                </w:tcPr>
                <w:p>
                  <w:pPr>
                    <w:pStyle w:val="47"/>
                  </w:pPr>
                  <w:r>
                    <w:rPr>
                      <w:rFonts w:hint="eastAsia"/>
                    </w:rPr>
                    <w:t>废水量（生活污水）</w:t>
                  </w:r>
                </w:p>
              </w:tc>
              <w:tc>
                <w:tcPr>
                  <w:tcW w:w="526" w:type="pct"/>
                  <w:vAlign w:val="center"/>
                </w:tcPr>
                <w:p>
                  <w:pPr>
                    <w:pStyle w:val="47"/>
                  </w:pPr>
                  <w:r>
                    <w:t>416</w:t>
                  </w:r>
                </w:p>
              </w:tc>
              <w:tc>
                <w:tcPr>
                  <w:tcW w:w="782" w:type="pct"/>
                  <w:vAlign w:val="center"/>
                </w:tcPr>
                <w:p>
                  <w:pPr>
                    <w:pStyle w:val="47"/>
                  </w:pPr>
                  <w:r>
                    <w:rPr>
                      <w:rFonts w:hint="eastAsia"/>
                    </w:rPr>
                    <w:t>180.68</w:t>
                  </w:r>
                </w:p>
              </w:tc>
              <w:tc>
                <w:tcPr>
                  <w:tcW w:w="684" w:type="pct"/>
                  <w:vAlign w:val="center"/>
                </w:tcPr>
                <w:p>
                  <w:pPr>
                    <w:pStyle w:val="47"/>
                  </w:pPr>
                  <w:r>
                    <w:rPr>
                      <w:rFonts w:hint="eastAsia"/>
                    </w:rPr>
                    <w:t>0</w:t>
                  </w:r>
                </w:p>
              </w:tc>
              <w:tc>
                <w:tcPr>
                  <w:tcW w:w="760" w:type="pct"/>
                  <w:vAlign w:val="center"/>
                </w:tcPr>
                <w:p>
                  <w:pPr>
                    <w:pStyle w:val="47"/>
                  </w:pPr>
                  <w:r>
                    <w:t>596</w:t>
                  </w:r>
                  <w:r>
                    <w:rPr>
                      <w:rFonts w:hint="eastAsia"/>
                    </w:rPr>
                    <w:t>.68</w:t>
                  </w:r>
                </w:p>
              </w:tc>
              <w:tc>
                <w:tcPr>
                  <w:tcW w:w="608" w:type="pct"/>
                  <w:vAlign w:val="center"/>
                </w:tcPr>
                <w:p>
                  <w:pPr>
                    <w:pStyle w:val="47"/>
                  </w:pPr>
                  <w:r>
                    <w:rPr>
                      <w:rFonts w:hint="eastAsia"/>
                    </w:rPr>
                    <w:t>+180.68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Merge w:val="continue"/>
                  <w:vAlign w:val="center"/>
                </w:tcPr>
                <w:p>
                  <w:pPr>
                    <w:pStyle w:val="47"/>
                  </w:pPr>
                </w:p>
              </w:tc>
              <w:tc>
                <w:tcPr>
                  <w:tcW w:w="1173" w:type="pct"/>
                  <w:vAlign w:val="center"/>
                </w:tcPr>
                <w:p>
                  <w:pPr>
                    <w:pStyle w:val="47"/>
                  </w:pPr>
                  <w:r>
                    <w:rPr>
                      <w:rFonts w:hint="eastAsia"/>
                    </w:rPr>
                    <w:t>COD</w:t>
                  </w:r>
                </w:p>
              </w:tc>
              <w:tc>
                <w:tcPr>
                  <w:tcW w:w="526" w:type="pct"/>
                  <w:vAlign w:val="center"/>
                </w:tcPr>
                <w:p>
                  <w:pPr>
                    <w:pStyle w:val="47"/>
                  </w:pPr>
                  <w:r>
                    <w:t>0</w:t>
                  </w:r>
                  <w:r>
                    <w:rPr>
                      <w:rFonts w:hint="eastAsia"/>
                    </w:rPr>
                    <w:t>.145</w:t>
                  </w:r>
                </w:p>
              </w:tc>
              <w:tc>
                <w:tcPr>
                  <w:tcW w:w="782" w:type="pct"/>
                  <w:vAlign w:val="center"/>
                </w:tcPr>
                <w:p>
                  <w:pPr>
                    <w:pStyle w:val="47"/>
                  </w:pPr>
                  <w:r>
                    <w:rPr>
                      <w:rFonts w:hint="eastAsia"/>
                    </w:rPr>
                    <w:t>0.063</w:t>
                  </w:r>
                </w:p>
              </w:tc>
              <w:tc>
                <w:tcPr>
                  <w:tcW w:w="684" w:type="pct"/>
                  <w:vAlign w:val="center"/>
                </w:tcPr>
                <w:p>
                  <w:pPr>
                    <w:pStyle w:val="47"/>
                  </w:pPr>
                  <w:r>
                    <w:rPr>
                      <w:rFonts w:hint="eastAsia"/>
                    </w:rPr>
                    <w:t>0</w:t>
                  </w:r>
                </w:p>
              </w:tc>
              <w:tc>
                <w:tcPr>
                  <w:tcW w:w="760" w:type="pct"/>
                  <w:vAlign w:val="center"/>
                </w:tcPr>
                <w:p>
                  <w:pPr>
                    <w:pStyle w:val="47"/>
                  </w:pPr>
                  <w:r>
                    <w:t>0</w:t>
                  </w:r>
                  <w:r>
                    <w:rPr>
                      <w:rFonts w:hint="eastAsia"/>
                    </w:rPr>
                    <w:t>.208</w:t>
                  </w:r>
                </w:p>
              </w:tc>
              <w:tc>
                <w:tcPr>
                  <w:tcW w:w="608" w:type="pct"/>
                  <w:vAlign w:val="center"/>
                </w:tcPr>
                <w:p>
                  <w:pPr>
                    <w:pStyle w:val="47"/>
                  </w:pPr>
                  <w:r>
                    <w:rPr>
                      <w:rFonts w:hint="eastAsia"/>
                    </w:rPr>
                    <w:t>+0.063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Merge w:val="continue"/>
                  <w:vAlign w:val="center"/>
                </w:tcPr>
                <w:p>
                  <w:pPr>
                    <w:pStyle w:val="47"/>
                  </w:pPr>
                </w:p>
              </w:tc>
              <w:tc>
                <w:tcPr>
                  <w:tcW w:w="1173" w:type="pct"/>
                  <w:vAlign w:val="center"/>
                </w:tcPr>
                <w:p>
                  <w:pPr>
                    <w:pStyle w:val="47"/>
                  </w:pPr>
                  <w:r>
                    <w:rPr>
                      <w:rFonts w:hint="eastAsia"/>
                    </w:rPr>
                    <w:t>NH</w:t>
                  </w:r>
                  <w:r>
                    <w:rPr>
                      <w:rFonts w:hint="eastAsia"/>
                      <w:vertAlign w:val="subscript"/>
                    </w:rPr>
                    <w:t>3</w:t>
                  </w:r>
                  <w:r>
                    <w:rPr>
                      <w:rFonts w:hint="eastAsia"/>
                    </w:rPr>
                    <w:t>-N</w:t>
                  </w:r>
                </w:p>
              </w:tc>
              <w:tc>
                <w:tcPr>
                  <w:tcW w:w="526" w:type="pct"/>
                  <w:vAlign w:val="center"/>
                </w:tcPr>
                <w:p>
                  <w:pPr>
                    <w:pStyle w:val="47"/>
                  </w:pPr>
                  <w:r>
                    <w:rPr>
                      <w:rFonts w:hint="eastAsia"/>
                    </w:rPr>
                    <w:t>0.014</w:t>
                  </w:r>
                </w:p>
              </w:tc>
              <w:tc>
                <w:tcPr>
                  <w:tcW w:w="782" w:type="pct"/>
                  <w:vAlign w:val="center"/>
                </w:tcPr>
                <w:p>
                  <w:pPr>
                    <w:pStyle w:val="47"/>
                  </w:pPr>
                  <w:r>
                    <w:rPr>
                      <w:rFonts w:hint="eastAsia"/>
                    </w:rPr>
                    <w:t>0.006</w:t>
                  </w:r>
                </w:p>
              </w:tc>
              <w:tc>
                <w:tcPr>
                  <w:tcW w:w="684" w:type="pct"/>
                  <w:vAlign w:val="center"/>
                </w:tcPr>
                <w:p>
                  <w:pPr>
                    <w:pStyle w:val="47"/>
                  </w:pPr>
                  <w:r>
                    <w:rPr>
                      <w:rFonts w:hint="eastAsia"/>
                    </w:rPr>
                    <w:t>0</w:t>
                  </w:r>
                </w:p>
              </w:tc>
              <w:tc>
                <w:tcPr>
                  <w:tcW w:w="760" w:type="pct"/>
                  <w:vAlign w:val="center"/>
                </w:tcPr>
                <w:p>
                  <w:pPr>
                    <w:pStyle w:val="47"/>
                  </w:pPr>
                  <w:r>
                    <w:t>0</w:t>
                  </w:r>
                  <w:r>
                    <w:rPr>
                      <w:rFonts w:hint="eastAsia"/>
                    </w:rPr>
                    <w:t>.02</w:t>
                  </w:r>
                </w:p>
              </w:tc>
              <w:tc>
                <w:tcPr>
                  <w:tcW w:w="608" w:type="pct"/>
                  <w:vAlign w:val="center"/>
                </w:tcPr>
                <w:p>
                  <w:pPr>
                    <w:pStyle w:val="47"/>
                  </w:pPr>
                  <w:r>
                    <w:rPr>
                      <w:rFonts w:hint="eastAsi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Merge w:val="restart"/>
                  <w:vAlign w:val="center"/>
                </w:tcPr>
                <w:p>
                  <w:pPr>
                    <w:pStyle w:val="47"/>
                  </w:pPr>
                  <w:r>
                    <w:rPr>
                      <w:rFonts w:hint="eastAsia"/>
                    </w:rPr>
                    <w:t>废气</w:t>
                  </w:r>
                </w:p>
              </w:tc>
              <w:tc>
                <w:tcPr>
                  <w:tcW w:w="1173" w:type="pct"/>
                  <w:vAlign w:val="center"/>
                </w:tcPr>
                <w:p>
                  <w:pPr>
                    <w:pStyle w:val="47"/>
                  </w:pPr>
                  <w:r>
                    <w:rPr>
                      <w:rFonts w:hint="eastAsia"/>
                    </w:rPr>
                    <w:t>烟尘</w:t>
                  </w:r>
                </w:p>
              </w:tc>
              <w:tc>
                <w:tcPr>
                  <w:tcW w:w="526" w:type="pct"/>
                  <w:vAlign w:val="center"/>
                </w:tcPr>
                <w:p>
                  <w:pPr>
                    <w:pStyle w:val="47"/>
                  </w:pPr>
                  <w:r>
                    <w:t>0.216</w:t>
                  </w:r>
                </w:p>
              </w:tc>
              <w:tc>
                <w:tcPr>
                  <w:tcW w:w="782" w:type="pct"/>
                  <w:vAlign w:val="center"/>
                </w:tcPr>
                <w:p>
                  <w:pPr>
                    <w:pStyle w:val="47"/>
                  </w:pPr>
                  <w:r>
                    <w:t>0</w:t>
                  </w:r>
                </w:p>
              </w:tc>
              <w:tc>
                <w:tcPr>
                  <w:tcW w:w="684" w:type="pct"/>
                  <w:vAlign w:val="center"/>
                </w:tcPr>
                <w:p>
                  <w:pPr>
                    <w:pStyle w:val="47"/>
                  </w:pPr>
                  <w:r>
                    <w:t>0</w:t>
                  </w:r>
                </w:p>
              </w:tc>
              <w:tc>
                <w:tcPr>
                  <w:tcW w:w="760" w:type="pct"/>
                  <w:vAlign w:val="center"/>
                </w:tcPr>
                <w:p>
                  <w:pPr>
                    <w:pStyle w:val="47"/>
                  </w:pPr>
                  <w:r>
                    <w:t>0.216</w:t>
                  </w:r>
                </w:p>
              </w:tc>
              <w:tc>
                <w:tcPr>
                  <w:tcW w:w="608" w:type="pct"/>
                  <w:vAlign w:val="center"/>
                </w:tcPr>
                <w:p>
                  <w:pPr>
                    <w:pStyle w:val="47"/>
                  </w:pPr>
                  <w: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Merge w:val="continue"/>
                  <w:vAlign w:val="center"/>
                </w:tcPr>
                <w:p>
                  <w:pPr>
                    <w:pStyle w:val="47"/>
                  </w:pPr>
                </w:p>
              </w:tc>
              <w:tc>
                <w:tcPr>
                  <w:tcW w:w="1173" w:type="pct"/>
                  <w:vAlign w:val="center"/>
                </w:tcPr>
                <w:p>
                  <w:pPr>
                    <w:pStyle w:val="47"/>
                  </w:pPr>
                  <w:r>
                    <w:rPr>
                      <w:rFonts w:hint="eastAsia"/>
                    </w:rPr>
                    <w:t>S</w:t>
                  </w:r>
                  <w:r>
                    <w:t>O</w:t>
                  </w:r>
                  <w:r>
                    <w:rPr>
                      <w:vertAlign w:val="subscript"/>
                    </w:rPr>
                    <w:t>2</w:t>
                  </w:r>
                </w:p>
              </w:tc>
              <w:tc>
                <w:tcPr>
                  <w:tcW w:w="526" w:type="pct"/>
                  <w:vAlign w:val="center"/>
                </w:tcPr>
                <w:p>
                  <w:pPr>
                    <w:pStyle w:val="47"/>
                  </w:pPr>
                  <w:r>
                    <w:rPr>
                      <w:rFonts w:hint="eastAsia"/>
                    </w:rPr>
                    <w:t>0</w:t>
                  </w:r>
                  <w:r>
                    <w:t>.168</w:t>
                  </w:r>
                </w:p>
              </w:tc>
              <w:tc>
                <w:tcPr>
                  <w:tcW w:w="782" w:type="pct"/>
                  <w:vAlign w:val="center"/>
                </w:tcPr>
                <w:p>
                  <w:pPr>
                    <w:pStyle w:val="47"/>
                  </w:pPr>
                  <w:r>
                    <w:rPr>
                      <w:rFonts w:hint="eastAsia"/>
                    </w:rPr>
                    <w:t>0</w:t>
                  </w:r>
                </w:p>
              </w:tc>
              <w:tc>
                <w:tcPr>
                  <w:tcW w:w="684" w:type="pct"/>
                  <w:vAlign w:val="center"/>
                </w:tcPr>
                <w:p>
                  <w:pPr>
                    <w:pStyle w:val="47"/>
                  </w:pPr>
                  <w:r>
                    <w:rPr>
                      <w:rFonts w:hint="eastAsia"/>
                    </w:rPr>
                    <w:t>0</w:t>
                  </w:r>
                </w:p>
              </w:tc>
              <w:tc>
                <w:tcPr>
                  <w:tcW w:w="760" w:type="pct"/>
                  <w:vAlign w:val="center"/>
                </w:tcPr>
                <w:p>
                  <w:pPr>
                    <w:pStyle w:val="47"/>
                  </w:pPr>
                  <w:r>
                    <w:rPr>
                      <w:rFonts w:hint="eastAsia"/>
                    </w:rPr>
                    <w:t>0</w:t>
                  </w:r>
                  <w:r>
                    <w:t>.168</w:t>
                  </w:r>
                </w:p>
              </w:tc>
              <w:tc>
                <w:tcPr>
                  <w:tcW w:w="608" w:type="pct"/>
                  <w:vAlign w:val="center"/>
                </w:tcPr>
                <w:p>
                  <w:pPr>
                    <w:pStyle w:val="47"/>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467" w:type="pct"/>
                  <w:vMerge w:val="continue"/>
                  <w:vAlign w:val="center"/>
                </w:tcPr>
                <w:p>
                  <w:pPr>
                    <w:pStyle w:val="47"/>
                  </w:pPr>
                </w:p>
              </w:tc>
              <w:tc>
                <w:tcPr>
                  <w:tcW w:w="1173" w:type="pct"/>
                  <w:vAlign w:val="center"/>
                </w:tcPr>
                <w:p>
                  <w:pPr>
                    <w:pStyle w:val="47"/>
                  </w:pPr>
                  <w:r>
                    <w:rPr>
                      <w:rFonts w:hint="eastAsia"/>
                    </w:rPr>
                    <w:t>N</w:t>
                  </w:r>
                  <w:r>
                    <w:t>O</w:t>
                  </w:r>
                  <w:r>
                    <w:rPr>
                      <w:vertAlign w:val="subscript"/>
                    </w:rPr>
                    <w:t>X</w:t>
                  </w:r>
                </w:p>
              </w:tc>
              <w:tc>
                <w:tcPr>
                  <w:tcW w:w="526" w:type="pct"/>
                  <w:vAlign w:val="center"/>
                </w:tcPr>
                <w:p>
                  <w:pPr>
                    <w:pStyle w:val="47"/>
                  </w:pPr>
                  <w:r>
                    <w:rPr>
                      <w:rFonts w:hint="eastAsia"/>
                    </w:rPr>
                    <w:t>0</w:t>
                  </w:r>
                  <w:r>
                    <w:t>.24</w:t>
                  </w:r>
                </w:p>
              </w:tc>
              <w:tc>
                <w:tcPr>
                  <w:tcW w:w="782" w:type="pct"/>
                  <w:vAlign w:val="center"/>
                </w:tcPr>
                <w:p>
                  <w:pPr>
                    <w:pStyle w:val="47"/>
                  </w:pPr>
                  <w:r>
                    <w:rPr>
                      <w:rFonts w:hint="eastAsia"/>
                    </w:rPr>
                    <w:t>0</w:t>
                  </w:r>
                </w:p>
              </w:tc>
              <w:tc>
                <w:tcPr>
                  <w:tcW w:w="684" w:type="pct"/>
                  <w:vAlign w:val="center"/>
                </w:tcPr>
                <w:p>
                  <w:pPr>
                    <w:pStyle w:val="47"/>
                  </w:pPr>
                  <w:r>
                    <w:rPr>
                      <w:rFonts w:hint="eastAsia"/>
                    </w:rPr>
                    <w:t>0</w:t>
                  </w:r>
                </w:p>
              </w:tc>
              <w:tc>
                <w:tcPr>
                  <w:tcW w:w="760" w:type="pct"/>
                  <w:vAlign w:val="center"/>
                </w:tcPr>
                <w:p>
                  <w:pPr>
                    <w:pStyle w:val="47"/>
                  </w:pPr>
                  <w:r>
                    <w:rPr>
                      <w:rFonts w:hint="eastAsia"/>
                    </w:rPr>
                    <w:t>0</w:t>
                  </w:r>
                  <w:r>
                    <w:t>.24</w:t>
                  </w:r>
                </w:p>
              </w:tc>
              <w:tc>
                <w:tcPr>
                  <w:tcW w:w="608" w:type="pct"/>
                  <w:vAlign w:val="center"/>
                </w:tcPr>
                <w:p>
                  <w:pPr>
                    <w:pStyle w:val="47"/>
                  </w:pPr>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467" w:type="pct"/>
                  <w:vMerge w:val="restart"/>
                  <w:vAlign w:val="center"/>
                </w:tcPr>
                <w:p>
                  <w:pPr>
                    <w:pStyle w:val="47"/>
                  </w:pPr>
                  <w:r>
                    <w:rPr>
                      <w:rFonts w:hint="eastAsia"/>
                    </w:rPr>
                    <w:t>固废</w:t>
                  </w:r>
                </w:p>
              </w:tc>
              <w:tc>
                <w:tcPr>
                  <w:tcW w:w="1173" w:type="pct"/>
                  <w:vAlign w:val="center"/>
                </w:tcPr>
                <w:p>
                  <w:pPr>
                    <w:pStyle w:val="47"/>
                  </w:pPr>
                  <w:r>
                    <w:rPr>
                      <w:rFonts w:hint="eastAsia"/>
                    </w:rPr>
                    <w:t>生活垃圾</w:t>
                  </w:r>
                </w:p>
              </w:tc>
              <w:tc>
                <w:tcPr>
                  <w:tcW w:w="526" w:type="pct"/>
                  <w:vAlign w:val="center"/>
                </w:tcPr>
                <w:p>
                  <w:pPr>
                    <w:pStyle w:val="47"/>
                  </w:pPr>
                  <w:r>
                    <w:t>2</w:t>
                  </w:r>
                  <w:r>
                    <w:rPr>
                      <w:rFonts w:hint="eastAsia"/>
                    </w:rPr>
                    <w:t>.4</w:t>
                  </w:r>
                </w:p>
              </w:tc>
              <w:tc>
                <w:tcPr>
                  <w:tcW w:w="782" w:type="pct"/>
                  <w:vAlign w:val="center"/>
                </w:tcPr>
                <w:p>
                  <w:pPr>
                    <w:pStyle w:val="47"/>
                  </w:pPr>
                  <w:r>
                    <w:t>1</w:t>
                  </w:r>
                  <w:r>
                    <w:rPr>
                      <w:rFonts w:hint="eastAsia"/>
                    </w:rPr>
                    <w:t>.5</w:t>
                  </w:r>
                </w:p>
              </w:tc>
              <w:tc>
                <w:tcPr>
                  <w:tcW w:w="684" w:type="pct"/>
                  <w:vAlign w:val="center"/>
                </w:tcPr>
                <w:p>
                  <w:pPr>
                    <w:pStyle w:val="47"/>
                  </w:pPr>
                  <w:r>
                    <w:t>0</w:t>
                  </w:r>
                </w:p>
              </w:tc>
              <w:tc>
                <w:tcPr>
                  <w:tcW w:w="760" w:type="pct"/>
                  <w:vAlign w:val="center"/>
                </w:tcPr>
                <w:p>
                  <w:pPr>
                    <w:pStyle w:val="47"/>
                  </w:pPr>
                  <w:r>
                    <w:t>3</w:t>
                  </w:r>
                  <w:r>
                    <w:rPr>
                      <w:rFonts w:hint="eastAsia"/>
                    </w:rPr>
                    <w:t>.9</w:t>
                  </w:r>
                </w:p>
              </w:tc>
              <w:tc>
                <w:tcPr>
                  <w:tcW w:w="608" w:type="pct"/>
                  <w:vAlign w:val="center"/>
                </w:tcPr>
                <w:p>
                  <w:pPr>
                    <w:pStyle w:val="47"/>
                  </w:pPr>
                  <w:r>
                    <w:t>+1</w:t>
                  </w:r>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67" w:type="pct"/>
                  <w:vMerge w:val="continue"/>
                  <w:vAlign w:val="center"/>
                </w:tcPr>
                <w:p>
                  <w:pPr>
                    <w:pStyle w:val="47"/>
                  </w:pPr>
                </w:p>
              </w:tc>
              <w:tc>
                <w:tcPr>
                  <w:tcW w:w="1173" w:type="pct"/>
                  <w:vAlign w:val="center"/>
                </w:tcPr>
                <w:p>
                  <w:pPr>
                    <w:pStyle w:val="47"/>
                  </w:pPr>
                  <w:r>
                    <w:rPr>
                      <w:rFonts w:hint="eastAsia"/>
                    </w:rPr>
                    <w:t>检修废油</w:t>
                  </w:r>
                </w:p>
              </w:tc>
              <w:tc>
                <w:tcPr>
                  <w:tcW w:w="526" w:type="pct"/>
                  <w:vAlign w:val="center"/>
                </w:tcPr>
                <w:p>
                  <w:pPr>
                    <w:pStyle w:val="47"/>
                  </w:pPr>
                  <w:r>
                    <w:t>0</w:t>
                  </w:r>
                  <w:r>
                    <w:rPr>
                      <w:rFonts w:hint="eastAsia"/>
                    </w:rPr>
                    <w:t>.5</w:t>
                  </w:r>
                </w:p>
              </w:tc>
              <w:tc>
                <w:tcPr>
                  <w:tcW w:w="782" w:type="pct"/>
                  <w:vAlign w:val="center"/>
                </w:tcPr>
                <w:p>
                  <w:pPr>
                    <w:pStyle w:val="47"/>
                  </w:pPr>
                  <w:r>
                    <w:t>0</w:t>
                  </w:r>
                  <w:r>
                    <w:rPr>
                      <w:rFonts w:hint="eastAsia"/>
                    </w:rPr>
                    <w:t>.3</w:t>
                  </w:r>
                </w:p>
              </w:tc>
              <w:tc>
                <w:tcPr>
                  <w:tcW w:w="684" w:type="pct"/>
                  <w:vAlign w:val="center"/>
                </w:tcPr>
                <w:p>
                  <w:pPr>
                    <w:pStyle w:val="47"/>
                  </w:pPr>
                  <w:r>
                    <w:t>0</w:t>
                  </w:r>
                </w:p>
              </w:tc>
              <w:tc>
                <w:tcPr>
                  <w:tcW w:w="760" w:type="pct"/>
                  <w:vAlign w:val="center"/>
                </w:tcPr>
                <w:p>
                  <w:pPr>
                    <w:pStyle w:val="47"/>
                  </w:pPr>
                  <w:r>
                    <w:t>0</w:t>
                  </w:r>
                  <w:r>
                    <w:rPr>
                      <w:rFonts w:hint="eastAsia"/>
                    </w:rPr>
                    <w:t>.8</w:t>
                  </w:r>
                </w:p>
              </w:tc>
              <w:tc>
                <w:tcPr>
                  <w:tcW w:w="608" w:type="pct"/>
                  <w:vAlign w:val="center"/>
                </w:tcPr>
                <w:p>
                  <w:pPr>
                    <w:pStyle w:val="47"/>
                  </w:pPr>
                  <w:r>
                    <w:t>+0</w:t>
                  </w:r>
                  <w:r>
                    <w:rPr>
                      <w:rFonts w:hint="eastAsia"/>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67" w:type="pct"/>
                  <w:vMerge w:val="continue"/>
                  <w:vAlign w:val="center"/>
                </w:tcPr>
                <w:p>
                  <w:pPr>
                    <w:pStyle w:val="47"/>
                  </w:pPr>
                </w:p>
              </w:tc>
              <w:tc>
                <w:tcPr>
                  <w:tcW w:w="1173" w:type="pct"/>
                  <w:vAlign w:val="center"/>
                </w:tcPr>
                <w:p>
                  <w:pPr>
                    <w:pStyle w:val="47"/>
                  </w:pPr>
                  <w:r>
                    <w:rPr>
                      <w:rFonts w:hint="eastAsia"/>
                    </w:rPr>
                    <w:t>一般固废</w:t>
                  </w:r>
                </w:p>
                <w:p>
                  <w:pPr>
                    <w:pStyle w:val="47"/>
                  </w:pPr>
                  <w:r>
                    <w:rPr>
                      <w:rFonts w:hint="eastAsia"/>
                    </w:rPr>
                    <w:t>（含铁固废、煤渣、压滤泥）饼</w:t>
                  </w:r>
                </w:p>
              </w:tc>
              <w:tc>
                <w:tcPr>
                  <w:tcW w:w="526" w:type="pct"/>
                  <w:vAlign w:val="center"/>
                </w:tcPr>
                <w:p>
                  <w:pPr>
                    <w:pStyle w:val="47"/>
                  </w:pPr>
                  <w:r>
                    <w:rPr>
                      <w:rFonts w:hint="eastAsia"/>
                    </w:rPr>
                    <w:t>0</w:t>
                  </w:r>
                </w:p>
              </w:tc>
              <w:tc>
                <w:tcPr>
                  <w:tcW w:w="782" w:type="pct"/>
                  <w:vAlign w:val="center"/>
                </w:tcPr>
                <w:p>
                  <w:pPr>
                    <w:pStyle w:val="47"/>
                  </w:pPr>
                  <w:r>
                    <w:rPr>
                      <w:rFonts w:hint="eastAsia"/>
                    </w:rPr>
                    <w:t>0</w:t>
                  </w:r>
                </w:p>
              </w:tc>
              <w:tc>
                <w:tcPr>
                  <w:tcW w:w="684" w:type="pct"/>
                  <w:vAlign w:val="center"/>
                </w:tcPr>
                <w:p>
                  <w:pPr>
                    <w:pStyle w:val="47"/>
                  </w:pPr>
                  <w:r>
                    <w:t>0</w:t>
                  </w:r>
                </w:p>
              </w:tc>
              <w:tc>
                <w:tcPr>
                  <w:tcW w:w="760" w:type="pct"/>
                  <w:vAlign w:val="center"/>
                </w:tcPr>
                <w:p>
                  <w:pPr>
                    <w:pStyle w:val="47"/>
                  </w:pPr>
                  <w:r>
                    <w:rPr>
                      <w:rFonts w:hint="eastAsia"/>
                    </w:rPr>
                    <w:t>0</w:t>
                  </w:r>
                </w:p>
              </w:tc>
              <w:tc>
                <w:tcPr>
                  <w:tcW w:w="608" w:type="pct"/>
                  <w:vAlign w:val="center"/>
                </w:tcPr>
                <w:p>
                  <w:pPr>
                    <w:pStyle w:val="47"/>
                  </w:pPr>
                  <w:r>
                    <w:t>0</w:t>
                  </w:r>
                </w:p>
              </w:tc>
            </w:tr>
          </w:tbl>
          <w:p>
            <w:pPr>
              <w:pStyle w:val="37"/>
              <w:ind w:firstLine="480"/>
            </w:pPr>
            <w:r>
              <w:rPr>
                <w:rFonts w:hint="eastAsia"/>
              </w:rPr>
              <w:t>根据分析，本项目建成后，对厂区原料堆场搭棚，使得扬尘排放量减小。综上所述，本项目排放的污染物能够得到有效控制。</w:t>
            </w:r>
          </w:p>
        </w:tc>
      </w:tr>
    </w:tbl>
    <w:p>
      <w:pPr>
        <w:pStyle w:val="2"/>
      </w:pPr>
      <w:r>
        <w:br w:type="page"/>
      </w:r>
      <w:bookmarkStart w:id="11" w:name="_Toc496518918"/>
      <w:bookmarkStart w:id="12" w:name="_Toc34472026"/>
      <w:r>
        <w:rPr>
          <w:rFonts w:hint="eastAsia"/>
        </w:rPr>
        <w:t>表六项目主要污染物产生及预计排放情况</w:t>
      </w:r>
      <w:bookmarkEnd w:id="11"/>
      <w:bookmarkEnd w:id="12"/>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26"/>
        <w:gridCol w:w="1822"/>
        <w:gridCol w:w="1898"/>
        <w:gridCol w:w="2248"/>
        <w:gridCol w:w="24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3" w:hRule="atLeast"/>
        </w:trPr>
        <w:tc>
          <w:tcPr>
            <w:tcW w:w="394" w:type="pct"/>
            <w:tcBorders>
              <w:top w:val="single" w:color="auto" w:sz="12" w:space="0"/>
              <w:left w:val="single" w:color="auto" w:sz="12" w:space="0"/>
              <w:bottom w:val="single" w:color="auto" w:sz="6" w:space="0"/>
              <w:tl2br w:val="single" w:color="auto" w:sz="6" w:space="0"/>
            </w:tcBorders>
            <w:vAlign w:val="center"/>
          </w:tcPr>
          <w:p>
            <w:pPr>
              <w:ind w:left="420" w:hanging="420" w:hangingChars="200"/>
              <w:jc w:val="right"/>
              <w:rPr>
                <w:bCs/>
                <w:sz w:val="21"/>
                <w:szCs w:val="21"/>
              </w:rPr>
            </w:pPr>
            <w:r>
              <w:rPr>
                <w:bCs/>
                <w:sz w:val="21"/>
                <w:szCs w:val="21"/>
              </w:rPr>
              <w:t>内容</w:t>
            </w:r>
          </w:p>
          <w:p>
            <w:pPr>
              <w:rPr>
                <w:sz w:val="21"/>
                <w:szCs w:val="21"/>
              </w:rPr>
            </w:pPr>
            <w:r>
              <w:rPr>
                <w:bCs/>
                <w:sz w:val="21"/>
                <w:szCs w:val="21"/>
              </w:rPr>
              <w:t>类型</w:t>
            </w:r>
          </w:p>
        </w:tc>
        <w:tc>
          <w:tcPr>
            <w:tcW w:w="994" w:type="pct"/>
            <w:tcBorders>
              <w:top w:val="single" w:color="auto" w:sz="12" w:space="0"/>
              <w:bottom w:val="single" w:color="auto" w:sz="6" w:space="0"/>
              <w:right w:val="single" w:color="auto" w:sz="4" w:space="0"/>
            </w:tcBorders>
            <w:vAlign w:val="center"/>
          </w:tcPr>
          <w:p>
            <w:pPr>
              <w:pStyle w:val="41"/>
            </w:pPr>
            <w:r>
              <w:t>排放源</w:t>
            </w:r>
          </w:p>
          <w:p>
            <w:pPr>
              <w:pStyle w:val="41"/>
            </w:pPr>
            <w:r>
              <w:t>(编号)</w:t>
            </w:r>
          </w:p>
        </w:tc>
        <w:tc>
          <w:tcPr>
            <w:tcW w:w="1035" w:type="pct"/>
            <w:tcBorders>
              <w:top w:val="single" w:color="auto" w:sz="12" w:space="0"/>
              <w:left w:val="single" w:color="auto" w:sz="4" w:space="0"/>
              <w:bottom w:val="single" w:color="auto" w:sz="6" w:space="0"/>
            </w:tcBorders>
            <w:vAlign w:val="center"/>
          </w:tcPr>
          <w:p>
            <w:pPr>
              <w:pStyle w:val="41"/>
            </w:pPr>
            <w:r>
              <w:t>污染物</w:t>
            </w:r>
          </w:p>
          <w:p>
            <w:pPr>
              <w:pStyle w:val="41"/>
            </w:pPr>
            <w:r>
              <w:t>名称</w:t>
            </w:r>
          </w:p>
        </w:tc>
        <w:tc>
          <w:tcPr>
            <w:tcW w:w="1223" w:type="pct"/>
            <w:tcBorders>
              <w:top w:val="single" w:color="auto" w:sz="12" w:space="0"/>
              <w:bottom w:val="single" w:color="auto" w:sz="6" w:space="0"/>
            </w:tcBorders>
            <w:vAlign w:val="center"/>
          </w:tcPr>
          <w:p>
            <w:pPr>
              <w:pStyle w:val="41"/>
            </w:pPr>
            <w:r>
              <w:t>处理前产生浓度</w:t>
            </w:r>
          </w:p>
          <w:p>
            <w:pPr>
              <w:pStyle w:val="41"/>
            </w:pPr>
            <w:r>
              <w:t>及产生量（单位）</w:t>
            </w:r>
          </w:p>
        </w:tc>
        <w:tc>
          <w:tcPr>
            <w:tcW w:w="1354" w:type="pct"/>
            <w:tcBorders>
              <w:top w:val="single" w:color="auto" w:sz="12" w:space="0"/>
              <w:bottom w:val="single" w:color="auto" w:sz="6" w:space="0"/>
              <w:right w:val="single" w:color="auto" w:sz="12" w:space="0"/>
            </w:tcBorders>
            <w:vAlign w:val="center"/>
          </w:tcPr>
          <w:p>
            <w:pPr>
              <w:pStyle w:val="41"/>
            </w:pPr>
            <w:r>
              <w:t>排放浓度及排放量</w:t>
            </w:r>
          </w:p>
          <w:p>
            <w:pPr>
              <w:pStyle w:val="41"/>
            </w:pPr>
            <w:r>
              <w:t>（单位）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394" w:type="pct"/>
            <w:vMerge w:val="restart"/>
            <w:tcBorders>
              <w:top w:val="single" w:color="auto" w:sz="4" w:space="0"/>
              <w:left w:val="single" w:color="auto" w:sz="12" w:space="0"/>
            </w:tcBorders>
            <w:vAlign w:val="center"/>
          </w:tcPr>
          <w:p>
            <w:pPr>
              <w:jc w:val="center"/>
              <w:rPr>
                <w:b/>
                <w:bCs/>
                <w:sz w:val="21"/>
                <w:szCs w:val="21"/>
              </w:rPr>
            </w:pPr>
            <w:r>
              <w:rPr>
                <w:b/>
                <w:bCs/>
                <w:sz w:val="21"/>
                <w:szCs w:val="21"/>
              </w:rPr>
              <w:t>大气</w:t>
            </w:r>
          </w:p>
          <w:p>
            <w:pPr>
              <w:jc w:val="center"/>
              <w:rPr>
                <w:b/>
                <w:bCs/>
                <w:sz w:val="21"/>
                <w:szCs w:val="21"/>
              </w:rPr>
            </w:pPr>
            <w:r>
              <w:rPr>
                <w:b/>
                <w:bCs/>
                <w:sz w:val="21"/>
                <w:szCs w:val="21"/>
              </w:rPr>
              <w:t>污染</w:t>
            </w:r>
          </w:p>
          <w:p>
            <w:pPr>
              <w:jc w:val="center"/>
              <w:rPr>
                <w:b/>
                <w:bCs/>
                <w:sz w:val="21"/>
                <w:szCs w:val="21"/>
              </w:rPr>
            </w:pPr>
            <w:r>
              <w:rPr>
                <w:b/>
                <w:bCs/>
                <w:sz w:val="21"/>
                <w:szCs w:val="21"/>
              </w:rPr>
              <w:t>物</w:t>
            </w:r>
          </w:p>
        </w:tc>
        <w:tc>
          <w:tcPr>
            <w:tcW w:w="994" w:type="pct"/>
            <w:tcBorders>
              <w:top w:val="single" w:color="auto" w:sz="6" w:space="0"/>
              <w:bottom w:val="single" w:color="auto" w:sz="6" w:space="0"/>
              <w:right w:val="single" w:color="auto" w:sz="4" w:space="0"/>
            </w:tcBorders>
            <w:vAlign w:val="center"/>
          </w:tcPr>
          <w:p>
            <w:pPr>
              <w:pStyle w:val="41"/>
            </w:pPr>
            <w:r>
              <w:t>原料堆场</w:t>
            </w:r>
          </w:p>
        </w:tc>
        <w:tc>
          <w:tcPr>
            <w:tcW w:w="1035" w:type="pct"/>
            <w:tcBorders>
              <w:top w:val="single" w:color="auto" w:sz="6" w:space="0"/>
              <w:left w:val="single" w:color="auto" w:sz="4" w:space="0"/>
              <w:bottom w:val="single" w:color="auto" w:sz="4" w:space="0"/>
            </w:tcBorders>
            <w:vAlign w:val="center"/>
          </w:tcPr>
          <w:p>
            <w:pPr>
              <w:pStyle w:val="41"/>
            </w:pPr>
            <w:r>
              <w:t>扬尘</w:t>
            </w:r>
          </w:p>
        </w:tc>
        <w:tc>
          <w:tcPr>
            <w:tcW w:w="1223" w:type="pct"/>
            <w:tcBorders>
              <w:top w:val="single" w:color="auto" w:sz="6" w:space="0"/>
              <w:bottom w:val="single" w:color="auto" w:sz="6" w:space="0"/>
            </w:tcBorders>
            <w:shd w:val="clear" w:color="auto" w:fill="auto"/>
            <w:vAlign w:val="center"/>
          </w:tcPr>
          <w:p>
            <w:pPr>
              <w:pStyle w:val="41"/>
              <w:rPr>
                <w:vertAlign w:val="superscript"/>
              </w:rPr>
            </w:pPr>
            <w:r>
              <w:t>0.56t/</w:t>
            </w:r>
            <w:r>
              <w:rPr>
                <w:rFonts w:hint="eastAsia"/>
              </w:rPr>
              <w:t>a</w:t>
            </w:r>
          </w:p>
        </w:tc>
        <w:tc>
          <w:tcPr>
            <w:tcW w:w="1354" w:type="pct"/>
            <w:tcBorders>
              <w:top w:val="single" w:color="auto" w:sz="6" w:space="0"/>
              <w:bottom w:val="single" w:color="auto" w:sz="4" w:space="0"/>
              <w:right w:val="single" w:color="auto" w:sz="12" w:space="0"/>
            </w:tcBorders>
            <w:shd w:val="clear" w:color="auto" w:fill="auto"/>
            <w:vAlign w:val="center"/>
          </w:tcPr>
          <w:p>
            <w:pPr>
              <w:pStyle w:val="41"/>
            </w:pPr>
            <w:r>
              <w:t>0.112t/</w:t>
            </w:r>
            <w:r>
              <w:rPr>
                <w:rFonts w:hint="eastAsia"/>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394" w:type="pct"/>
            <w:vMerge w:val="continue"/>
            <w:tcBorders>
              <w:left w:val="single" w:color="auto" w:sz="12" w:space="0"/>
            </w:tcBorders>
            <w:vAlign w:val="center"/>
          </w:tcPr>
          <w:p>
            <w:pPr>
              <w:jc w:val="center"/>
              <w:rPr>
                <w:b/>
                <w:bCs/>
                <w:sz w:val="21"/>
                <w:szCs w:val="21"/>
              </w:rPr>
            </w:pPr>
          </w:p>
        </w:tc>
        <w:tc>
          <w:tcPr>
            <w:tcW w:w="994" w:type="pct"/>
            <w:tcBorders>
              <w:top w:val="single" w:color="auto" w:sz="6" w:space="0"/>
              <w:bottom w:val="single" w:color="auto" w:sz="6" w:space="0"/>
              <w:right w:val="single" w:color="auto" w:sz="4" w:space="0"/>
            </w:tcBorders>
            <w:vAlign w:val="center"/>
          </w:tcPr>
          <w:p>
            <w:pPr>
              <w:pStyle w:val="41"/>
            </w:pPr>
            <w:r>
              <w:rPr>
                <w:rFonts w:hint="eastAsia"/>
              </w:rPr>
              <w:t>产品堆场</w:t>
            </w:r>
          </w:p>
        </w:tc>
        <w:tc>
          <w:tcPr>
            <w:tcW w:w="1035" w:type="pct"/>
            <w:tcBorders>
              <w:top w:val="single" w:color="auto" w:sz="6" w:space="0"/>
              <w:left w:val="single" w:color="auto" w:sz="4" w:space="0"/>
              <w:bottom w:val="single" w:color="auto" w:sz="4" w:space="0"/>
            </w:tcBorders>
            <w:vAlign w:val="center"/>
          </w:tcPr>
          <w:p>
            <w:pPr>
              <w:pStyle w:val="41"/>
            </w:pPr>
            <w:r>
              <w:t>扬尘</w:t>
            </w:r>
          </w:p>
        </w:tc>
        <w:tc>
          <w:tcPr>
            <w:tcW w:w="1223" w:type="pct"/>
            <w:tcBorders>
              <w:top w:val="single" w:color="auto" w:sz="6" w:space="0"/>
              <w:bottom w:val="single" w:color="auto" w:sz="6" w:space="0"/>
            </w:tcBorders>
            <w:shd w:val="clear" w:color="auto" w:fill="auto"/>
            <w:vAlign w:val="center"/>
          </w:tcPr>
          <w:p>
            <w:pPr>
              <w:pStyle w:val="41"/>
            </w:pPr>
            <w:r>
              <w:t>0.5t/a</w:t>
            </w:r>
          </w:p>
        </w:tc>
        <w:tc>
          <w:tcPr>
            <w:tcW w:w="1354" w:type="pct"/>
            <w:tcBorders>
              <w:top w:val="single" w:color="auto" w:sz="6" w:space="0"/>
              <w:bottom w:val="single" w:color="auto" w:sz="4" w:space="0"/>
              <w:right w:val="single" w:color="auto" w:sz="12" w:space="0"/>
            </w:tcBorders>
            <w:shd w:val="clear" w:color="auto" w:fill="auto"/>
            <w:vAlign w:val="center"/>
          </w:tcPr>
          <w:p>
            <w:pPr>
              <w:pStyle w:val="41"/>
            </w:pPr>
            <w:r>
              <w:rPr>
                <w:rFonts w:hint="eastAsia"/>
              </w:rPr>
              <w:t>0</w:t>
            </w:r>
            <w:r>
              <w:t>.15t/a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394" w:type="pct"/>
            <w:vMerge w:val="continue"/>
            <w:tcBorders>
              <w:left w:val="single" w:color="auto" w:sz="12" w:space="0"/>
              <w:bottom w:val="single" w:color="auto" w:sz="6" w:space="0"/>
            </w:tcBorders>
            <w:vAlign w:val="center"/>
          </w:tcPr>
          <w:p>
            <w:pPr>
              <w:jc w:val="center"/>
              <w:rPr>
                <w:b/>
                <w:bCs/>
                <w:sz w:val="21"/>
                <w:szCs w:val="21"/>
              </w:rPr>
            </w:pPr>
          </w:p>
        </w:tc>
        <w:tc>
          <w:tcPr>
            <w:tcW w:w="994" w:type="pct"/>
            <w:tcBorders>
              <w:top w:val="single" w:color="auto" w:sz="6" w:space="0"/>
              <w:bottom w:val="single" w:color="auto" w:sz="6" w:space="0"/>
              <w:right w:val="single" w:color="auto" w:sz="4" w:space="0"/>
            </w:tcBorders>
            <w:vAlign w:val="center"/>
          </w:tcPr>
          <w:p>
            <w:pPr>
              <w:pStyle w:val="41"/>
            </w:pPr>
            <w:r>
              <w:rPr>
                <w:rFonts w:hint="eastAsia"/>
              </w:rPr>
              <w:t>道路运输</w:t>
            </w:r>
          </w:p>
        </w:tc>
        <w:tc>
          <w:tcPr>
            <w:tcW w:w="1035" w:type="pct"/>
            <w:tcBorders>
              <w:top w:val="single" w:color="auto" w:sz="6" w:space="0"/>
              <w:left w:val="single" w:color="auto" w:sz="4" w:space="0"/>
              <w:bottom w:val="single" w:color="auto" w:sz="4" w:space="0"/>
            </w:tcBorders>
            <w:vAlign w:val="center"/>
          </w:tcPr>
          <w:p>
            <w:pPr>
              <w:pStyle w:val="41"/>
            </w:pPr>
            <w:r>
              <w:t>扬尘</w:t>
            </w:r>
          </w:p>
        </w:tc>
        <w:tc>
          <w:tcPr>
            <w:tcW w:w="1223" w:type="pct"/>
            <w:tcBorders>
              <w:top w:val="single" w:color="auto" w:sz="6" w:space="0"/>
              <w:bottom w:val="single" w:color="auto" w:sz="6" w:space="0"/>
            </w:tcBorders>
            <w:shd w:val="clear" w:color="auto" w:fill="auto"/>
            <w:vAlign w:val="center"/>
          </w:tcPr>
          <w:p>
            <w:pPr>
              <w:pStyle w:val="41"/>
            </w:pPr>
            <w:r>
              <w:t>0.86t/a</w:t>
            </w:r>
          </w:p>
        </w:tc>
        <w:tc>
          <w:tcPr>
            <w:tcW w:w="1354" w:type="pct"/>
            <w:tcBorders>
              <w:top w:val="single" w:color="auto" w:sz="6" w:space="0"/>
              <w:bottom w:val="single" w:color="auto" w:sz="4" w:space="0"/>
              <w:right w:val="single" w:color="auto" w:sz="12" w:space="0"/>
            </w:tcBorders>
            <w:shd w:val="clear" w:color="auto" w:fill="auto"/>
            <w:vAlign w:val="center"/>
          </w:tcPr>
          <w:p>
            <w:pPr>
              <w:pStyle w:val="41"/>
            </w:pPr>
            <w:r>
              <w:rPr>
                <w:rFonts w:hint="eastAsia"/>
              </w:rPr>
              <w:t>0</w:t>
            </w:r>
            <w:r>
              <w:t>.34t/a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0" w:hRule="atLeast"/>
        </w:trPr>
        <w:tc>
          <w:tcPr>
            <w:tcW w:w="394" w:type="pct"/>
            <w:vMerge w:val="restart"/>
            <w:tcBorders>
              <w:top w:val="single" w:color="auto" w:sz="4" w:space="0"/>
              <w:left w:val="single" w:color="auto" w:sz="12" w:space="0"/>
            </w:tcBorders>
            <w:vAlign w:val="center"/>
          </w:tcPr>
          <w:p>
            <w:pPr>
              <w:jc w:val="center"/>
              <w:rPr>
                <w:b/>
                <w:bCs/>
                <w:sz w:val="21"/>
                <w:szCs w:val="21"/>
              </w:rPr>
            </w:pPr>
            <w:r>
              <w:rPr>
                <w:b/>
                <w:bCs/>
                <w:sz w:val="21"/>
                <w:szCs w:val="21"/>
              </w:rPr>
              <w:t>水</w:t>
            </w:r>
          </w:p>
          <w:p>
            <w:pPr>
              <w:jc w:val="center"/>
              <w:rPr>
                <w:b/>
                <w:bCs/>
                <w:sz w:val="21"/>
                <w:szCs w:val="21"/>
              </w:rPr>
            </w:pPr>
            <w:r>
              <w:rPr>
                <w:b/>
                <w:bCs/>
                <w:sz w:val="21"/>
                <w:szCs w:val="21"/>
              </w:rPr>
              <w:t>污</w:t>
            </w:r>
          </w:p>
          <w:p>
            <w:pPr>
              <w:jc w:val="center"/>
              <w:rPr>
                <w:b/>
                <w:bCs/>
                <w:sz w:val="21"/>
                <w:szCs w:val="21"/>
              </w:rPr>
            </w:pPr>
            <w:r>
              <w:rPr>
                <w:b/>
                <w:bCs/>
                <w:sz w:val="21"/>
                <w:szCs w:val="21"/>
              </w:rPr>
              <w:t>染</w:t>
            </w:r>
          </w:p>
          <w:p>
            <w:pPr>
              <w:jc w:val="center"/>
              <w:rPr>
                <w:b/>
                <w:bCs/>
                <w:sz w:val="21"/>
                <w:szCs w:val="21"/>
              </w:rPr>
            </w:pPr>
            <w:r>
              <w:rPr>
                <w:b/>
                <w:bCs/>
                <w:sz w:val="21"/>
                <w:szCs w:val="21"/>
              </w:rPr>
              <w:t>物</w:t>
            </w:r>
          </w:p>
        </w:tc>
        <w:tc>
          <w:tcPr>
            <w:tcW w:w="994" w:type="pct"/>
            <w:vMerge w:val="restart"/>
            <w:tcBorders>
              <w:top w:val="single" w:color="auto" w:sz="6" w:space="0"/>
              <w:bottom w:val="single" w:color="auto" w:sz="6" w:space="0"/>
              <w:right w:val="single" w:color="auto" w:sz="4" w:space="0"/>
            </w:tcBorders>
            <w:vAlign w:val="center"/>
          </w:tcPr>
          <w:p>
            <w:pPr>
              <w:pStyle w:val="41"/>
            </w:pPr>
            <w:r>
              <w:t>营运期</w:t>
            </w:r>
          </w:p>
          <w:p>
            <w:pPr>
              <w:pStyle w:val="41"/>
            </w:pPr>
            <w:r>
              <w:rPr>
                <w:rFonts w:hint="eastAsia"/>
              </w:rPr>
              <w:t>生活污水</w:t>
            </w:r>
          </w:p>
        </w:tc>
        <w:tc>
          <w:tcPr>
            <w:tcW w:w="1035" w:type="pct"/>
            <w:tcBorders>
              <w:top w:val="single" w:color="auto" w:sz="6" w:space="0"/>
              <w:left w:val="single" w:color="auto" w:sz="4" w:space="0"/>
              <w:bottom w:val="single" w:color="auto" w:sz="6" w:space="0"/>
            </w:tcBorders>
            <w:vAlign w:val="center"/>
          </w:tcPr>
          <w:p>
            <w:pPr>
              <w:pStyle w:val="41"/>
            </w:pPr>
            <w:r>
              <w:t>水量</w:t>
            </w:r>
          </w:p>
        </w:tc>
        <w:tc>
          <w:tcPr>
            <w:tcW w:w="1223" w:type="pct"/>
            <w:tcBorders>
              <w:top w:val="single" w:color="auto" w:sz="6" w:space="0"/>
              <w:bottom w:val="single" w:color="auto" w:sz="6" w:space="0"/>
              <w:right w:val="single" w:color="auto" w:sz="4" w:space="0"/>
            </w:tcBorders>
            <w:vAlign w:val="center"/>
          </w:tcPr>
          <w:p>
            <w:pPr>
              <w:pStyle w:val="41"/>
            </w:pPr>
            <w:r>
              <w:rPr>
                <w:rFonts w:hint="eastAsia"/>
              </w:rPr>
              <w:t>180.68</w:t>
            </w:r>
            <w:r>
              <w:t>t/a</w:t>
            </w:r>
          </w:p>
        </w:tc>
        <w:tc>
          <w:tcPr>
            <w:tcW w:w="1354" w:type="pct"/>
            <w:vMerge w:val="restart"/>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r>
              <w:rPr>
                <w:rFonts w:hint="eastAsia"/>
              </w:rPr>
              <w:t>经</w:t>
            </w:r>
            <w:r>
              <w:t>化粪池处理后</w:t>
            </w:r>
            <w:r>
              <w:rPr>
                <w:rFonts w:hint="eastAsia"/>
              </w:rPr>
              <w:t>排入乡镇污水管网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394" w:type="pct"/>
            <w:vMerge w:val="continue"/>
            <w:tcBorders>
              <w:left w:val="single" w:color="auto" w:sz="12" w:space="0"/>
            </w:tcBorders>
            <w:vAlign w:val="center"/>
          </w:tcPr>
          <w:p>
            <w:pPr>
              <w:jc w:val="center"/>
              <w:rPr>
                <w:sz w:val="21"/>
                <w:szCs w:val="21"/>
              </w:rPr>
            </w:pPr>
          </w:p>
        </w:tc>
        <w:tc>
          <w:tcPr>
            <w:tcW w:w="994" w:type="pct"/>
            <w:vMerge w:val="continue"/>
            <w:tcBorders>
              <w:top w:val="single" w:color="auto" w:sz="6" w:space="0"/>
              <w:bottom w:val="single" w:color="auto" w:sz="6" w:space="0"/>
              <w:right w:val="single" w:color="auto" w:sz="4" w:space="0"/>
            </w:tcBorders>
            <w:vAlign w:val="center"/>
          </w:tcPr>
          <w:p>
            <w:pPr>
              <w:pStyle w:val="41"/>
            </w:pPr>
          </w:p>
        </w:tc>
        <w:tc>
          <w:tcPr>
            <w:tcW w:w="1035" w:type="pct"/>
            <w:tcBorders>
              <w:top w:val="single" w:color="auto" w:sz="6" w:space="0"/>
              <w:left w:val="single" w:color="auto" w:sz="4" w:space="0"/>
              <w:bottom w:val="single" w:color="auto" w:sz="6" w:space="0"/>
            </w:tcBorders>
            <w:vAlign w:val="center"/>
          </w:tcPr>
          <w:p>
            <w:pPr>
              <w:pStyle w:val="41"/>
            </w:pPr>
            <w:r>
              <w:t>COD</w:t>
            </w:r>
            <w:r>
              <w:rPr>
                <w:vertAlign w:val="subscript"/>
              </w:rPr>
              <w:t>Cr</w:t>
            </w:r>
          </w:p>
        </w:tc>
        <w:tc>
          <w:tcPr>
            <w:tcW w:w="1223" w:type="pct"/>
            <w:tcBorders>
              <w:top w:val="single" w:color="auto" w:sz="6" w:space="0"/>
              <w:bottom w:val="single" w:color="auto" w:sz="6" w:space="0"/>
              <w:right w:val="single" w:color="auto" w:sz="4" w:space="0"/>
            </w:tcBorders>
            <w:vAlign w:val="center"/>
          </w:tcPr>
          <w:p>
            <w:pPr>
              <w:pStyle w:val="41"/>
            </w:pPr>
            <w:r>
              <w:t>350mg/L</w:t>
            </w:r>
            <w:r>
              <w:rPr>
                <w:rFonts w:hint="eastAsia"/>
              </w:rPr>
              <w:t>，0.063t/a</w:t>
            </w:r>
          </w:p>
        </w:tc>
        <w:tc>
          <w:tcPr>
            <w:tcW w:w="1354"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394" w:type="pct"/>
            <w:vMerge w:val="continue"/>
            <w:tcBorders>
              <w:left w:val="single" w:color="auto" w:sz="12" w:space="0"/>
            </w:tcBorders>
            <w:vAlign w:val="center"/>
          </w:tcPr>
          <w:p>
            <w:pPr>
              <w:jc w:val="center"/>
              <w:rPr>
                <w:sz w:val="21"/>
                <w:szCs w:val="21"/>
              </w:rPr>
            </w:pPr>
          </w:p>
        </w:tc>
        <w:tc>
          <w:tcPr>
            <w:tcW w:w="994" w:type="pct"/>
            <w:vMerge w:val="continue"/>
            <w:tcBorders>
              <w:top w:val="single" w:color="auto" w:sz="6" w:space="0"/>
              <w:bottom w:val="single" w:color="auto" w:sz="6" w:space="0"/>
              <w:right w:val="single" w:color="auto" w:sz="4" w:space="0"/>
            </w:tcBorders>
            <w:vAlign w:val="center"/>
          </w:tcPr>
          <w:p>
            <w:pPr>
              <w:tabs>
                <w:tab w:val="left" w:pos="630"/>
              </w:tabs>
              <w:snapToGrid w:val="0"/>
              <w:spacing w:line="240" w:lineRule="exact"/>
              <w:jc w:val="center"/>
              <w:rPr>
                <w:sz w:val="21"/>
                <w:szCs w:val="21"/>
              </w:rPr>
            </w:pPr>
          </w:p>
        </w:tc>
        <w:tc>
          <w:tcPr>
            <w:tcW w:w="1035" w:type="pct"/>
            <w:tcBorders>
              <w:top w:val="single" w:color="auto" w:sz="6" w:space="0"/>
              <w:left w:val="single" w:color="auto" w:sz="4" w:space="0"/>
              <w:bottom w:val="single" w:color="auto" w:sz="6" w:space="0"/>
            </w:tcBorders>
            <w:vAlign w:val="center"/>
          </w:tcPr>
          <w:p>
            <w:pPr>
              <w:tabs>
                <w:tab w:val="left" w:pos="630"/>
              </w:tabs>
              <w:snapToGrid w:val="0"/>
              <w:spacing w:line="240" w:lineRule="exact"/>
              <w:jc w:val="center"/>
              <w:rPr>
                <w:sz w:val="21"/>
                <w:szCs w:val="21"/>
              </w:rPr>
            </w:pPr>
            <w:r>
              <w:rPr>
                <w:sz w:val="21"/>
                <w:szCs w:val="21"/>
              </w:rPr>
              <w:t>BOD</w:t>
            </w:r>
            <w:r>
              <w:rPr>
                <w:sz w:val="21"/>
                <w:szCs w:val="21"/>
                <w:vertAlign w:val="subscript"/>
              </w:rPr>
              <w:t>5</w:t>
            </w:r>
          </w:p>
        </w:tc>
        <w:tc>
          <w:tcPr>
            <w:tcW w:w="1223" w:type="pct"/>
            <w:tcBorders>
              <w:top w:val="single" w:color="auto" w:sz="6" w:space="0"/>
              <w:bottom w:val="single" w:color="auto" w:sz="6" w:space="0"/>
              <w:right w:val="single" w:color="auto" w:sz="4" w:space="0"/>
            </w:tcBorders>
            <w:vAlign w:val="center"/>
          </w:tcPr>
          <w:p>
            <w:pPr>
              <w:pStyle w:val="41"/>
            </w:pPr>
            <w:r>
              <w:t>200mg/L</w:t>
            </w:r>
            <w:r>
              <w:rPr>
                <w:rFonts w:hint="eastAsia"/>
              </w:rPr>
              <w:t>，0.036 t/a</w:t>
            </w:r>
          </w:p>
        </w:tc>
        <w:tc>
          <w:tcPr>
            <w:tcW w:w="1354"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394" w:type="pct"/>
            <w:vMerge w:val="continue"/>
            <w:tcBorders>
              <w:left w:val="single" w:color="auto" w:sz="12" w:space="0"/>
            </w:tcBorders>
            <w:vAlign w:val="center"/>
          </w:tcPr>
          <w:p>
            <w:pPr>
              <w:jc w:val="center"/>
              <w:rPr>
                <w:sz w:val="21"/>
                <w:szCs w:val="21"/>
              </w:rPr>
            </w:pPr>
          </w:p>
        </w:tc>
        <w:tc>
          <w:tcPr>
            <w:tcW w:w="994" w:type="pct"/>
            <w:vMerge w:val="continue"/>
            <w:tcBorders>
              <w:top w:val="single" w:color="auto" w:sz="6" w:space="0"/>
              <w:bottom w:val="single" w:color="auto" w:sz="6" w:space="0"/>
              <w:right w:val="single" w:color="auto" w:sz="4" w:space="0"/>
            </w:tcBorders>
            <w:vAlign w:val="center"/>
          </w:tcPr>
          <w:p>
            <w:pPr>
              <w:tabs>
                <w:tab w:val="left" w:pos="630"/>
              </w:tabs>
              <w:snapToGrid w:val="0"/>
              <w:spacing w:line="240" w:lineRule="exact"/>
              <w:jc w:val="center"/>
              <w:rPr>
                <w:sz w:val="21"/>
                <w:szCs w:val="21"/>
              </w:rPr>
            </w:pPr>
          </w:p>
        </w:tc>
        <w:tc>
          <w:tcPr>
            <w:tcW w:w="1035" w:type="pct"/>
            <w:tcBorders>
              <w:top w:val="single" w:color="auto" w:sz="6" w:space="0"/>
              <w:left w:val="single" w:color="auto" w:sz="4" w:space="0"/>
              <w:bottom w:val="single" w:color="auto" w:sz="6" w:space="0"/>
            </w:tcBorders>
            <w:vAlign w:val="center"/>
          </w:tcPr>
          <w:p>
            <w:pPr>
              <w:tabs>
                <w:tab w:val="left" w:pos="630"/>
              </w:tabs>
              <w:snapToGrid w:val="0"/>
              <w:spacing w:line="240" w:lineRule="exact"/>
              <w:jc w:val="center"/>
              <w:rPr>
                <w:sz w:val="21"/>
                <w:szCs w:val="21"/>
              </w:rPr>
            </w:pPr>
            <w:r>
              <w:rPr>
                <w:rFonts w:hint="eastAsia"/>
                <w:sz w:val="21"/>
                <w:szCs w:val="21"/>
              </w:rPr>
              <w:t>SS</w:t>
            </w:r>
          </w:p>
        </w:tc>
        <w:tc>
          <w:tcPr>
            <w:tcW w:w="1223" w:type="pct"/>
            <w:tcBorders>
              <w:top w:val="single" w:color="auto" w:sz="6" w:space="0"/>
              <w:bottom w:val="single" w:color="auto" w:sz="6" w:space="0"/>
              <w:right w:val="single" w:color="auto" w:sz="4" w:space="0"/>
            </w:tcBorders>
            <w:vAlign w:val="center"/>
          </w:tcPr>
          <w:p>
            <w:pPr>
              <w:pStyle w:val="41"/>
            </w:pPr>
            <w:r>
              <w:t>200mg/L</w:t>
            </w:r>
            <w:r>
              <w:rPr>
                <w:rFonts w:hint="eastAsia"/>
              </w:rPr>
              <w:t>，0.036 t/a</w:t>
            </w:r>
          </w:p>
        </w:tc>
        <w:tc>
          <w:tcPr>
            <w:tcW w:w="1354"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394" w:type="pct"/>
            <w:vMerge w:val="continue"/>
            <w:tcBorders>
              <w:left w:val="single" w:color="auto" w:sz="12" w:space="0"/>
            </w:tcBorders>
            <w:vAlign w:val="center"/>
          </w:tcPr>
          <w:p>
            <w:pPr>
              <w:jc w:val="center"/>
              <w:rPr>
                <w:sz w:val="21"/>
                <w:szCs w:val="21"/>
              </w:rPr>
            </w:pPr>
          </w:p>
        </w:tc>
        <w:tc>
          <w:tcPr>
            <w:tcW w:w="994" w:type="pct"/>
            <w:vMerge w:val="continue"/>
            <w:tcBorders>
              <w:top w:val="single" w:color="auto" w:sz="6" w:space="0"/>
              <w:bottom w:val="single" w:color="auto" w:sz="6" w:space="0"/>
              <w:right w:val="single" w:color="auto" w:sz="4" w:space="0"/>
            </w:tcBorders>
            <w:vAlign w:val="center"/>
          </w:tcPr>
          <w:p>
            <w:pPr>
              <w:tabs>
                <w:tab w:val="left" w:pos="630"/>
              </w:tabs>
              <w:snapToGrid w:val="0"/>
              <w:spacing w:line="240" w:lineRule="exact"/>
              <w:jc w:val="center"/>
              <w:rPr>
                <w:sz w:val="21"/>
                <w:szCs w:val="21"/>
              </w:rPr>
            </w:pPr>
          </w:p>
        </w:tc>
        <w:tc>
          <w:tcPr>
            <w:tcW w:w="1035" w:type="pct"/>
            <w:tcBorders>
              <w:top w:val="single" w:color="auto" w:sz="6" w:space="0"/>
              <w:left w:val="single" w:color="auto" w:sz="4" w:space="0"/>
              <w:bottom w:val="single" w:color="auto" w:sz="6" w:space="0"/>
            </w:tcBorders>
            <w:vAlign w:val="center"/>
          </w:tcPr>
          <w:p>
            <w:pPr>
              <w:pStyle w:val="41"/>
            </w:pPr>
            <w:r>
              <w:t>氨氮</w:t>
            </w:r>
          </w:p>
        </w:tc>
        <w:tc>
          <w:tcPr>
            <w:tcW w:w="1223" w:type="pct"/>
            <w:tcBorders>
              <w:top w:val="single" w:color="auto" w:sz="6" w:space="0"/>
              <w:bottom w:val="single" w:color="auto" w:sz="6" w:space="0"/>
              <w:right w:val="single" w:color="auto" w:sz="4" w:space="0"/>
            </w:tcBorders>
            <w:vAlign w:val="center"/>
          </w:tcPr>
          <w:p>
            <w:pPr>
              <w:pStyle w:val="41"/>
            </w:pPr>
            <w:r>
              <w:t>35mg/L</w:t>
            </w:r>
            <w:r>
              <w:rPr>
                <w:rFonts w:hint="eastAsia"/>
              </w:rPr>
              <w:t>，0.006 t/a</w:t>
            </w:r>
          </w:p>
        </w:tc>
        <w:tc>
          <w:tcPr>
            <w:tcW w:w="1354"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 w:hRule="atLeast"/>
        </w:trPr>
        <w:tc>
          <w:tcPr>
            <w:tcW w:w="394" w:type="pct"/>
            <w:vMerge w:val="continue"/>
            <w:tcBorders>
              <w:left w:val="single" w:color="auto" w:sz="12" w:space="0"/>
            </w:tcBorders>
            <w:vAlign w:val="center"/>
          </w:tcPr>
          <w:p>
            <w:pPr>
              <w:jc w:val="center"/>
              <w:rPr>
                <w:sz w:val="21"/>
                <w:szCs w:val="21"/>
              </w:rPr>
            </w:pPr>
          </w:p>
        </w:tc>
        <w:tc>
          <w:tcPr>
            <w:tcW w:w="994" w:type="pct"/>
            <w:vMerge w:val="continue"/>
            <w:tcBorders>
              <w:top w:val="single" w:color="auto" w:sz="6" w:space="0"/>
              <w:bottom w:val="single" w:color="auto" w:sz="6" w:space="0"/>
              <w:right w:val="single" w:color="auto" w:sz="4" w:space="0"/>
            </w:tcBorders>
            <w:vAlign w:val="center"/>
          </w:tcPr>
          <w:p>
            <w:pPr>
              <w:pStyle w:val="41"/>
            </w:pPr>
          </w:p>
        </w:tc>
        <w:tc>
          <w:tcPr>
            <w:tcW w:w="1035" w:type="pct"/>
            <w:tcBorders>
              <w:top w:val="single" w:color="auto" w:sz="6" w:space="0"/>
              <w:left w:val="single" w:color="auto" w:sz="4" w:space="0"/>
              <w:bottom w:val="single" w:color="auto" w:sz="6" w:space="0"/>
            </w:tcBorders>
            <w:vAlign w:val="center"/>
          </w:tcPr>
          <w:p>
            <w:pPr>
              <w:pStyle w:val="41"/>
            </w:pPr>
            <w:r>
              <w:rPr>
                <w:rFonts w:hint="eastAsia"/>
              </w:rPr>
              <w:t>动植物油</w:t>
            </w:r>
          </w:p>
        </w:tc>
        <w:tc>
          <w:tcPr>
            <w:tcW w:w="1223" w:type="pct"/>
            <w:tcBorders>
              <w:top w:val="single" w:color="auto" w:sz="6" w:space="0"/>
              <w:bottom w:val="single" w:color="auto" w:sz="6" w:space="0"/>
              <w:right w:val="single" w:color="auto" w:sz="4" w:space="0"/>
            </w:tcBorders>
            <w:vAlign w:val="center"/>
          </w:tcPr>
          <w:p>
            <w:pPr>
              <w:pStyle w:val="41"/>
            </w:pPr>
            <w:r>
              <w:rPr>
                <w:rFonts w:hint="eastAsia"/>
              </w:rPr>
              <w:t>20</w:t>
            </w:r>
            <w:r>
              <w:t>mg/L</w:t>
            </w:r>
            <w:r>
              <w:rPr>
                <w:rFonts w:hint="eastAsia"/>
              </w:rPr>
              <w:t>，0.004 t/a</w:t>
            </w:r>
          </w:p>
        </w:tc>
        <w:tc>
          <w:tcPr>
            <w:tcW w:w="1354"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pStyle w:val="4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 w:hRule="atLeast"/>
        </w:trPr>
        <w:tc>
          <w:tcPr>
            <w:tcW w:w="394" w:type="pct"/>
            <w:vMerge w:val="continue"/>
            <w:tcBorders>
              <w:left w:val="single" w:color="auto" w:sz="12" w:space="0"/>
            </w:tcBorders>
            <w:vAlign w:val="center"/>
          </w:tcPr>
          <w:p>
            <w:pPr>
              <w:jc w:val="center"/>
              <w:rPr>
                <w:sz w:val="21"/>
                <w:szCs w:val="21"/>
              </w:rPr>
            </w:pPr>
          </w:p>
        </w:tc>
        <w:tc>
          <w:tcPr>
            <w:tcW w:w="994" w:type="pct"/>
            <w:tcBorders>
              <w:top w:val="single" w:color="auto" w:sz="6" w:space="0"/>
              <w:right w:val="single" w:color="auto" w:sz="4" w:space="0"/>
            </w:tcBorders>
            <w:vAlign w:val="center"/>
          </w:tcPr>
          <w:p>
            <w:pPr>
              <w:pStyle w:val="41"/>
            </w:pPr>
            <w:r>
              <w:rPr>
                <w:rFonts w:hint="eastAsia"/>
              </w:rPr>
              <w:t>营运期生产废水</w:t>
            </w:r>
          </w:p>
        </w:tc>
        <w:tc>
          <w:tcPr>
            <w:tcW w:w="1035" w:type="pct"/>
            <w:tcBorders>
              <w:top w:val="single" w:color="auto" w:sz="6" w:space="0"/>
              <w:left w:val="single" w:color="auto" w:sz="4" w:space="0"/>
              <w:bottom w:val="single" w:color="auto" w:sz="6" w:space="0"/>
            </w:tcBorders>
            <w:vAlign w:val="center"/>
          </w:tcPr>
          <w:p>
            <w:pPr>
              <w:pStyle w:val="41"/>
            </w:pPr>
            <w:r>
              <w:rPr>
                <w:rFonts w:hint="eastAsia"/>
              </w:rPr>
              <w:t>水量</w:t>
            </w:r>
          </w:p>
        </w:tc>
        <w:tc>
          <w:tcPr>
            <w:tcW w:w="1223" w:type="pct"/>
            <w:tcBorders>
              <w:top w:val="single" w:color="auto" w:sz="6" w:space="0"/>
              <w:bottom w:val="single" w:color="auto" w:sz="6" w:space="0"/>
              <w:right w:val="single" w:color="auto" w:sz="4" w:space="0"/>
            </w:tcBorders>
            <w:vAlign w:val="center"/>
          </w:tcPr>
          <w:p>
            <w:pPr>
              <w:pStyle w:val="41"/>
            </w:pPr>
            <w:r>
              <w:rPr>
                <w:rFonts w:hint="eastAsia"/>
              </w:rPr>
              <w:t>5</w:t>
            </w:r>
            <w:r>
              <w:t>06.9t/d</w:t>
            </w:r>
          </w:p>
        </w:tc>
        <w:tc>
          <w:tcPr>
            <w:tcW w:w="1354" w:type="pct"/>
            <w:tcBorders>
              <w:top w:val="single" w:color="auto" w:sz="4" w:space="0"/>
              <w:left w:val="single" w:color="auto" w:sz="4" w:space="0"/>
              <w:right w:val="single" w:color="auto" w:sz="12" w:space="0"/>
            </w:tcBorders>
            <w:shd w:val="clear" w:color="auto" w:fill="auto"/>
            <w:vAlign w:val="center"/>
          </w:tcPr>
          <w:p>
            <w:pPr>
              <w:pStyle w:val="41"/>
            </w:pPr>
            <w:r>
              <w:rPr>
                <w:rFonts w:hint="eastAsia"/>
              </w:rPr>
              <w:t>经浓密机处理后暂存于清水池内，全部回用于生产工序，不外排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 w:hRule="atLeast"/>
        </w:trPr>
        <w:tc>
          <w:tcPr>
            <w:tcW w:w="394" w:type="pct"/>
            <w:vMerge w:val="restart"/>
            <w:tcBorders>
              <w:top w:val="single" w:color="auto" w:sz="4" w:space="0"/>
              <w:left w:val="single" w:color="auto" w:sz="12" w:space="0"/>
            </w:tcBorders>
            <w:vAlign w:val="center"/>
          </w:tcPr>
          <w:p>
            <w:pPr>
              <w:jc w:val="center"/>
              <w:rPr>
                <w:b/>
                <w:bCs/>
                <w:sz w:val="21"/>
                <w:szCs w:val="21"/>
              </w:rPr>
            </w:pPr>
            <w:r>
              <w:rPr>
                <w:b/>
                <w:bCs/>
                <w:sz w:val="21"/>
                <w:szCs w:val="21"/>
              </w:rPr>
              <w:t>固</w:t>
            </w:r>
          </w:p>
          <w:p>
            <w:pPr>
              <w:jc w:val="center"/>
              <w:rPr>
                <w:b/>
                <w:bCs/>
                <w:sz w:val="21"/>
                <w:szCs w:val="21"/>
              </w:rPr>
            </w:pPr>
            <w:r>
              <w:rPr>
                <w:b/>
                <w:bCs/>
                <w:sz w:val="21"/>
                <w:szCs w:val="21"/>
              </w:rPr>
              <w:t>体</w:t>
            </w:r>
          </w:p>
          <w:p>
            <w:pPr>
              <w:jc w:val="center"/>
              <w:rPr>
                <w:b/>
                <w:bCs/>
                <w:sz w:val="21"/>
                <w:szCs w:val="21"/>
              </w:rPr>
            </w:pPr>
            <w:r>
              <w:rPr>
                <w:b/>
                <w:bCs/>
                <w:sz w:val="21"/>
                <w:szCs w:val="21"/>
              </w:rPr>
              <w:t>废</w:t>
            </w:r>
          </w:p>
          <w:p>
            <w:pPr>
              <w:jc w:val="center"/>
              <w:rPr>
                <w:b/>
                <w:bCs/>
                <w:sz w:val="21"/>
                <w:szCs w:val="21"/>
              </w:rPr>
            </w:pPr>
            <w:r>
              <w:rPr>
                <w:b/>
                <w:bCs/>
                <w:sz w:val="21"/>
                <w:szCs w:val="21"/>
              </w:rPr>
              <w:t>物</w:t>
            </w:r>
          </w:p>
        </w:tc>
        <w:tc>
          <w:tcPr>
            <w:tcW w:w="994" w:type="pct"/>
            <w:vMerge w:val="restart"/>
            <w:tcBorders>
              <w:top w:val="single" w:color="auto" w:sz="6" w:space="0"/>
              <w:right w:val="single" w:color="auto" w:sz="4" w:space="0"/>
            </w:tcBorders>
            <w:vAlign w:val="center"/>
          </w:tcPr>
          <w:p>
            <w:pPr>
              <w:pStyle w:val="41"/>
            </w:pPr>
            <w:r>
              <w:t>营运期</w:t>
            </w:r>
          </w:p>
          <w:p>
            <w:pPr>
              <w:pStyle w:val="41"/>
            </w:pPr>
            <w:r>
              <w:t>生活固废</w:t>
            </w:r>
          </w:p>
        </w:tc>
        <w:tc>
          <w:tcPr>
            <w:tcW w:w="1035" w:type="pct"/>
            <w:tcBorders>
              <w:top w:val="single" w:color="auto" w:sz="6" w:space="0"/>
              <w:left w:val="single" w:color="auto" w:sz="4" w:space="0"/>
              <w:bottom w:val="single" w:color="auto" w:sz="6" w:space="0"/>
            </w:tcBorders>
            <w:vAlign w:val="center"/>
          </w:tcPr>
          <w:p>
            <w:pPr>
              <w:pStyle w:val="50"/>
            </w:pPr>
            <w:r>
              <w:rPr>
                <w:rFonts w:hint="eastAsia" w:cs="SimSun"/>
              </w:rPr>
              <w:t>生活垃圾</w:t>
            </w:r>
          </w:p>
        </w:tc>
        <w:tc>
          <w:tcPr>
            <w:tcW w:w="1223" w:type="pct"/>
            <w:tcBorders>
              <w:top w:val="single" w:color="auto" w:sz="6" w:space="0"/>
              <w:bottom w:val="single" w:color="auto" w:sz="6" w:space="0"/>
            </w:tcBorders>
            <w:vAlign w:val="center"/>
          </w:tcPr>
          <w:p>
            <w:pPr>
              <w:pStyle w:val="50"/>
            </w:pPr>
            <w:r>
              <w:t>1.5t/a</w:t>
            </w:r>
          </w:p>
        </w:tc>
        <w:tc>
          <w:tcPr>
            <w:tcW w:w="1354" w:type="pct"/>
            <w:tcBorders>
              <w:top w:val="single" w:color="auto" w:sz="6" w:space="0"/>
              <w:right w:val="single" w:color="auto" w:sz="12" w:space="0"/>
            </w:tcBorders>
            <w:vAlign w:val="center"/>
          </w:tcPr>
          <w:p>
            <w:pPr>
              <w:pStyle w:val="50"/>
            </w:pPr>
            <w:r>
              <w:rPr>
                <w:bCs/>
              </w:rPr>
              <w:t>交由当地环卫部门统一处理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 w:hRule="atLeast"/>
        </w:trPr>
        <w:tc>
          <w:tcPr>
            <w:tcW w:w="394" w:type="pct"/>
            <w:vMerge w:val="continue"/>
            <w:tcBorders>
              <w:left w:val="single" w:color="auto" w:sz="12" w:space="0"/>
            </w:tcBorders>
            <w:vAlign w:val="center"/>
          </w:tcPr>
          <w:p>
            <w:pPr>
              <w:jc w:val="center"/>
              <w:rPr>
                <w:b/>
                <w:bCs/>
                <w:sz w:val="21"/>
                <w:szCs w:val="21"/>
              </w:rPr>
            </w:pPr>
          </w:p>
        </w:tc>
        <w:tc>
          <w:tcPr>
            <w:tcW w:w="994" w:type="pct"/>
            <w:vMerge w:val="continue"/>
            <w:tcBorders>
              <w:right w:val="single" w:color="auto" w:sz="4" w:space="0"/>
            </w:tcBorders>
            <w:vAlign w:val="center"/>
          </w:tcPr>
          <w:p>
            <w:pPr>
              <w:pStyle w:val="41"/>
            </w:pPr>
          </w:p>
        </w:tc>
        <w:tc>
          <w:tcPr>
            <w:tcW w:w="1035" w:type="pct"/>
            <w:tcBorders>
              <w:top w:val="single" w:color="auto" w:sz="6" w:space="0"/>
              <w:left w:val="single" w:color="auto" w:sz="4" w:space="0"/>
              <w:bottom w:val="single" w:color="auto" w:sz="6" w:space="0"/>
            </w:tcBorders>
            <w:vAlign w:val="center"/>
          </w:tcPr>
          <w:p>
            <w:pPr>
              <w:pStyle w:val="50"/>
            </w:pPr>
            <w:r>
              <w:rPr>
                <w:rFonts w:hint="eastAsia"/>
              </w:rPr>
              <w:t>检修</w:t>
            </w:r>
            <w:r>
              <w:t>废油</w:t>
            </w:r>
          </w:p>
        </w:tc>
        <w:tc>
          <w:tcPr>
            <w:tcW w:w="1223" w:type="pct"/>
            <w:tcBorders>
              <w:top w:val="single" w:color="auto" w:sz="6" w:space="0"/>
              <w:bottom w:val="single" w:color="auto" w:sz="6" w:space="0"/>
            </w:tcBorders>
            <w:vAlign w:val="center"/>
          </w:tcPr>
          <w:p>
            <w:pPr>
              <w:pStyle w:val="50"/>
            </w:pPr>
            <w:r>
              <w:rPr>
                <w:rFonts w:hint="eastAsia"/>
              </w:rPr>
              <w:t>0.</w:t>
            </w:r>
            <w:r>
              <w:t>3</w:t>
            </w:r>
            <w:r>
              <w:rPr>
                <w:rFonts w:hint="eastAsia"/>
              </w:rPr>
              <w:t>t/a</w:t>
            </w:r>
          </w:p>
        </w:tc>
        <w:tc>
          <w:tcPr>
            <w:tcW w:w="1354" w:type="pct"/>
            <w:tcBorders>
              <w:top w:val="single" w:color="auto" w:sz="4" w:space="0"/>
              <w:bottom w:val="single" w:color="auto" w:sz="6" w:space="0"/>
              <w:right w:val="single" w:color="auto" w:sz="12" w:space="0"/>
            </w:tcBorders>
            <w:vAlign w:val="center"/>
          </w:tcPr>
          <w:p>
            <w:pPr>
              <w:pStyle w:val="50"/>
              <w:rPr>
                <w:bCs/>
              </w:rPr>
            </w:pPr>
            <w:r>
              <w:rPr>
                <w:rFonts w:hint="eastAsia"/>
                <w:bCs/>
              </w:rPr>
              <w:t>暂存于危险废物暂存间，定期交由资质单位处置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394" w:type="pct"/>
            <w:tcBorders>
              <w:top w:val="single" w:color="auto" w:sz="4" w:space="0"/>
              <w:left w:val="single" w:color="auto" w:sz="12" w:space="0"/>
              <w:bottom w:val="single" w:color="auto" w:sz="6" w:space="0"/>
            </w:tcBorders>
            <w:vAlign w:val="center"/>
          </w:tcPr>
          <w:p>
            <w:pPr>
              <w:jc w:val="center"/>
              <w:rPr>
                <w:b/>
                <w:bCs/>
                <w:sz w:val="21"/>
                <w:szCs w:val="21"/>
              </w:rPr>
            </w:pPr>
            <w:r>
              <w:rPr>
                <w:b/>
                <w:bCs/>
                <w:sz w:val="21"/>
                <w:szCs w:val="21"/>
              </w:rPr>
              <w:t>噪</w:t>
            </w:r>
          </w:p>
          <w:p>
            <w:pPr>
              <w:jc w:val="center"/>
              <w:rPr>
                <w:b/>
                <w:bCs/>
                <w:sz w:val="21"/>
                <w:szCs w:val="21"/>
              </w:rPr>
            </w:pPr>
            <w:r>
              <w:rPr>
                <w:b/>
                <w:bCs/>
                <w:sz w:val="21"/>
                <w:szCs w:val="21"/>
              </w:rPr>
              <w:t>声</w:t>
            </w:r>
          </w:p>
        </w:tc>
        <w:tc>
          <w:tcPr>
            <w:tcW w:w="994" w:type="pct"/>
            <w:tcBorders>
              <w:top w:val="single" w:color="auto" w:sz="6" w:space="0"/>
              <w:bottom w:val="single" w:color="auto" w:sz="6" w:space="0"/>
              <w:right w:val="single" w:color="auto" w:sz="4" w:space="0"/>
            </w:tcBorders>
            <w:vAlign w:val="center"/>
          </w:tcPr>
          <w:p>
            <w:pPr>
              <w:pStyle w:val="41"/>
            </w:pPr>
            <w:r>
              <w:t>运营期</w:t>
            </w:r>
          </w:p>
          <w:p>
            <w:pPr>
              <w:pStyle w:val="41"/>
            </w:pPr>
            <w:r>
              <w:t>噪声</w:t>
            </w:r>
          </w:p>
        </w:tc>
        <w:tc>
          <w:tcPr>
            <w:tcW w:w="3612" w:type="pct"/>
            <w:gridSpan w:val="3"/>
            <w:tcBorders>
              <w:top w:val="single" w:color="auto" w:sz="6" w:space="0"/>
              <w:left w:val="single" w:color="auto" w:sz="4" w:space="0"/>
              <w:bottom w:val="single" w:color="auto" w:sz="6" w:space="0"/>
              <w:right w:val="single" w:color="auto" w:sz="12" w:space="0"/>
            </w:tcBorders>
            <w:vAlign w:val="center"/>
          </w:tcPr>
          <w:p>
            <w:pPr>
              <w:pStyle w:val="41"/>
            </w:pPr>
            <w:r>
              <w:t>经</w:t>
            </w:r>
            <w:r>
              <w:rPr>
                <w:rFonts w:hint="eastAsia"/>
              </w:rPr>
              <w:t>采取隔声、减振、消声等措施后，厂界</w:t>
            </w:r>
            <w:r>
              <w:t>能够满足《工业企业厂界环境噪声排放标准》（GB12348-2008）中</w:t>
            </w:r>
            <w:r>
              <w:rPr>
                <w:rFonts w:hint="eastAsia"/>
              </w:rPr>
              <w:t>3</w:t>
            </w:r>
            <w:r>
              <w:t>类标准，昼间≤6</w:t>
            </w:r>
            <w:r>
              <w:rPr>
                <w:rFonts w:hint="eastAsia"/>
              </w:rPr>
              <w:t>5</w:t>
            </w:r>
            <w:r>
              <w:t>dB（A）；夜间≤5</w:t>
            </w:r>
            <w:r>
              <w:rPr>
                <w:rFonts w:hint="eastAsia"/>
              </w:rPr>
              <w:t>5</w:t>
            </w:r>
            <w:r>
              <w:t>B（A）。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8" w:hRule="atLeast"/>
        </w:trPr>
        <w:tc>
          <w:tcPr>
            <w:tcW w:w="394" w:type="pct"/>
            <w:tcBorders>
              <w:top w:val="single" w:color="auto" w:sz="6" w:space="0"/>
              <w:left w:val="single" w:color="auto" w:sz="12" w:space="0"/>
              <w:bottom w:val="single" w:color="auto" w:sz="6" w:space="0"/>
            </w:tcBorders>
            <w:vAlign w:val="center"/>
          </w:tcPr>
          <w:p>
            <w:pPr>
              <w:jc w:val="center"/>
              <w:rPr>
                <w:b/>
                <w:sz w:val="21"/>
                <w:szCs w:val="21"/>
              </w:rPr>
            </w:pPr>
            <w:r>
              <w:rPr>
                <w:b/>
                <w:sz w:val="21"/>
                <w:szCs w:val="21"/>
              </w:rPr>
              <w:t>其他</w:t>
            </w:r>
          </w:p>
        </w:tc>
        <w:tc>
          <w:tcPr>
            <w:tcW w:w="4606" w:type="pct"/>
            <w:gridSpan w:val="4"/>
            <w:tcBorders>
              <w:top w:val="single" w:color="auto" w:sz="6" w:space="0"/>
              <w:bottom w:val="single" w:color="auto" w:sz="6" w:space="0"/>
              <w:right w:val="single" w:color="auto" w:sz="12" w:space="0"/>
            </w:tcBorders>
            <w:vAlign w:val="center"/>
          </w:tcPr>
          <w:p>
            <w:pPr>
              <w:pStyle w:val="41"/>
            </w:pPr>
            <w: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82" w:hRule="atLeast"/>
        </w:trPr>
        <w:tc>
          <w:tcPr>
            <w:tcW w:w="5000" w:type="pct"/>
            <w:gridSpan w:val="5"/>
            <w:tcBorders>
              <w:top w:val="single" w:color="auto" w:sz="6" w:space="0"/>
              <w:left w:val="single" w:color="auto" w:sz="12" w:space="0"/>
              <w:bottom w:val="single" w:color="auto" w:sz="12" w:space="0"/>
              <w:right w:val="single" w:color="auto" w:sz="12" w:space="0"/>
            </w:tcBorders>
          </w:tcPr>
          <w:p>
            <w:pPr>
              <w:pStyle w:val="4"/>
              <w:keepNext w:val="0"/>
              <w:ind w:firstLine="0" w:firstLineChars="0"/>
            </w:pPr>
            <w:r>
              <w:t>主要生态影响（不够时可附另页）：</w:t>
            </w:r>
          </w:p>
          <w:p>
            <w:pPr>
              <w:pStyle w:val="37"/>
              <w:ind w:firstLine="480"/>
              <w:rPr>
                <w:rFonts w:cs="Times New Roman"/>
              </w:rPr>
            </w:pPr>
            <w:r>
              <w:rPr>
                <w:rFonts w:cs="Times New Roman"/>
              </w:rPr>
              <w:t>本项目位于</w:t>
            </w:r>
            <w:r>
              <w:rPr>
                <w:rFonts w:hint="eastAsia" w:cs="Times New Roman"/>
              </w:rPr>
              <w:t>峨边</w:t>
            </w:r>
            <w:r>
              <w:rPr>
                <w:rFonts w:cs="Times New Roman"/>
              </w:rPr>
              <w:t>彝族自治县五渡镇工农村</w:t>
            </w:r>
            <w:r>
              <w:rPr>
                <w:rFonts w:hint="eastAsia" w:cs="Times New Roman"/>
              </w:rPr>
              <w:t>2组</w:t>
            </w:r>
            <w:r>
              <w:rPr>
                <w:rFonts w:cs="Times New Roman"/>
              </w:rPr>
              <w:t>，</w:t>
            </w:r>
            <w:r>
              <w:rPr>
                <w:rFonts w:hint="eastAsia" w:cs="Times New Roman"/>
              </w:rPr>
              <w:t>项目于原有站场内建设</w:t>
            </w:r>
            <w:r>
              <w:rPr>
                <w:rFonts w:cs="Times New Roman"/>
              </w:rPr>
              <w:t>，</w:t>
            </w:r>
            <w:r>
              <w:rPr>
                <w:rFonts w:hint="eastAsia" w:cs="Times New Roman"/>
              </w:rPr>
              <w:t>不涉及新增占地，</w:t>
            </w:r>
            <w:r>
              <w:rPr>
                <w:rFonts w:cs="Times New Roman"/>
              </w:rPr>
              <w:t>不涉及破坏地表植被，项目建成运营后，各种建筑物的覆盖使土壤表面硬度增高，土壤的使用性质、植被情况发生变化，但通过加强区域绿化后，不会对区域生态产生负面影响。项目建成投产后，产生污染物量较小，对生态环境影响较小。</w:t>
            </w:r>
          </w:p>
        </w:tc>
      </w:tr>
    </w:tbl>
    <w:p>
      <w:pPr>
        <w:pStyle w:val="2"/>
      </w:pPr>
      <w:r>
        <w:br w:type="page"/>
      </w:r>
      <w:bookmarkStart w:id="13" w:name="_Toc496518919"/>
      <w:bookmarkStart w:id="14" w:name="_Toc34472027"/>
      <w:r>
        <w:rPr>
          <w:rFonts w:hint="eastAsia"/>
        </w:rPr>
        <w:t>表七环境影响分析</w:t>
      </w:r>
      <w:bookmarkEnd w:id="13"/>
      <w:bookmarkEnd w:id="14"/>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80" w:hRule="atLeast"/>
        </w:trPr>
        <w:tc>
          <w:tcPr>
            <w:tcW w:w="5000" w:type="pct"/>
            <w:tcBorders>
              <w:bottom w:val="single" w:color="auto" w:sz="6" w:space="0"/>
            </w:tcBorders>
            <w:shd w:val="clear" w:color="auto" w:fill="auto"/>
          </w:tcPr>
          <w:p>
            <w:pPr>
              <w:pStyle w:val="4"/>
              <w:ind w:firstLine="482"/>
            </w:pPr>
            <w:r>
              <w:rPr>
                <w:rFonts w:hint="eastAsia"/>
              </w:rPr>
              <w:t>一、施工期环境影响简要分析</w:t>
            </w:r>
          </w:p>
          <w:p>
            <w:pPr>
              <w:pStyle w:val="37"/>
              <w:ind w:firstLine="480"/>
              <w:rPr>
                <w:color w:val="FF0000"/>
              </w:rPr>
            </w:pPr>
            <w:r>
              <w:rPr>
                <w:rFonts w:hint="eastAsia"/>
              </w:rPr>
              <w:t>本项目施工期已过，本报告将不再对施工期污染物排放情况进行分</w:t>
            </w:r>
            <w:r>
              <w:rPr>
                <w:rFonts w:hint="eastAsia"/>
                <w:color w:val="FF0000"/>
              </w:rPr>
              <w:t>析，现场无遗留施工期环境问题。</w:t>
            </w:r>
          </w:p>
          <w:p>
            <w:pPr>
              <w:pStyle w:val="4"/>
              <w:ind w:firstLine="482"/>
            </w:pPr>
            <w:r>
              <w:rPr>
                <w:rFonts w:hint="eastAsia"/>
              </w:rPr>
              <w:t>二、</w:t>
            </w:r>
            <w:r>
              <w:t>营运期环境影响分析</w:t>
            </w:r>
          </w:p>
          <w:p>
            <w:pPr>
              <w:pStyle w:val="37"/>
              <w:ind w:firstLine="480"/>
            </w:pPr>
            <w:r>
              <w:rPr>
                <w:rFonts w:hint="eastAsia"/>
              </w:rPr>
              <w:t>1、大气环境影响分析</w:t>
            </w:r>
          </w:p>
          <w:p>
            <w:pPr>
              <w:pStyle w:val="37"/>
              <w:ind w:firstLine="480"/>
            </w:pPr>
            <w:r>
              <w:rPr>
                <w:rFonts w:hint="eastAsia"/>
              </w:rPr>
              <w:t>（</w:t>
            </w:r>
            <w:r>
              <w:t>1</w:t>
            </w:r>
            <w:r>
              <w:rPr>
                <w:rFonts w:hint="eastAsia"/>
              </w:rPr>
              <w:t>）无组织排放废气</w:t>
            </w:r>
          </w:p>
          <w:p>
            <w:pPr>
              <w:pStyle w:val="37"/>
              <w:ind w:firstLine="480"/>
            </w:pPr>
            <w:r>
              <w:rPr>
                <w:rFonts w:hint="eastAsia"/>
              </w:rPr>
              <w:t>本项目运营期废气主要为无组织排放的原料堆场扬尘、产品堆场扬尘，无组织粉尘排放情况见下表：</w:t>
            </w:r>
          </w:p>
          <w:p>
            <w:pPr>
              <w:pStyle w:val="36"/>
            </w:pPr>
            <w:r>
              <w:t>表</w:t>
            </w:r>
            <w:r>
              <w:rPr>
                <w:rFonts w:hint="eastAsia"/>
              </w:rPr>
              <w:t>7</w:t>
            </w:r>
            <w:r>
              <w:t>-3 无组织粉尘排放情况一览表</w:t>
            </w:r>
          </w:p>
          <w:tbl>
            <w:tblPr>
              <w:tblStyle w:val="25"/>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266"/>
              <w:gridCol w:w="762"/>
              <w:gridCol w:w="1063"/>
              <w:gridCol w:w="1266"/>
              <w:gridCol w:w="1266"/>
              <w:gridCol w:w="1808"/>
              <w:gridCol w:w="163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4" w:hRule="atLeast"/>
              </w:trPr>
              <w:tc>
                <w:tcPr>
                  <w:tcW w:w="698" w:type="pct"/>
                  <w:vAlign w:val="center"/>
                </w:tcPr>
                <w:p>
                  <w:pPr>
                    <w:pStyle w:val="47"/>
                  </w:pPr>
                  <w:r>
                    <w:rPr>
                      <w:rFonts w:hint="eastAsia"/>
                    </w:rPr>
                    <w:t>排放源</w:t>
                  </w:r>
                </w:p>
              </w:tc>
              <w:tc>
                <w:tcPr>
                  <w:tcW w:w="420" w:type="pct"/>
                  <w:vAlign w:val="center"/>
                </w:tcPr>
                <w:p>
                  <w:pPr>
                    <w:pStyle w:val="47"/>
                  </w:pPr>
                  <w:r>
                    <w:rPr>
                      <w:rFonts w:hint="eastAsia"/>
                    </w:rPr>
                    <w:t>污染物</w:t>
                  </w:r>
                </w:p>
              </w:tc>
              <w:tc>
                <w:tcPr>
                  <w:tcW w:w="586" w:type="pct"/>
                  <w:vAlign w:val="center"/>
                </w:tcPr>
                <w:p>
                  <w:pPr>
                    <w:pStyle w:val="47"/>
                  </w:pPr>
                  <w:r>
                    <w:rPr>
                      <w:rFonts w:hint="eastAsia"/>
                    </w:rPr>
                    <w:t>排放速率</w:t>
                  </w:r>
                </w:p>
              </w:tc>
              <w:tc>
                <w:tcPr>
                  <w:tcW w:w="698" w:type="pct"/>
                  <w:vAlign w:val="center"/>
                </w:tcPr>
                <w:p>
                  <w:pPr>
                    <w:pStyle w:val="47"/>
                  </w:pPr>
                  <w:r>
                    <w:rPr>
                      <w:rFonts w:hint="eastAsia"/>
                    </w:rPr>
                    <w:t>面源有效高度</w:t>
                  </w:r>
                </w:p>
              </w:tc>
              <w:tc>
                <w:tcPr>
                  <w:tcW w:w="698" w:type="pct"/>
                  <w:vAlign w:val="center"/>
                </w:tcPr>
                <w:p>
                  <w:pPr>
                    <w:pStyle w:val="47"/>
                  </w:pPr>
                  <w:r>
                    <w:rPr>
                      <w:rFonts w:hint="eastAsia"/>
                    </w:rPr>
                    <w:t>面源有效长度</w:t>
                  </w:r>
                </w:p>
              </w:tc>
              <w:tc>
                <w:tcPr>
                  <w:tcW w:w="997" w:type="pct"/>
                  <w:tcBorders>
                    <w:right w:val="single" w:color="auto" w:sz="4" w:space="0"/>
                  </w:tcBorders>
                  <w:vAlign w:val="center"/>
                </w:tcPr>
                <w:p>
                  <w:pPr>
                    <w:pStyle w:val="47"/>
                  </w:pPr>
                  <w:r>
                    <w:rPr>
                      <w:rFonts w:hint="eastAsia"/>
                    </w:rPr>
                    <w:t>面源有效宽度（m）</w:t>
                  </w:r>
                </w:p>
              </w:tc>
              <w:tc>
                <w:tcPr>
                  <w:tcW w:w="901" w:type="pct"/>
                  <w:tcBorders>
                    <w:left w:val="single" w:color="auto" w:sz="4" w:space="0"/>
                    <w:bottom w:val="single" w:color="auto" w:sz="4" w:space="0"/>
                  </w:tcBorders>
                  <w:vAlign w:val="center"/>
                </w:tcPr>
                <w:p>
                  <w:pPr>
                    <w:pStyle w:val="47"/>
                  </w:pPr>
                  <w:r>
                    <w:rPr>
                      <w:rFonts w:hint="eastAsia"/>
                    </w:rPr>
                    <w:t>初始垂向扩散系数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698" w:type="pct"/>
                  <w:vAlign w:val="center"/>
                </w:tcPr>
                <w:p>
                  <w:pPr>
                    <w:pStyle w:val="47"/>
                  </w:pPr>
                  <w:r>
                    <w:rPr>
                      <w:rFonts w:hint="eastAsia"/>
                    </w:rPr>
                    <w:t>原料堆场扬尘</w:t>
                  </w:r>
                </w:p>
              </w:tc>
              <w:tc>
                <w:tcPr>
                  <w:tcW w:w="420" w:type="pct"/>
                  <w:vAlign w:val="center"/>
                </w:tcPr>
                <w:p>
                  <w:pPr>
                    <w:pStyle w:val="47"/>
                  </w:pPr>
                  <w:r>
                    <w:rPr>
                      <w:rFonts w:hint="eastAsia"/>
                    </w:rPr>
                    <w:t>粉尘</w:t>
                  </w:r>
                </w:p>
              </w:tc>
              <w:tc>
                <w:tcPr>
                  <w:tcW w:w="586" w:type="pct"/>
                  <w:vAlign w:val="center"/>
                </w:tcPr>
                <w:p>
                  <w:pPr>
                    <w:pStyle w:val="47"/>
                  </w:pPr>
                  <w:r>
                    <w:t>0.016kg</w:t>
                  </w:r>
                  <w:r>
                    <w:rPr>
                      <w:rFonts w:hint="eastAsia"/>
                    </w:rPr>
                    <w:t>/h</w:t>
                  </w:r>
                </w:p>
              </w:tc>
              <w:tc>
                <w:tcPr>
                  <w:tcW w:w="698" w:type="pct"/>
                  <w:vAlign w:val="center"/>
                </w:tcPr>
                <w:p>
                  <w:pPr>
                    <w:pStyle w:val="47"/>
                  </w:pPr>
                  <w:r>
                    <w:t>5</w:t>
                  </w:r>
                </w:p>
              </w:tc>
              <w:tc>
                <w:tcPr>
                  <w:tcW w:w="698" w:type="pct"/>
                  <w:vAlign w:val="center"/>
                </w:tcPr>
                <w:p>
                  <w:pPr>
                    <w:pStyle w:val="47"/>
                  </w:pPr>
                  <w:r>
                    <w:t>40</w:t>
                  </w:r>
                </w:p>
              </w:tc>
              <w:tc>
                <w:tcPr>
                  <w:tcW w:w="997" w:type="pct"/>
                  <w:tcBorders>
                    <w:right w:val="single" w:color="auto" w:sz="4" w:space="0"/>
                  </w:tcBorders>
                  <w:vAlign w:val="center"/>
                </w:tcPr>
                <w:p>
                  <w:pPr>
                    <w:pStyle w:val="47"/>
                  </w:pPr>
                  <w:r>
                    <w:t>20</w:t>
                  </w:r>
                </w:p>
              </w:tc>
              <w:tc>
                <w:tcPr>
                  <w:tcW w:w="901" w:type="pct"/>
                  <w:tcBorders>
                    <w:top w:val="single" w:color="auto" w:sz="4" w:space="0"/>
                    <w:left w:val="single" w:color="auto" w:sz="4" w:space="0"/>
                  </w:tcBorders>
                  <w:vAlign w:val="center"/>
                </w:tcPr>
                <w:p>
                  <w:pPr>
                    <w:pStyle w:val="47"/>
                  </w:pPr>
                  <w:r>
                    <w:rPr>
                      <w:rFonts w:hint="eastAsia"/>
                    </w:rPr>
                    <w:t>2</w:t>
                  </w:r>
                  <w:r>
                    <w:t>.33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698" w:type="pct"/>
                  <w:vAlign w:val="center"/>
                </w:tcPr>
                <w:p>
                  <w:pPr>
                    <w:pStyle w:val="47"/>
                  </w:pPr>
                  <w:r>
                    <w:rPr>
                      <w:rFonts w:hint="eastAsia"/>
                    </w:rPr>
                    <w:t>产品堆场扬尘</w:t>
                  </w:r>
                </w:p>
              </w:tc>
              <w:tc>
                <w:tcPr>
                  <w:tcW w:w="420" w:type="pct"/>
                  <w:vAlign w:val="center"/>
                </w:tcPr>
                <w:p>
                  <w:pPr>
                    <w:pStyle w:val="47"/>
                  </w:pPr>
                  <w:r>
                    <w:rPr>
                      <w:rFonts w:hint="eastAsia"/>
                    </w:rPr>
                    <w:t>粉尘</w:t>
                  </w:r>
                </w:p>
              </w:tc>
              <w:tc>
                <w:tcPr>
                  <w:tcW w:w="586" w:type="pct"/>
                  <w:vAlign w:val="center"/>
                </w:tcPr>
                <w:p>
                  <w:pPr>
                    <w:pStyle w:val="47"/>
                  </w:pPr>
                  <w:r>
                    <w:rPr>
                      <w:rFonts w:hint="eastAsia"/>
                    </w:rPr>
                    <w:t>0.</w:t>
                  </w:r>
                  <w:r>
                    <w:t>02</w:t>
                  </w:r>
                  <w:r>
                    <w:rPr>
                      <w:rFonts w:hint="eastAsia"/>
                    </w:rPr>
                    <w:t>kg/h</w:t>
                  </w:r>
                </w:p>
              </w:tc>
              <w:tc>
                <w:tcPr>
                  <w:tcW w:w="698" w:type="pct"/>
                  <w:vAlign w:val="center"/>
                </w:tcPr>
                <w:p>
                  <w:pPr>
                    <w:pStyle w:val="47"/>
                  </w:pPr>
                  <w:r>
                    <w:t>10</w:t>
                  </w:r>
                </w:p>
              </w:tc>
              <w:tc>
                <w:tcPr>
                  <w:tcW w:w="698" w:type="pct"/>
                  <w:vAlign w:val="center"/>
                </w:tcPr>
                <w:p>
                  <w:pPr>
                    <w:pStyle w:val="47"/>
                  </w:pPr>
                  <w:r>
                    <w:rPr>
                      <w:rFonts w:hint="eastAsia"/>
                    </w:rPr>
                    <w:t>7</w:t>
                  </w:r>
                  <w:r>
                    <w:t>0</w:t>
                  </w:r>
                </w:p>
              </w:tc>
              <w:tc>
                <w:tcPr>
                  <w:tcW w:w="997" w:type="pct"/>
                  <w:tcBorders>
                    <w:right w:val="single" w:color="auto" w:sz="4" w:space="0"/>
                  </w:tcBorders>
                  <w:vAlign w:val="center"/>
                </w:tcPr>
                <w:p>
                  <w:pPr>
                    <w:pStyle w:val="47"/>
                  </w:pPr>
                  <w:r>
                    <w:rPr>
                      <w:rFonts w:hint="eastAsia"/>
                    </w:rPr>
                    <w:t>4</w:t>
                  </w:r>
                  <w:r>
                    <w:t>0</w:t>
                  </w:r>
                </w:p>
              </w:tc>
              <w:tc>
                <w:tcPr>
                  <w:tcW w:w="901" w:type="pct"/>
                  <w:tcBorders>
                    <w:left w:val="single" w:color="auto" w:sz="4" w:space="0"/>
                  </w:tcBorders>
                  <w:vAlign w:val="center"/>
                </w:tcPr>
                <w:p>
                  <w:pPr>
                    <w:pStyle w:val="47"/>
                  </w:pPr>
                  <w:r>
                    <w:rPr>
                      <w:rFonts w:hint="eastAsia"/>
                    </w:rPr>
                    <w:t>4</w:t>
                  </w:r>
                  <w:r>
                    <w:t>.65</w:t>
                  </w:r>
                </w:p>
              </w:tc>
            </w:tr>
          </w:tbl>
          <w:p>
            <w:pPr>
              <w:pStyle w:val="37"/>
              <w:ind w:firstLine="480"/>
            </w:pPr>
            <w:r>
              <w:rPr>
                <w:rFonts w:hint="eastAsia"/>
              </w:rPr>
              <w:t>根据《环境影响评价技术导则——大气环境》（HJ2.2-2018）中推荐的估算模型Aerscreen，对无组织排放点的TSP的最大落地浓度及其落地距离进行估算，估算模型参数及计算结果见下表：</w:t>
            </w:r>
          </w:p>
          <w:p>
            <w:pPr>
              <w:pStyle w:val="36"/>
            </w:pPr>
            <w:r>
              <w:rPr>
                <w:rFonts w:hint="eastAsia"/>
              </w:rPr>
              <w:t>表7-</w:t>
            </w:r>
            <w:r>
              <w:t>4</w:t>
            </w:r>
            <w:r>
              <w:rPr>
                <w:rFonts w:hint="eastAsia"/>
              </w:rPr>
              <w:t>估算模型参数表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7"/>
              <w:gridCol w:w="1689"/>
              <w:gridCol w:w="3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3127" w:type="pct"/>
                  <w:gridSpan w:val="2"/>
                  <w:vAlign w:val="center"/>
                </w:tcPr>
                <w:p>
                  <w:pPr>
                    <w:pStyle w:val="47"/>
                  </w:pPr>
                  <w:r>
                    <w:t>参数</w:t>
                  </w:r>
                </w:p>
              </w:tc>
              <w:tc>
                <w:tcPr>
                  <w:tcW w:w="1873" w:type="pct"/>
                  <w:vAlign w:val="center"/>
                </w:tcPr>
                <w:p>
                  <w:pPr>
                    <w:pStyle w:val="47"/>
                  </w:pPr>
                  <w: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195" w:type="pct"/>
                  <w:vMerge w:val="restart"/>
                  <w:vAlign w:val="center"/>
                </w:tcPr>
                <w:p>
                  <w:pPr>
                    <w:pStyle w:val="47"/>
                  </w:pPr>
                  <w:r>
                    <w:t>城市</w:t>
                  </w:r>
                  <w:r>
                    <w:rPr>
                      <w:rFonts w:hint="eastAsia"/>
                    </w:rPr>
                    <w:t>/</w:t>
                  </w:r>
                  <w:r>
                    <w:t>农村选项</w:t>
                  </w:r>
                </w:p>
              </w:tc>
              <w:tc>
                <w:tcPr>
                  <w:tcW w:w="932" w:type="pct"/>
                  <w:vAlign w:val="center"/>
                </w:tcPr>
                <w:p>
                  <w:pPr>
                    <w:pStyle w:val="47"/>
                  </w:pPr>
                  <w:r>
                    <w:t>城市</w:t>
                  </w:r>
                  <w:r>
                    <w:rPr>
                      <w:rFonts w:hint="eastAsia"/>
                    </w:rPr>
                    <w:t>/</w:t>
                  </w:r>
                  <w:r>
                    <w:t>农村</w:t>
                  </w:r>
                </w:p>
              </w:tc>
              <w:tc>
                <w:tcPr>
                  <w:tcW w:w="1873" w:type="pct"/>
                  <w:vAlign w:val="center"/>
                </w:tcPr>
                <w:p>
                  <w:pPr>
                    <w:pStyle w:val="47"/>
                  </w:pPr>
                  <w:r>
                    <w:t>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195" w:type="pct"/>
                  <w:vMerge w:val="continue"/>
                  <w:vAlign w:val="center"/>
                </w:tcPr>
                <w:p>
                  <w:pPr>
                    <w:pStyle w:val="47"/>
                  </w:pPr>
                </w:p>
              </w:tc>
              <w:tc>
                <w:tcPr>
                  <w:tcW w:w="932" w:type="pct"/>
                  <w:vAlign w:val="center"/>
                </w:tcPr>
                <w:p>
                  <w:pPr>
                    <w:pStyle w:val="47"/>
                  </w:pPr>
                  <w:r>
                    <w:rPr>
                      <w:rFonts w:hint="eastAsia"/>
                    </w:rPr>
                    <w:t>人口数</w:t>
                  </w:r>
                </w:p>
              </w:tc>
              <w:tc>
                <w:tcPr>
                  <w:tcW w:w="1873" w:type="pct"/>
                  <w:vAlign w:val="center"/>
                </w:tcPr>
                <w:p>
                  <w:pPr>
                    <w:pStyle w:val="47"/>
                  </w:pPr>
                  <w: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127" w:type="pct"/>
                  <w:gridSpan w:val="2"/>
                  <w:vAlign w:val="center"/>
                </w:tcPr>
                <w:p>
                  <w:pPr>
                    <w:pStyle w:val="47"/>
                  </w:pPr>
                  <w:r>
                    <w:rPr>
                      <w:rFonts w:hint="eastAsia"/>
                    </w:rPr>
                    <w:t>最高环境温度/℃</w:t>
                  </w:r>
                </w:p>
              </w:tc>
              <w:tc>
                <w:tcPr>
                  <w:tcW w:w="1873" w:type="pct"/>
                  <w:vAlign w:val="center"/>
                </w:tcPr>
                <w:p>
                  <w:pPr>
                    <w:pStyle w:val="47"/>
                  </w:pPr>
                  <w:r>
                    <w:rPr>
                      <w:rFonts w:hint="eastAsia"/>
                    </w:rPr>
                    <w:t>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127" w:type="pct"/>
                  <w:gridSpan w:val="2"/>
                  <w:vAlign w:val="center"/>
                </w:tcPr>
                <w:p>
                  <w:pPr>
                    <w:pStyle w:val="47"/>
                  </w:pPr>
                  <w:r>
                    <w:rPr>
                      <w:rFonts w:hint="eastAsia"/>
                    </w:rPr>
                    <w:t>最低环境温度/℃</w:t>
                  </w:r>
                </w:p>
              </w:tc>
              <w:tc>
                <w:tcPr>
                  <w:tcW w:w="1873" w:type="pct"/>
                  <w:vAlign w:val="center"/>
                </w:tcPr>
                <w:p>
                  <w:pPr>
                    <w:pStyle w:val="47"/>
                  </w:pPr>
                  <w:r>
                    <w:rPr>
                      <w:rFonts w:hint="eastAsia"/>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127" w:type="pct"/>
                  <w:gridSpan w:val="2"/>
                  <w:vAlign w:val="center"/>
                </w:tcPr>
                <w:p>
                  <w:pPr>
                    <w:pStyle w:val="47"/>
                  </w:pPr>
                  <w:r>
                    <w:rPr>
                      <w:rFonts w:hint="eastAsia"/>
                    </w:rPr>
                    <w:t>土地利用类型</w:t>
                  </w:r>
                </w:p>
              </w:tc>
              <w:tc>
                <w:tcPr>
                  <w:tcW w:w="1873" w:type="pct"/>
                  <w:vAlign w:val="center"/>
                </w:tcPr>
                <w:p>
                  <w:pPr>
                    <w:pStyle w:val="47"/>
                  </w:pPr>
                  <w:r>
                    <w:rPr>
                      <w:rFonts w:hint="eastAsia"/>
                    </w:rPr>
                    <w:t>阔叶林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127" w:type="pct"/>
                  <w:gridSpan w:val="2"/>
                  <w:vAlign w:val="center"/>
                </w:tcPr>
                <w:p>
                  <w:pPr>
                    <w:pStyle w:val="47"/>
                  </w:pPr>
                  <w:r>
                    <w:rPr>
                      <w:rFonts w:hint="eastAsia"/>
                    </w:rPr>
                    <w:t>区域湿度条件</w:t>
                  </w:r>
                </w:p>
              </w:tc>
              <w:tc>
                <w:tcPr>
                  <w:tcW w:w="1873" w:type="pct"/>
                  <w:vAlign w:val="center"/>
                </w:tcPr>
                <w:p>
                  <w:pPr>
                    <w:pStyle w:val="47"/>
                  </w:pPr>
                  <w:r>
                    <w:rPr>
                      <w:rFonts w:hint="eastAsia"/>
                    </w:rPr>
                    <w:t>湿润区</w:t>
                  </w:r>
                </w:p>
              </w:tc>
            </w:tr>
          </w:tbl>
          <w:p>
            <w:pPr>
              <w:pStyle w:val="36"/>
            </w:pPr>
            <w:r>
              <w:rPr>
                <w:rFonts w:hint="eastAsia"/>
              </w:rPr>
              <w:t>表7-</w:t>
            </w:r>
            <w:r>
              <w:t xml:space="preserve">5 </w:t>
            </w:r>
            <w:r>
              <w:rPr>
                <w:rFonts w:hint="eastAsia"/>
              </w:rPr>
              <w:t>正常排放时估算模式计算结果表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237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384" w:type="pct"/>
                  <w:vAlign w:val="center"/>
                </w:tcPr>
                <w:p>
                  <w:pPr>
                    <w:pStyle w:val="47"/>
                  </w:pPr>
                  <w:r>
                    <w:t>排放源</w:t>
                  </w:r>
                </w:p>
              </w:tc>
              <w:tc>
                <w:tcPr>
                  <w:tcW w:w="1308" w:type="pct"/>
                  <w:vAlign w:val="center"/>
                </w:tcPr>
                <w:p>
                  <w:pPr>
                    <w:pStyle w:val="47"/>
                  </w:pPr>
                  <w:r>
                    <w:rPr>
                      <w:rFonts w:hint="eastAsia"/>
                    </w:rPr>
                    <w:t>原料堆场扬尘</w:t>
                  </w:r>
                </w:p>
              </w:tc>
              <w:tc>
                <w:tcPr>
                  <w:tcW w:w="1308" w:type="pct"/>
                  <w:vAlign w:val="center"/>
                </w:tcPr>
                <w:p>
                  <w:pPr>
                    <w:pStyle w:val="47"/>
                  </w:pPr>
                  <w:r>
                    <w:rPr>
                      <w:rFonts w:hint="eastAsia"/>
                    </w:rPr>
                    <w:t>产品堆场扬尘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384" w:type="pct"/>
                  <w:vAlign w:val="center"/>
                </w:tcPr>
                <w:p>
                  <w:pPr>
                    <w:pStyle w:val="47"/>
                  </w:pPr>
                  <w:r>
                    <w:rPr>
                      <w:rFonts w:hint="eastAsia"/>
                    </w:rPr>
                    <w:t>污染物</w:t>
                  </w:r>
                </w:p>
              </w:tc>
              <w:tc>
                <w:tcPr>
                  <w:tcW w:w="1308" w:type="pct"/>
                  <w:vAlign w:val="center"/>
                </w:tcPr>
                <w:p>
                  <w:pPr>
                    <w:pStyle w:val="47"/>
                  </w:pPr>
                  <w:r>
                    <w:rPr>
                      <w:rFonts w:hint="eastAsia"/>
                    </w:rPr>
                    <w:t>颗粒物</w:t>
                  </w:r>
                </w:p>
              </w:tc>
              <w:tc>
                <w:tcPr>
                  <w:tcW w:w="1308" w:type="pct"/>
                  <w:vAlign w:val="center"/>
                </w:tcPr>
                <w:p>
                  <w:pPr>
                    <w:pStyle w:val="47"/>
                  </w:pPr>
                  <w:r>
                    <w:rPr>
                      <w:rFonts w:hint="eastAsia"/>
                    </w:rPr>
                    <w:t>颗粒物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384" w:type="pct"/>
                  <w:vAlign w:val="center"/>
                </w:tcPr>
                <w:p>
                  <w:pPr>
                    <w:pStyle w:val="47"/>
                  </w:pPr>
                  <w:r>
                    <w:rPr>
                      <w:rFonts w:hint="eastAsia"/>
                    </w:rPr>
                    <w:t>污染因子</w:t>
                  </w:r>
                </w:p>
              </w:tc>
              <w:tc>
                <w:tcPr>
                  <w:tcW w:w="1308" w:type="pct"/>
                  <w:vAlign w:val="center"/>
                </w:tcPr>
                <w:p>
                  <w:pPr>
                    <w:pStyle w:val="47"/>
                  </w:pPr>
                  <w:r>
                    <w:rPr>
                      <w:rFonts w:hint="eastAsia"/>
                    </w:rPr>
                    <w:t>TSP</w:t>
                  </w:r>
                </w:p>
              </w:tc>
              <w:tc>
                <w:tcPr>
                  <w:tcW w:w="1308" w:type="pct"/>
                  <w:vAlign w:val="center"/>
                </w:tcPr>
                <w:p>
                  <w:pPr>
                    <w:pStyle w:val="47"/>
                  </w:pPr>
                  <w:r>
                    <w:rPr>
                      <w:rFonts w:hint="eastAsia"/>
                    </w:rPr>
                    <w:t>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 w:hRule="atLeast"/>
                <w:jc w:val="center"/>
              </w:trPr>
              <w:tc>
                <w:tcPr>
                  <w:tcW w:w="2384" w:type="pct"/>
                  <w:vAlign w:val="center"/>
                </w:tcPr>
                <w:p>
                  <w:pPr>
                    <w:pStyle w:val="47"/>
                  </w:pPr>
                  <w:r>
                    <w:rPr>
                      <w:rFonts w:hint="eastAsia"/>
                    </w:rPr>
                    <w:t>最大落地浓度（</w:t>
                  </w:r>
                  <w:r>
                    <w:t>mg/m</w:t>
                  </w:r>
                  <w:r>
                    <w:rPr>
                      <w:vertAlign w:val="superscript"/>
                    </w:rPr>
                    <w:t>3</w:t>
                  </w:r>
                  <w:r>
                    <w:rPr>
                      <w:rFonts w:hint="eastAsia"/>
                    </w:rPr>
                    <w:t>）</w:t>
                  </w:r>
                </w:p>
              </w:tc>
              <w:tc>
                <w:tcPr>
                  <w:tcW w:w="1308" w:type="pct"/>
                  <w:vAlign w:val="center"/>
                </w:tcPr>
                <w:p>
                  <w:pPr>
                    <w:pStyle w:val="47"/>
                  </w:pPr>
                  <w:r>
                    <w:rPr>
                      <w:rFonts w:hint="eastAsia"/>
                    </w:rPr>
                    <w:t>0</w:t>
                  </w:r>
                  <w:r>
                    <w:t>.0430</w:t>
                  </w:r>
                </w:p>
              </w:tc>
              <w:tc>
                <w:tcPr>
                  <w:tcW w:w="1308" w:type="pct"/>
                  <w:vAlign w:val="center"/>
                </w:tcPr>
                <w:p>
                  <w:pPr>
                    <w:pStyle w:val="47"/>
                  </w:pPr>
                  <w:r>
                    <w:rPr>
                      <w:rFonts w:hint="eastAsia"/>
                    </w:rPr>
                    <w:t>0</w:t>
                  </w:r>
                  <w:r>
                    <w:t>.0132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384" w:type="pct"/>
                  <w:vAlign w:val="center"/>
                </w:tcPr>
                <w:p>
                  <w:pPr>
                    <w:pStyle w:val="47"/>
                  </w:pPr>
                  <w:r>
                    <w:rPr>
                      <w:rFonts w:hint="eastAsia"/>
                    </w:rPr>
                    <w:t>标准值（日均值，</w:t>
                  </w:r>
                  <w:r>
                    <w:t>mg/m</w:t>
                  </w:r>
                  <w:r>
                    <w:rPr>
                      <w:vertAlign w:val="superscript"/>
                    </w:rPr>
                    <w:t>3</w:t>
                  </w:r>
                  <w:r>
                    <w:rPr>
                      <w:rFonts w:hint="eastAsia"/>
                    </w:rPr>
                    <w:t>）</w:t>
                  </w:r>
                </w:p>
              </w:tc>
              <w:tc>
                <w:tcPr>
                  <w:tcW w:w="1308" w:type="pct"/>
                  <w:vAlign w:val="center"/>
                </w:tcPr>
                <w:p>
                  <w:pPr>
                    <w:pStyle w:val="47"/>
                  </w:pPr>
                  <w:r>
                    <w:rPr>
                      <w:rFonts w:hint="eastAsia"/>
                    </w:rPr>
                    <w:t>0</w:t>
                  </w:r>
                  <w:r>
                    <w:t>.3</w:t>
                  </w:r>
                </w:p>
              </w:tc>
              <w:tc>
                <w:tcPr>
                  <w:tcW w:w="1308" w:type="pct"/>
                  <w:vAlign w:val="center"/>
                </w:tcPr>
                <w:p>
                  <w:pPr>
                    <w:pStyle w:val="47"/>
                  </w:pPr>
                  <w:r>
                    <w:rPr>
                      <w:rFonts w:hint="eastAsia"/>
                    </w:rPr>
                    <w:t>0</w:t>
                  </w:r>
                  <w: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1" w:hRule="atLeast"/>
                <w:jc w:val="center"/>
              </w:trPr>
              <w:tc>
                <w:tcPr>
                  <w:tcW w:w="2384" w:type="pct"/>
                  <w:vAlign w:val="center"/>
                </w:tcPr>
                <w:p>
                  <w:pPr>
                    <w:pStyle w:val="47"/>
                  </w:pPr>
                  <w:r>
                    <w:rPr>
                      <w:rFonts w:hint="eastAsia"/>
                    </w:rPr>
                    <w:t>1小时浓度占标率（%）</w:t>
                  </w:r>
                </w:p>
              </w:tc>
              <w:tc>
                <w:tcPr>
                  <w:tcW w:w="1308" w:type="pct"/>
                  <w:vAlign w:val="center"/>
                </w:tcPr>
                <w:p>
                  <w:pPr>
                    <w:pStyle w:val="47"/>
                  </w:pPr>
                  <w:r>
                    <w:rPr>
                      <w:rFonts w:hint="eastAsia"/>
                    </w:rPr>
                    <w:t>4</w:t>
                  </w:r>
                  <w:r>
                    <w:t>.78</w:t>
                  </w:r>
                </w:p>
              </w:tc>
              <w:tc>
                <w:tcPr>
                  <w:tcW w:w="1308" w:type="pct"/>
                  <w:vAlign w:val="center"/>
                </w:tcPr>
                <w:p>
                  <w:pPr>
                    <w:pStyle w:val="47"/>
                  </w:pPr>
                  <w:r>
                    <w:rPr>
                      <w:rFonts w:hint="eastAsia"/>
                    </w:rPr>
                    <w:t>1</w:t>
                  </w:r>
                  <w: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384" w:type="pct"/>
                  <w:vAlign w:val="center"/>
                </w:tcPr>
                <w:p>
                  <w:pPr>
                    <w:pStyle w:val="47"/>
                  </w:pPr>
                  <w:r>
                    <w:rPr>
                      <w:rFonts w:hint="eastAsia"/>
                    </w:rPr>
                    <w:t>下风向最大浓度距离（m）</w:t>
                  </w:r>
                </w:p>
              </w:tc>
              <w:tc>
                <w:tcPr>
                  <w:tcW w:w="1308" w:type="pct"/>
                  <w:vAlign w:val="center"/>
                </w:tcPr>
                <w:p>
                  <w:pPr>
                    <w:pStyle w:val="47"/>
                  </w:pPr>
                  <w:r>
                    <w:rPr>
                      <w:rFonts w:hint="eastAsia"/>
                    </w:rPr>
                    <w:t>2</w:t>
                  </w:r>
                  <w:r>
                    <w:t>5</w:t>
                  </w:r>
                </w:p>
              </w:tc>
              <w:tc>
                <w:tcPr>
                  <w:tcW w:w="1308" w:type="pct"/>
                  <w:vAlign w:val="center"/>
                </w:tcPr>
                <w:p>
                  <w:pPr>
                    <w:pStyle w:val="47"/>
                  </w:pPr>
                  <w:r>
                    <w:rPr>
                      <w:rFonts w:hint="eastAsia"/>
                    </w:rPr>
                    <w:t>5</w:t>
                  </w:r>
                  <w:r>
                    <w:t>0</w:t>
                  </w:r>
                </w:p>
              </w:tc>
            </w:tr>
          </w:tbl>
          <w:p>
            <w:pPr>
              <w:pStyle w:val="37"/>
              <w:ind w:firstLine="480"/>
            </w:pPr>
            <w:r>
              <w:rPr>
                <w:rFonts w:hint="eastAsia"/>
              </w:rPr>
              <w:t>由上表可知，项目无组织颗粒物最大落地浓度为0.0</w:t>
            </w:r>
            <w:r>
              <w:t>430</w:t>
            </w:r>
            <w:r>
              <w:rPr>
                <w:rFonts w:hint="eastAsia"/>
              </w:rPr>
              <w:t>mg/m</w:t>
            </w:r>
            <w:r>
              <w:rPr>
                <w:rFonts w:hint="eastAsia"/>
                <w:vertAlign w:val="superscript"/>
              </w:rPr>
              <w:t>3</w:t>
            </w:r>
            <w:r>
              <w:rPr>
                <w:rFonts w:hint="eastAsia"/>
              </w:rPr>
              <w:t>，占标率为</w:t>
            </w:r>
            <w:r>
              <w:t>4.78</w:t>
            </w:r>
            <w:r>
              <w:rPr>
                <w:rFonts w:hint="eastAsia"/>
              </w:rPr>
              <w:t>%，对周边环境影响较小。</w:t>
            </w:r>
          </w:p>
          <w:p>
            <w:pPr>
              <w:pStyle w:val="37"/>
              <w:ind w:firstLine="480"/>
            </w:pPr>
            <w:r>
              <w:rPr>
                <w:rFonts w:hint="eastAsia"/>
              </w:rPr>
              <w:t>根据《环境影响评价技术导则大气环境》（HJ2.2-2018），污染物最大落地浓度占标率为</w:t>
            </w:r>
            <w:r>
              <w:t>4.78</w:t>
            </w:r>
            <w:r>
              <w:rPr>
                <w:rFonts w:hint="eastAsia"/>
              </w:rPr>
              <w:t>%，因此本次评价为二级评价，不需进一步预测，不需设置大气环境防护距离。</w:t>
            </w:r>
          </w:p>
          <w:p>
            <w:pPr>
              <w:pStyle w:val="37"/>
              <w:ind w:firstLine="480"/>
            </w:pPr>
            <w:r>
              <w:rPr>
                <w:rFonts w:hint="eastAsia"/>
              </w:rPr>
              <w:t>（2）无组织排放量核算</w:t>
            </w:r>
          </w:p>
          <w:p>
            <w:pPr>
              <w:pStyle w:val="37"/>
              <w:ind w:firstLine="480"/>
            </w:pPr>
            <w:r>
              <w:rPr>
                <w:rFonts w:hint="eastAsia"/>
              </w:rPr>
              <w:t>项目颗粒物无组织排放量核算如下：</w:t>
            </w:r>
          </w:p>
          <w:p>
            <w:pPr>
              <w:pStyle w:val="36"/>
            </w:pPr>
            <w:r>
              <w:rPr>
                <w:rFonts w:hint="eastAsia"/>
              </w:rPr>
              <w:t>表7-</w:t>
            </w:r>
            <w:r>
              <w:t>6</w:t>
            </w:r>
            <w:r>
              <w:rPr>
                <w:rFonts w:hint="eastAsia"/>
              </w:rPr>
              <w:t>大气污染物无组织排放量核算表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277"/>
              <w:gridCol w:w="1984"/>
              <w:gridCol w:w="2551"/>
              <w:gridCol w:w="1133"/>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23" w:type="pct"/>
                  <w:shd w:val="clear" w:color="auto" w:fill="auto"/>
                  <w:vAlign w:val="center"/>
                </w:tcPr>
                <w:p>
                  <w:pPr>
                    <w:pStyle w:val="47"/>
                  </w:pPr>
                  <w:r>
                    <w:rPr>
                      <w:rFonts w:hint="eastAsia"/>
                    </w:rPr>
                    <w:t>污染源</w:t>
                  </w:r>
                </w:p>
              </w:tc>
              <w:tc>
                <w:tcPr>
                  <w:tcW w:w="705" w:type="pct"/>
                  <w:shd w:val="clear" w:color="auto" w:fill="auto"/>
                  <w:vAlign w:val="center"/>
                </w:tcPr>
                <w:p>
                  <w:pPr>
                    <w:pStyle w:val="47"/>
                  </w:pPr>
                  <w:r>
                    <w:rPr>
                      <w:rFonts w:hint="eastAsia"/>
                    </w:rPr>
                    <w:t>污染物</w:t>
                  </w:r>
                </w:p>
              </w:tc>
              <w:tc>
                <w:tcPr>
                  <w:tcW w:w="1095" w:type="pct"/>
                  <w:shd w:val="clear" w:color="auto" w:fill="auto"/>
                  <w:vAlign w:val="center"/>
                </w:tcPr>
                <w:p>
                  <w:pPr>
                    <w:pStyle w:val="47"/>
                  </w:pPr>
                  <w:r>
                    <w:rPr>
                      <w:rFonts w:hint="eastAsia"/>
                    </w:rPr>
                    <w:t>主要污染防治措施</w:t>
                  </w:r>
                </w:p>
              </w:tc>
              <w:tc>
                <w:tcPr>
                  <w:tcW w:w="2033" w:type="pct"/>
                  <w:gridSpan w:val="2"/>
                  <w:shd w:val="clear" w:color="auto" w:fill="auto"/>
                  <w:vAlign w:val="center"/>
                </w:tcPr>
                <w:p>
                  <w:pPr>
                    <w:pStyle w:val="47"/>
                  </w:pPr>
                  <w:r>
                    <w:rPr>
                      <w:rFonts w:hint="eastAsia"/>
                    </w:rPr>
                    <w:t>《大气污染物综合排放标准》（GB16297-1996）中二级标准（mg/m</w:t>
                  </w:r>
                  <w:r>
                    <w:rPr>
                      <w:rFonts w:hint="eastAsia"/>
                      <w:vertAlign w:val="superscript"/>
                    </w:rPr>
                    <w:t>3</w:t>
                  </w:r>
                  <w:r>
                    <w:rPr>
                      <w:rFonts w:hint="eastAsia"/>
                    </w:rPr>
                    <w:t>）</w:t>
                  </w:r>
                </w:p>
              </w:tc>
              <w:tc>
                <w:tcPr>
                  <w:tcW w:w="544" w:type="pct"/>
                  <w:shd w:val="clear" w:color="auto" w:fill="auto"/>
                  <w:vAlign w:val="center"/>
                </w:tcPr>
                <w:p>
                  <w:pPr>
                    <w:pStyle w:val="47"/>
                  </w:pPr>
                  <w:r>
                    <w:rPr>
                      <w:rFonts w:hint="eastAsia"/>
                    </w:rPr>
                    <w:t>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shd w:val="clear" w:color="auto" w:fill="auto"/>
                  <w:vAlign w:val="center"/>
                </w:tcPr>
                <w:p>
                  <w:pPr>
                    <w:pStyle w:val="47"/>
                  </w:pPr>
                  <w:r>
                    <w:rPr>
                      <w:rFonts w:hint="eastAsia"/>
                    </w:rPr>
                    <w:t>原料堆场</w:t>
                  </w:r>
                </w:p>
              </w:tc>
              <w:tc>
                <w:tcPr>
                  <w:tcW w:w="705" w:type="pct"/>
                  <w:shd w:val="clear" w:color="auto" w:fill="auto"/>
                  <w:vAlign w:val="center"/>
                </w:tcPr>
                <w:p>
                  <w:pPr>
                    <w:pStyle w:val="47"/>
                  </w:pPr>
                  <w:r>
                    <w:rPr>
                      <w:rFonts w:hint="eastAsia"/>
                    </w:rPr>
                    <w:t>颗粒物</w:t>
                  </w:r>
                </w:p>
              </w:tc>
              <w:tc>
                <w:tcPr>
                  <w:tcW w:w="1095" w:type="pct"/>
                  <w:shd w:val="clear" w:color="auto" w:fill="auto"/>
                  <w:vAlign w:val="center"/>
                </w:tcPr>
                <w:p>
                  <w:pPr>
                    <w:pStyle w:val="47"/>
                  </w:pPr>
                  <w:r>
                    <w:rPr>
                      <w:rFonts w:hint="eastAsia"/>
                    </w:rPr>
                    <w:t>原料堆场搭棚，定期洒水降尘</w:t>
                  </w:r>
                </w:p>
              </w:tc>
              <w:tc>
                <w:tcPr>
                  <w:tcW w:w="1408" w:type="pct"/>
                  <w:shd w:val="clear" w:color="auto" w:fill="auto"/>
                  <w:vAlign w:val="center"/>
                </w:tcPr>
                <w:p>
                  <w:pPr>
                    <w:pStyle w:val="47"/>
                  </w:pPr>
                  <w:r>
                    <w:rPr>
                      <w:rFonts w:hint="eastAsia"/>
                    </w:rPr>
                    <w:t>周界外浓度最高点</w:t>
                  </w:r>
                </w:p>
              </w:tc>
              <w:tc>
                <w:tcPr>
                  <w:tcW w:w="625" w:type="pct"/>
                  <w:shd w:val="clear" w:color="auto" w:fill="auto"/>
                  <w:vAlign w:val="center"/>
                </w:tcPr>
                <w:p>
                  <w:pPr>
                    <w:pStyle w:val="47"/>
                  </w:pPr>
                  <w:r>
                    <w:rPr>
                      <w:rFonts w:hint="eastAsia"/>
                    </w:rPr>
                    <w:t>1.0</w:t>
                  </w:r>
                </w:p>
              </w:tc>
              <w:tc>
                <w:tcPr>
                  <w:tcW w:w="544" w:type="pct"/>
                  <w:shd w:val="clear" w:color="auto" w:fill="auto"/>
                  <w:vAlign w:val="center"/>
                </w:tcPr>
                <w:p>
                  <w:pPr>
                    <w:pStyle w:val="47"/>
                  </w:pPr>
                  <w:r>
                    <w:t>0.112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shd w:val="clear" w:color="auto" w:fill="auto"/>
                  <w:vAlign w:val="center"/>
                </w:tcPr>
                <w:p>
                  <w:pPr>
                    <w:pStyle w:val="47"/>
                  </w:pPr>
                  <w:r>
                    <w:rPr>
                      <w:rFonts w:hint="eastAsia"/>
                    </w:rPr>
                    <w:t>产品堆场</w:t>
                  </w:r>
                </w:p>
              </w:tc>
              <w:tc>
                <w:tcPr>
                  <w:tcW w:w="705" w:type="pct"/>
                  <w:shd w:val="clear" w:color="auto" w:fill="auto"/>
                  <w:vAlign w:val="center"/>
                </w:tcPr>
                <w:p>
                  <w:pPr>
                    <w:pStyle w:val="47"/>
                  </w:pPr>
                  <w:r>
                    <w:rPr>
                      <w:rFonts w:hint="eastAsia"/>
                    </w:rPr>
                    <w:t>颗粒物</w:t>
                  </w:r>
                </w:p>
              </w:tc>
              <w:tc>
                <w:tcPr>
                  <w:tcW w:w="1095" w:type="pct"/>
                  <w:shd w:val="clear" w:color="auto" w:fill="auto"/>
                  <w:vAlign w:val="center"/>
                </w:tcPr>
                <w:p>
                  <w:pPr>
                    <w:pStyle w:val="47"/>
                  </w:pPr>
                  <w:r>
                    <w:rPr>
                      <w:rFonts w:hint="eastAsia"/>
                    </w:rPr>
                    <w:t>采取洒水降尘</w:t>
                  </w:r>
                </w:p>
              </w:tc>
              <w:tc>
                <w:tcPr>
                  <w:tcW w:w="1408" w:type="pct"/>
                  <w:shd w:val="clear" w:color="auto" w:fill="auto"/>
                  <w:vAlign w:val="center"/>
                </w:tcPr>
                <w:p>
                  <w:pPr>
                    <w:pStyle w:val="47"/>
                  </w:pPr>
                  <w:r>
                    <w:rPr>
                      <w:rFonts w:hint="eastAsia"/>
                    </w:rPr>
                    <w:t>周界外浓度最高点</w:t>
                  </w:r>
                </w:p>
              </w:tc>
              <w:tc>
                <w:tcPr>
                  <w:tcW w:w="625" w:type="pct"/>
                  <w:shd w:val="clear" w:color="auto" w:fill="auto"/>
                  <w:vAlign w:val="center"/>
                </w:tcPr>
                <w:p>
                  <w:pPr>
                    <w:pStyle w:val="47"/>
                  </w:pPr>
                  <w:r>
                    <w:rPr>
                      <w:rFonts w:hint="eastAsia"/>
                    </w:rPr>
                    <w:t>1.0</w:t>
                  </w:r>
                </w:p>
              </w:tc>
              <w:tc>
                <w:tcPr>
                  <w:tcW w:w="544" w:type="pct"/>
                  <w:shd w:val="clear" w:color="auto" w:fill="auto"/>
                  <w:vAlign w:val="center"/>
                </w:tcPr>
                <w:p>
                  <w:pPr>
                    <w:pStyle w:val="47"/>
                  </w:pPr>
                  <w:r>
                    <w:rPr>
                      <w:rFonts w:hint="eastAsia"/>
                    </w:rPr>
                    <w:t>0.</w:t>
                  </w:r>
                  <w:r>
                    <w:t>15</w:t>
                  </w:r>
                </w:p>
              </w:tc>
            </w:tr>
          </w:tbl>
          <w:p>
            <w:pPr>
              <w:pStyle w:val="37"/>
              <w:ind w:firstLine="480"/>
            </w:pPr>
            <w:r>
              <w:t>为进一步减小无组织粉尘排放对周边环境的影响，评价要求建设单位规范建设原料堆场</w:t>
            </w:r>
            <w:r>
              <w:rPr>
                <w:rFonts w:hint="eastAsia"/>
              </w:rPr>
              <w:t>，</w:t>
            </w:r>
            <w:r>
              <w:t>产品全部堆存至产品仓库</w:t>
            </w:r>
            <w:r>
              <w:rPr>
                <w:rFonts w:hint="eastAsia"/>
              </w:rPr>
              <w:t>，</w:t>
            </w:r>
            <w:r>
              <w:t>不得露天堆放</w:t>
            </w:r>
            <w:r>
              <w:rPr>
                <w:rFonts w:hint="eastAsia"/>
              </w:rPr>
              <w:t>，厂区内设置移动式雾炮机，定期喷雾降尘。经采取上述措施，项目厂区无组织排放粉尘浓度最高点能够满足《大气污染物综合排放标准》（GB16297-1996）中颗粒物厂界外浓度最高点1.0mg/m</w:t>
            </w:r>
            <w:r>
              <w:rPr>
                <w:rFonts w:hint="eastAsia"/>
                <w:vertAlign w:val="superscript"/>
              </w:rPr>
              <w:t>3</w:t>
            </w:r>
            <w:r>
              <w:rPr>
                <w:rFonts w:hint="eastAsia"/>
              </w:rPr>
              <w:t>的要求，对周边环境影响较小。</w:t>
            </w:r>
          </w:p>
          <w:p>
            <w:pPr>
              <w:pStyle w:val="37"/>
              <w:ind w:firstLine="480"/>
            </w:pPr>
            <w:r>
              <w:rPr>
                <w:rFonts w:hint="eastAsia"/>
              </w:rPr>
              <w:t>综上所述，本项目运营期废气排放对周边环境影响较小。</w:t>
            </w:r>
          </w:p>
          <w:p>
            <w:pPr>
              <w:pStyle w:val="37"/>
              <w:ind w:firstLine="422"/>
              <w:jc w:val="center"/>
              <w:rPr>
                <w:b/>
                <w:bCs/>
                <w:kern w:val="0"/>
                <w:sz w:val="21"/>
              </w:rPr>
            </w:pPr>
            <w:r>
              <w:rPr>
                <w:rFonts w:hint="eastAsia"/>
                <w:b/>
                <w:bCs/>
                <w:kern w:val="0"/>
                <w:sz w:val="21"/>
              </w:rPr>
              <w:t>表7-7 建设项目大气环境影响评价自查表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2"/>
              <w:gridCol w:w="64"/>
              <w:gridCol w:w="1262"/>
              <w:gridCol w:w="1015"/>
              <w:gridCol w:w="152"/>
              <w:gridCol w:w="340"/>
              <w:gridCol w:w="269"/>
              <w:gridCol w:w="318"/>
              <w:gridCol w:w="685"/>
              <w:gridCol w:w="174"/>
              <w:gridCol w:w="621"/>
              <w:gridCol w:w="288"/>
              <w:gridCol w:w="512"/>
              <w:gridCol w:w="1139"/>
              <w:gridCol w:w="599"/>
              <w:gridCol w:w="187"/>
              <w:gridCol w:w="6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098" w:type="dxa"/>
                  <w:gridSpan w:val="3"/>
                  <w:vAlign w:val="center"/>
                </w:tcPr>
                <w:p>
                  <w:pPr>
                    <w:pStyle w:val="69"/>
                    <w:rPr>
                      <w:rFonts w:ascii="Times New Roman" w:hAnsi="Times New Roman"/>
                    </w:rPr>
                  </w:pPr>
                  <w:r>
                    <w:rPr>
                      <w:rFonts w:ascii="Times New Roman" w:hAnsi="Times New Roman"/>
                    </w:rPr>
                    <w:t>工作内容</w:t>
                  </w:r>
                </w:p>
              </w:tc>
              <w:tc>
                <w:tcPr>
                  <w:tcW w:w="6942" w:type="dxa"/>
                  <w:gridSpan w:val="14"/>
                  <w:vAlign w:val="center"/>
                </w:tcPr>
                <w:p>
                  <w:pPr>
                    <w:pStyle w:val="69"/>
                    <w:rPr>
                      <w:rFonts w:ascii="Times New Roman" w:hAnsi="Times New Roman"/>
                    </w:rPr>
                  </w:pPr>
                  <w:r>
                    <w:rPr>
                      <w:rFonts w:ascii="Times New Roman" w:hAnsi="Times New Roman"/>
                    </w:rPr>
                    <w:t>自查项目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6" w:type="dxa"/>
                  <w:gridSpan w:val="2"/>
                  <w:vMerge w:val="restart"/>
                  <w:vAlign w:val="center"/>
                </w:tcPr>
                <w:p>
                  <w:pPr>
                    <w:pStyle w:val="69"/>
                    <w:rPr>
                      <w:rFonts w:ascii="Times New Roman" w:hAnsi="Times New Roman"/>
                    </w:rPr>
                  </w:pPr>
                  <w:r>
                    <w:rPr>
                      <w:rFonts w:ascii="Times New Roman" w:hAnsi="Times New Roman"/>
                    </w:rPr>
                    <w:t>评价等级与范围</w:t>
                  </w:r>
                </w:p>
              </w:tc>
              <w:tc>
                <w:tcPr>
                  <w:tcW w:w="1262" w:type="dxa"/>
                  <w:vAlign w:val="center"/>
                </w:tcPr>
                <w:p>
                  <w:pPr>
                    <w:pStyle w:val="69"/>
                    <w:rPr>
                      <w:rFonts w:ascii="Times New Roman" w:hAnsi="Times New Roman"/>
                    </w:rPr>
                  </w:pPr>
                  <w:r>
                    <w:rPr>
                      <w:rFonts w:ascii="Times New Roman" w:hAnsi="Times New Roman"/>
                    </w:rPr>
                    <w:t>评价等级</w:t>
                  </w:r>
                </w:p>
              </w:tc>
              <w:tc>
                <w:tcPr>
                  <w:tcW w:w="2094" w:type="dxa"/>
                  <w:gridSpan w:val="5"/>
                  <w:vAlign w:val="center"/>
                </w:tcPr>
                <w:p>
                  <w:pPr>
                    <w:pStyle w:val="69"/>
                    <w:rPr>
                      <w:rFonts w:ascii="Times New Roman" w:hAnsi="Times New Roman"/>
                    </w:rPr>
                  </w:pPr>
                  <w:r>
                    <w:rPr>
                      <w:rFonts w:ascii="Times New Roman" w:hAnsi="Times New Roman"/>
                    </w:rPr>
                    <w:t>一级</w:t>
                  </w:r>
                </w:p>
              </w:tc>
              <w:tc>
                <w:tcPr>
                  <w:tcW w:w="2280" w:type="dxa"/>
                  <w:gridSpan w:val="5"/>
                  <w:vAlign w:val="center"/>
                </w:tcPr>
                <w:p>
                  <w:pPr>
                    <w:pStyle w:val="69"/>
                    <w:rPr>
                      <w:rFonts w:ascii="Times New Roman" w:hAnsi="Times New Roman"/>
                    </w:rPr>
                  </w:pPr>
                  <w:r>
                    <w:rPr>
                      <w:rFonts w:ascii="Times New Roman" w:hAnsi="Times New Roman"/>
                    </w:rPr>
                    <w:t>二级</w:t>
                  </w:r>
                </w:p>
              </w:tc>
              <w:tc>
                <w:tcPr>
                  <w:tcW w:w="2568" w:type="dxa"/>
                  <w:gridSpan w:val="4"/>
                  <w:vAlign w:val="center"/>
                </w:tcPr>
                <w:p>
                  <w:pPr>
                    <w:pStyle w:val="69"/>
                    <w:rPr>
                      <w:rFonts w:ascii="Times New Roman" w:hAnsi="Times New Roman"/>
                      <w:b/>
                    </w:rPr>
                  </w:pPr>
                  <w:r>
                    <w:rPr>
                      <w:rFonts w:ascii="Times New Roman" w:hAnsi="Times New Roman"/>
                      <w:b/>
                    </w:rPr>
                    <w:t>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6" w:type="dxa"/>
                  <w:gridSpan w:val="2"/>
                  <w:vMerge w:val="continue"/>
                  <w:vAlign w:val="center"/>
                </w:tcPr>
                <w:p>
                  <w:pPr>
                    <w:pStyle w:val="69"/>
                    <w:rPr>
                      <w:rFonts w:ascii="Times New Roman" w:hAnsi="Times New Roman"/>
                    </w:rPr>
                  </w:pPr>
                </w:p>
              </w:tc>
              <w:tc>
                <w:tcPr>
                  <w:tcW w:w="1262" w:type="dxa"/>
                  <w:vAlign w:val="center"/>
                </w:tcPr>
                <w:p>
                  <w:pPr>
                    <w:pStyle w:val="69"/>
                    <w:rPr>
                      <w:rFonts w:ascii="Times New Roman" w:hAnsi="Times New Roman"/>
                    </w:rPr>
                  </w:pPr>
                  <w:r>
                    <w:rPr>
                      <w:rFonts w:ascii="Times New Roman" w:hAnsi="Times New Roman"/>
                    </w:rPr>
                    <w:t>评价范围</w:t>
                  </w:r>
                </w:p>
              </w:tc>
              <w:tc>
                <w:tcPr>
                  <w:tcW w:w="2094" w:type="dxa"/>
                  <w:gridSpan w:val="5"/>
                  <w:vAlign w:val="center"/>
                </w:tcPr>
                <w:p>
                  <w:pPr>
                    <w:pStyle w:val="69"/>
                    <w:rPr>
                      <w:rFonts w:ascii="Times New Roman" w:hAnsi="Times New Roman"/>
                    </w:rPr>
                  </w:pPr>
                  <w:r>
                    <w:rPr>
                      <w:rFonts w:ascii="Times New Roman" w:hAnsi="Times New Roman"/>
                    </w:rPr>
                    <w:t>边长=50km</w:t>
                  </w:r>
                </w:p>
              </w:tc>
              <w:tc>
                <w:tcPr>
                  <w:tcW w:w="2280" w:type="dxa"/>
                  <w:gridSpan w:val="5"/>
                  <w:vAlign w:val="center"/>
                </w:tcPr>
                <w:p>
                  <w:pPr>
                    <w:pStyle w:val="69"/>
                    <w:rPr>
                      <w:rFonts w:ascii="Times New Roman" w:hAnsi="Times New Roman"/>
                    </w:rPr>
                  </w:pPr>
                  <w:r>
                    <w:rPr>
                      <w:rFonts w:ascii="Times New Roman" w:hAnsi="Times New Roman"/>
                    </w:rPr>
                    <w:t>边长5~50km</w:t>
                  </w:r>
                </w:p>
              </w:tc>
              <w:tc>
                <w:tcPr>
                  <w:tcW w:w="2568" w:type="dxa"/>
                  <w:gridSpan w:val="4"/>
                  <w:vAlign w:val="center"/>
                </w:tcPr>
                <w:p>
                  <w:pPr>
                    <w:pStyle w:val="69"/>
                    <w:rPr>
                      <w:rFonts w:ascii="Times New Roman" w:hAnsi="Times New Roman"/>
                      <w:b/>
                    </w:rPr>
                  </w:pPr>
                  <w:r>
                    <w:rPr>
                      <w:rFonts w:ascii="Times New Roman" w:hAnsi="Times New Roman"/>
                      <w:b/>
                    </w:rPr>
                    <w:t>边长=5km√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6" w:type="dxa"/>
                  <w:gridSpan w:val="2"/>
                  <w:vMerge w:val="restart"/>
                  <w:vAlign w:val="center"/>
                </w:tcPr>
                <w:p>
                  <w:pPr>
                    <w:pStyle w:val="69"/>
                    <w:rPr>
                      <w:rFonts w:ascii="Times New Roman" w:hAnsi="Times New Roman"/>
                    </w:rPr>
                  </w:pPr>
                  <w:r>
                    <w:rPr>
                      <w:rFonts w:ascii="Times New Roman" w:hAnsi="Times New Roman"/>
                    </w:rPr>
                    <w:t>评价因子</w:t>
                  </w:r>
                </w:p>
              </w:tc>
              <w:tc>
                <w:tcPr>
                  <w:tcW w:w="1262" w:type="dxa"/>
                  <w:vAlign w:val="center"/>
                </w:tcPr>
                <w:p>
                  <w:pPr>
                    <w:pStyle w:val="69"/>
                    <w:rPr>
                      <w:rFonts w:ascii="Times New Roman" w:hAnsi="Times New Roman"/>
                    </w:rPr>
                  </w:pPr>
                  <w:r>
                    <w:rPr>
                      <w:rFonts w:ascii="Times New Roman" w:hAnsi="Times New Roman"/>
                    </w:rPr>
                    <w:t>SO</w:t>
                  </w:r>
                  <w:r>
                    <w:rPr>
                      <w:rFonts w:ascii="Times New Roman" w:hAnsi="Times New Roman"/>
                      <w:vertAlign w:val="subscript"/>
                    </w:rPr>
                    <w:t>2</w:t>
                  </w:r>
                  <w:r>
                    <w:rPr>
                      <w:rFonts w:ascii="Times New Roman" w:hAnsi="Times New Roman"/>
                    </w:rPr>
                    <w:t>+NOx排放量</w:t>
                  </w:r>
                </w:p>
              </w:tc>
              <w:tc>
                <w:tcPr>
                  <w:tcW w:w="2094" w:type="dxa"/>
                  <w:gridSpan w:val="5"/>
                  <w:vAlign w:val="center"/>
                </w:tcPr>
                <w:p>
                  <w:pPr>
                    <w:pStyle w:val="69"/>
                    <w:rPr>
                      <w:rFonts w:ascii="Times New Roman" w:hAnsi="Times New Roman"/>
                    </w:rPr>
                  </w:pPr>
                  <w:r>
                    <w:rPr>
                      <w:rFonts w:ascii="Times New Roman" w:hAnsi="Times New Roman"/>
                    </w:rPr>
                    <w:t>≥2000t/a</w:t>
                  </w:r>
                </w:p>
              </w:tc>
              <w:tc>
                <w:tcPr>
                  <w:tcW w:w="2280" w:type="dxa"/>
                  <w:gridSpan w:val="5"/>
                  <w:vAlign w:val="center"/>
                </w:tcPr>
                <w:p>
                  <w:pPr>
                    <w:pStyle w:val="69"/>
                    <w:rPr>
                      <w:rFonts w:ascii="Times New Roman" w:hAnsi="Times New Roman"/>
                    </w:rPr>
                  </w:pPr>
                  <w:r>
                    <w:rPr>
                      <w:rFonts w:ascii="Times New Roman" w:hAnsi="Times New Roman"/>
                    </w:rPr>
                    <w:t>500~2000t/a</w:t>
                  </w:r>
                </w:p>
              </w:tc>
              <w:tc>
                <w:tcPr>
                  <w:tcW w:w="2568" w:type="dxa"/>
                  <w:gridSpan w:val="4"/>
                  <w:vAlign w:val="center"/>
                </w:tcPr>
                <w:p>
                  <w:pPr>
                    <w:pStyle w:val="69"/>
                    <w:rPr>
                      <w:rFonts w:ascii="Times New Roman" w:hAnsi="Times New Roman"/>
                    </w:rPr>
                  </w:pPr>
                  <w:r>
                    <w:rPr>
                      <w:rFonts w:ascii="Times New Roman" w:hAnsi="Times New Roman"/>
                      <w:b/>
                    </w:rPr>
                    <w:t>＜500t/a√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836" w:type="dxa"/>
                  <w:gridSpan w:val="2"/>
                  <w:vMerge w:val="continue"/>
                  <w:vAlign w:val="center"/>
                </w:tcPr>
                <w:p>
                  <w:pPr>
                    <w:pStyle w:val="69"/>
                    <w:rPr>
                      <w:rFonts w:ascii="Times New Roman" w:hAnsi="Times New Roman"/>
                    </w:rPr>
                  </w:pPr>
                </w:p>
              </w:tc>
              <w:tc>
                <w:tcPr>
                  <w:tcW w:w="1262" w:type="dxa"/>
                  <w:vAlign w:val="center"/>
                </w:tcPr>
                <w:p>
                  <w:pPr>
                    <w:pStyle w:val="69"/>
                    <w:rPr>
                      <w:rFonts w:ascii="Times New Roman" w:hAnsi="Times New Roman"/>
                    </w:rPr>
                  </w:pPr>
                  <w:r>
                    <w:rPr>
                      <w:rFonts w:ascii="Times New Roman" w:hAnsi="Times New Roman"/>
                    </w:rPr>
                    <w:t>评价因子</w:t>
                  </w:r>
                </w:p>
              </w:tc>
              <w:tc>
                <w:tcPr>
                  <w:tcW w:w="4374" w:type="dxa"/>
                  <w:gridSpan w:val="10"/>
                  <w:vAlign w:val="center"/>
                </w:tcPr>
                <w:p>
                  <w:pPr>
                    <w:pStyle w:val="69"/>
                    <w:rPr>
                      <w:rFonts w:ascii="Times New Roman" w:hAnsi="Times New Roman"/>
                    </w:rPr>
                  </w:pPr>
                  <w:r>
                    <w:rPr>
                      <w:rFonts w:ascii="Times New Roman" w:hAnsi="Times New Roman"/>
                    </w:rPr>
                    <w:t>基本污染物（</w:t>
                  </w:r>
                  <w:r>
                    <w:rPr>
                      <w:rFonts w:hint="eastAsia" w:ascii="Times New Roman" w:hAnsi="Times New Roman"/>
                    </w:rPr>
                    <w:t>颗粒物</w:t>
                  </w:r>
                  <w:r>
                    <w:rPr>
                      <w:rFonts w:ascii="Times New Roman" w:hAnsi="Times New Roman"/>
                    </w:rPr>
                    <w:t>）</w:t>
                  </w:r>
                </w:p>
                <w:p>
                  <w:pPr>
                    <w:pStyle w:val="69"/>
                    <w:rPr>
                      <w:rFonts w:ascii="Times New Roman" w:hAnsi="Times New Roman"/>
                    </w:rPr>
                  </w:pPr>
                  <w:r>
                    <w:rPr>
                      <w:rFonts w:ascii="Times New Roman" w:hAnsi="Times New Roman"/>
                    </w:rPr>
                    <w:t>其他污染物（</w:t>
                  </w:r>
                  <w:r>
                    <w:rPr>
                      <w:rFonts w:hint="eastAsia"/>
                    </w:rPr>
                    <w:t xml:space="preserve">  </w:t>
                  </w:r>
                  <w:r>
                    <w:rPr>
                      <w:rFonts w:ascii="Times New Roman" w:hAnsi="Times New Roman"/>
                    </w:rPr>
                    <w:t>）</w:t>
                  </w:r>
                </w:p>
              </w:tc>
              <w:tc>
                <w:tcPr>
                  <w:tcW w:w="2568" w:type="dxa"/>
                  <w:gridSpan w:val="4"/>
                  <w:vAlign w:val="center"/>
                </w:tcPr>
                <w:p>
                  <w:pPr>
                    <w:pStyle w:val="69"/>
                    <w:rPr>
                      <w:rFonts w:ascii="Times New Roman" w:hAnsi="Times New Roman"/>
                      <w:vertAlign w:val="subscript"/>
                    </w:rPr>
                  </w:pPr>
                  <w:r>
                    <w:rPr>
                      <w:rFonts w:ascii="Times New Roman" w:hAnsi="Times New Roman"/>
                    </w:rPr>
                    <w:t>包括二次PM</w:t>
                  </w:r>
                  <w:r>
                    <w:rPr>
                      <w:rFonts w:ascii="Times New Roman" w:hAnsi="Times New Roman"/>
                      <w:vertAlign w:val="subscript"/>
                    </w:rPr>
                    <w:t>2.5</w:t>
                  </w:r>
                </w:p>
                <w:p>
                  <w:pPr>
                    <w:pStyle w:val="69"/>
                    <w:rPr>
                      <w:rFonts w:ascii="Times New Roman" w:hAnsi="Times New Roman"/>
                      <w:b/>
                    </w:rPr>
                  </w:pPr>
                  <w:r>
                    <w:rPr>
                      <w:rFonts w:ascii="Times New Roman" w:hAnsi="Times New Roman"/>
                      <w:b/>
                    </w:rPr>
                    <w:t>不包括二次PM</w:t>
                  </w:r>
                  <w:r>
                    <w:rPr>
                      <w:rFonts w:ascii="Times New Roman" w:hAnsi="Times New Roman"/>
                      <w:b/>
                      <w:vertAlign w:val="subscript"/>
                    </w:rPr>
                    <w:t>2.5</w:t>
                  </w:r>
                  <w:r>
                    <w:rPr>
                      <w:rFonts w:ascii="Times New Roman" w:hAnsi="Times New Roman"/>
                      <w:b/>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2098" w:type="dxa"/>
                  <w:gridSpan w:val="3"/>
                  <w:vAlign w:val="center"/>
                </w:tcPr>
                <w:p>
                  <w:pPr>
                    <w:pStyle w:val="69"/>
                    <w:rPr>
                      <w:rFonts w:ascii="Times New Roman" w:hAnsi="Times New Roman"/>
                    </w:rPr>
                  </w:pPr>
                  <w:r>
                    <w:rPr>
                      <w:rFonts w:ascii="Times New Roman" w:hAnsi="Times New Roman"/>
                    </w:rPr>
                    <w:t>评价标准</w:t>
                  </w:r>
                </w:p>
              </w:tc>
              <w:tc>
                <w:tcPr>
                  <w:tcW w:w="1776" w:type="dxa"/>
                  <w:gridSpan w:val="4"/>
                  <w:vAlign w:val="center"/>
                </w:tcPr>
                <w:p>
                  <w:pPr>
                    <w:pStyle w:val="69"/>
                    <w:rPr>
                      <w:rFonts w:ascii="Times New Roman" w:hAnsi="Times New Roman"/>
                      <w:b/>
                    </w:rPr>
                  </w:pPr>
                  <w:r>
                    <w:rPr>
                      <w:rFonts w:ascii="Times New Roman" w:hAnsi="Times New Roman"/>
                      <w:b/>
                    </w:rPr>
                    <w:t>国家标准√</w:t>
                  </w:r>
                </w:p>
              </w:tc>
              <w:tc>
                <w:tcPr>
                  <w:tcW w:w="1798" w:type="dxa"/>
                  <w:gridSpan w:val="4"/>
                  <w:vAlign w:val="center"/>
                </w:tcPr>
                <w:p>
                  <w:pPr>
                    <w:pStyle w:val="69"/>
                    <w:rPr>
                      <w:rFonts w:ascii="Times New Roman" w:hAnsi="Times New Roman"/>
                    </w:rPr>
                  </w:pPr>
                  <w:r>
                    <w:rPr>
                      <w:rFonts w:ascii="Times New Roman" w:hAnsi="Times New Roman"/>
                    </w:rPr>
                    <w:t>地方标准</w:t>
                  </w:r>
                </w:p>
              </w:tc>
              <w:tc>
                <w:tcPr>
                  <w:tcW w:w="1939" w:type="dxa"/>
                  <w:gridSpan w:val="3"/>
                  <w:vAlign w:val="center"/>
                </w:tcPr>
                <w:p>
                  <w:pPr>
                    <w:pStyle w:val="69"/>
                    <w:rPr>
                      <w:rFonts w:ascii="Times New Roman" w:hAnsi="Times New Roman"/>
                    </w:rPr>
                  </w:pPr>
                  <w:r>
                    <w:rPr>
                      <w:rFonts w:ascii="Times New Roman" w:hAnsi="Times New Roman"/>
                    </w:rPr>
                    <w:t>附录D</w:t>
                  </w:r>
                </w:p>
              </w:tc>
              <w:tc>
                <w:tcPr>
                  <w:tcW w:w="1429" w:type="dxa"/>
                  <w:gridSpan w:val="3"/>
                  <w:vAlign w:val="center"/>
                </w:tcPr>
                <w:p>
                  <w:pPr>
                    <w:pStyle w:val="69"/>
                    <w:rPr>
                      <w:rFonts w:ascii="Times New Roman" w:hAnsi="Times New Roman"/>
                      <w:b/>
                    </w:rPr>
                  </w:pPr>
                  <w:r>
                    <w:rPr>
                      <w:rFonts w:ascii="Times New Roman" w:hAnsi="Times New Roman"/>
                      <w:b/>
                    </w:rPr>
                    <w:t>其他标准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restart"/>
                  <w:vAlign w:val="center"/>
                </w:tcPr>
                <w:p>
                  <w:pPr>
                    <w:pStyle w:val="69"/>
                    <w:rPr>
                      <w:rFonts w:ascii="Times New Roman" w:hAnsi="Times New Roman"/>
                    </w:rPr>
                  </w:pPr>
                  <w:r>
                    <w:rPr>
                      <w:rFonts w:ascii="Times New Roman" w:hAnsi="Times New Roman"/>
                    </w:rPr>
                    <w:t>现状评价</w:t>
                  </w:r>
                </w:p>
              </w:tc>
              <w:tc>
                <w:tcPr>
                  <w:tcW w:w="1326" w:type="dxa"/>
                  <w:gridSpan w:val="2"/>
                  <w:vAlign w:val="center"/>
                </w:tcPr>
                <w:p>
                  <w:pPr>
                    <w:pStyle w:val="69"/>
                    <w:rPr>
                      <w:rFonts w:ascii="Times New Roman" w:hAnsi="Times New Roman"/>
                    </w:rPr>
                  </w:pPr>
                  <w:r>
                    <w:rPr>
                      <w:rFonts w:ascii="Times New Roman" w:hAnsi="Times New Roman"/>
                    </w:rPr>
                    <w:t>环境功能区</w:t>
                  </w:r>
                </w:p>
              </w:tc>
              <w:tc>
                <w:tcPr>
                  <w:tcW w:w="2094" w:type="dxa"/>
                  <w:gridSpan w:val="5"/>
                  <w:vAlign w:val="center"/>
                </w:tcPr>
                <w:p>
                  <w:pPr>
                    <w:pStyle w:val="69"/>
                    <w:rPr>
                      <w:rFonts w:ascii="Times New Roman" w:hAnsi="Times New Roman"/>
                    </w:rPr>
                  </w:pPr>
                  <w:r>
                    <w:rPr>
                      <w:rFonts w:ascii="Times New Roman" w:hAnsi="Times New Roman"/>
                    </w:rPr>
                    <w:t>一类区</w:t>
                  </w:r>
                </w:p>
              </w:tc>
              <w:tc>
                <w:tcPr>
                  <w:tcW w:w="2280" w:type="dxa"/>
                  <w:gridSpan w:val="5"/>
                  <w:vAlign w:val="center"/>
                </w:tcPr>
                <w:p>
                  <w:pPr>
                    <w:pStyle w:val="69"/>
                    <w:rPr>
                      <w:rFonts w:ascii="Times New Roman" w:hAnsi="Times New Roman"/>
                      <w:b/>
                    </w:rPr>
                  </w:pPr>
                  <w:r>
                    <w:rPr>
                      <w:rFonts w:ascii="Times New Roman" w:hAnsi="Times New Roman"/>
                      <w:b/>
                    </w:rPr>
                    <w:t>二类区√</w:t>
                  </w:r>
                </w:p>
              </w:tc>
              <w:tc>
                <w:tcPr>
                  <w:tcW w:w="2568" w:type="dxa"/>
                  <w:gridSpan w:val="4"/>
                  <w:vAlign w:val="center"/>
                </w:tcPr>
                <w:p>
                  <w:pPr>
                    <w:pStyle w:val="69"/>
                    <w:rPr>
                      <w:rFonts w:ascii="Times New Roman" w:hAnsi="Times New Roman"/>
                    </w:rPr>
                  </w:pPr>
                  <w:r>
                    <w:rPr>
                      <w:rFonts w:ascii="Times New Roman" w:hAnsi="Times New Roman"/>
                    </w:rPr>
                    <w:t>一类区和二类区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评价基准年</w:t>
                  </w:r>
                </w:p>
              </w:tc>
              <w:tc>
                <w:tcPr>
                  <w:tcW w:w="6942" w:type="dxa"/>
                  <w:gridSpan w:val="14"/>
                  <w:vAlign w:val="center"/>
                </w:tcPr>
                <w:p>
                  <w:pPr>
                    <w:pStyle w:val="69"/>
                    <w:rPr>
                      <w:rFonts w:ascii="Times New Roman" w:hAnsi="Times New Roman"/>
                    </w:rPr>
                  </w:pPr>
                  <w:r>
                    <w:rPr>
                      <w:rFonts w:ascii="Times New Roman" w:hAnsi="Times New Roman"/>
                    </w:rPr>
                    <w:t>[201</w:t>
                  </w:r>
                  <w:r>
                    <w:rPr>
                      <w:rFonts w:hint="eastAsia" w:ascii="Times New Roman" w:hAnsi="Times New Roman"/>
                    </w:rPr>
                    <w:t>8</w:t>
                  </w:r>
                  <w:r>
                    <w:rPr>
                      <w:rFonts w:ascii="Times New Roman" w:hAnsi="Times New Roman"/>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环境空气质量现状调查数据来源</w:t>
                  </w:r>
                </w:p>
              </w:tc>
              <w:tc>
                <w:tcPr>
                  <w:tcW w:w="2094" w:type="dxa"/>
                  <w:gridSpan w:val="5"/>
                  <w:vAlign w:val="center"/>
                </w:tcPr>
                <w:p>
                  <w:pPr>
                    <w:pStyle w:val="69"/>
                    <w:rPr>
                      <w:rFonts w:ascii="Times New Roman" w:hAnsi="Times New Roman"/>
                    </w:rPr>
                  </w:pPr>
                  <w:r>
                    <w:rPr>
                      <w:rFonts w:ascii="Times New Roman" w:hAnsi="Times New Roman"/>
                    </w:rPr>
                    <w:t>长期例行监测数据</w:t>
                  </w:r>
                </w:p>
              </w:tc>
              <w:tc>
                <w:tcPr>
                  <w:tcW w:w="2280" w:type="dxa"/>
                  <w:gridSpan w:val="5"/>
                  <w:vAlign w:val="center"/>
                </w:tcPr>
                <w:p>
                  <w:pPr>
                    <w:pStyle w:val="69"/>
                    <w:rPr>
                      <w:rFonts w:ascii="Times New Roman" w:hAnsi="Times New Roman"/>
                      <w:b/>
                    </w:rPr>
                  </w:pPr>
                  <w:r>
                    <w:rPr>
                      <w:rFonts w:ascii="Times New Roman" w:hAnsi="Times New Roman"/>
                      <w:b/>
                    </w:rPr>
                    <w:t>主管部门发布的数据√</w:t>
                  </w:r>
                </w:p>
              </w:tc>
              <w:tc>
                <w:tcPr>
                  <w:tcW w:w="2568" w:type="dxa"/>
                  <w:gridSpan w:val="4"/>
                  <w:vAlign w:val="center"/>
                </w:tcPr>
                <w:p>
                  <w:pPr>
                    <w:pStyle w:val="69"/>
                    <w:rPr>
                      <w:rFonts w:ascii="Times New Roman" w:hAnsi="Times New Roman"/>
                      <w:b/>
                    </w:rPr>
                  </w:pPr>
                  <w:r>
                    <w:rPr>
                      <w:rFonts w:ascii="Times New Roman" w:hAnsi="Times New Roman"/>
                      <w:b/>
                    </w:rPr>
                    <w:t>现状补充监测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现状评价</w:t>
                  </w:r>
                </w:p>
              </w:tc>
              <w:tc>
                <w:tcPr>
                  <w:tcW w:w="2953" w:type="dxa"/>
                  <w:gridSpan w:val="7"/>
                  <w:vAlign w:val="center"/>
                </w:tcPr>
                <w:p>
                  <w:pPr>
                    <w:pStyle w:val="69"/>
                    <w:rPr>
                      <w:rFonts w:ascii="Times New Roman" w:hAnsi="Times New Roman"/>
                      <w:b/>
                    </w:rPr>
                  </w:pPr>
                  <w:r>
                    <w:rPr>
                      <w:rFonts w:ascii="Times New Roman" w:hAnsi="Times New Roman"/>
                      <w:b/>
                    </w:rPr>
                    <w:t>达标区√</w:t>
                  </w:r>
                </w:p>
              </w:tc>
              <w:tc>
                <w:tcPr>
                  <w:tcW w:w="3989" w:type="dxa"/>
                  <w:gridSpan w:val="7"/>
                  <w:vAlign w:val="center"/>
                </w:tcPr>
                <w:p>
                  <w:pPr>
                    <w:pStyle w:val="69"/>
                    <w:rPr>
                      <w:rFonts w:ascii="Times New Roman" w:hAnsi="Times New Roman"/>
                    </w:rPr>
                  </w:pPr>
                  <w:r>
                    <w:rPr>
                      <w:rFonts w:ascii="Times New Roman" w:hAnsi="Times New Roman"/>
                    </w:rPr>
                    <w:t>不达标区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Align w:val="center"/>
                </w:tcPr>
                <w:p>
                  <w:pPr>
                    <w:pStyle w:val="69"/>
                    <w:rPr>
                      <w:rFonts w:ascii="Times New Roman" w:hAnsi="Times New Roman"/>
                    </w:rPr>
                  </w:pPr>
                  <w:r>
                    <w:rPr>
                      <w:rFonts w:ascii="Times New Roman" w:hAnsi="Times New Roman"/>
                    </w:rPr>
                    <w:t>污染源调查</w:t>
                  </w:r>
                </w:p>
              </w:tc>
              <w:tc>
                <w:tcPr>
                  <w:tcW w:w="1326" w:type="dxa"/>
                  <w:gridSpan w:val="2"/>
                  <w:vAlign w:val="center"/>
                </w:tcPr>
                <w:p>
                  <w:pPr>
                    <w:pStyle w:val="69"/>
                    <w:rPr>
                      <w:rFonts w:ascii="Times New Roman" w:hAnsi="Times New Roman"/>
                    </w:rPr>
                  </w:pPr>
                  <w:r>
                    <w:rPr>
                      <w:rFonts w:ascii="Times New Roman" w:hAnsi="Times New Roman"/>
                    </w:rPr>
                    <w:t>调查内容</w:t>
                  </w:r>
                </w:p>
              </w:tc>
              <w:tc>
                <w:tcPr>
                  <w:tcW w:w="2094" w:type="dxa"/>
                  <w:gridSpan w:val="5"/>
                  <w:vAlign w:val="center"/>
                </w:tcPr>
                <w:p>
                  <w:pPr>
                    <w:pStyle w:val="69"/>
                    <w:rPr>
                      <w:rFonts w:ascii="Times New Roman" w:hAnsi="Times New Roman"/>
                      <w:b/>
                    </w:rPr>
                  </w:pPr>
                  <w:r>
                    <w:rPr>
                      <w:rFonts w:ascii="Times New Roman" w:hAnsi="Times New Roman"/>
                      <w:b/>
                    </w:rPr>
                    <w:t>本项目正常排放源√</w:t>
                  </w:r>
                </w:p>
                <w:p>
                  <w:pPr>
                    <w:pStyle w:val="69"/>
                    <w:rPr>
                      <w:rFonts w:ascii="Times New Roman" w:hAnsi="Times New Roman"/>
                    </w:rPr>
                  </w:pPr>
                  <w:r>
                    <w:rPr>
                      <w:rFonts w:ascii="Times New Roman" w:hAnsi="Times New Roman"/>
                    </w:rPr>
                    <w:t>本项目非正常排放源</w:t>
                  </w:r>
                </w:p>
                <w:p>
                  <w:pPr>
                    <w:pStyle w:val="69"/>
                    <w:rPr>
                      <w:rFonts w:ascii="Times New Roman" w:hAnsi="Times New Roman"/>
                    </w:rPr>
                  </w:pPr>
                  <w:r>
                    <w:rPr>
                      <w:rFonts w:ascii="Times New Roman" w:hAnsi="Times New Roman"/>
                      <w:b/>
                    </w:rPr>
                    <w:t>现有污染源</w:t>
                  </w:r>
                </w:p>
              </w:tc>
              <w:tc>
                <w:tcPr>
                  <w:tcW w:w="1768" w:type="dxa"/>
                  <w:gridSpan w:val="4"/>
                  <w:vAlign w:val="center"/>
                </w:tcPr>
                <w:p>
                  <w:pPr>
                    <w:pStyle w:val="69"/>
                    <w:rPr>
                      <w:rFonts w:ascii="Times New Roman" w:hAnsi="Times New Roman"/>
                    </w:rPr>
                  </w:pPr>
                  <w:r>
                    <w:rPr>
                      <w:rFonts w:ascii="Times New Roman" w:hAnsi="Times New Roman"/>
                    </w:rPr>
                    <w:t>拟替代的污染源</w:t>
                  </w:r>
                </w:p>
              </w:tc>
              <w:tc>
                <w:tcPr>
                  <w:tcW w:w="2250" w:type="dxa"/>
                  <w:gridSpan w:val="3"/>
                  <w:vAlign w:val="center"/>
                </w:tcPr>
                <w:p>
                  <w:pPr>
                    <w:pStyle w:val="69"/>
                    <w:rPr>
                      <w:rFonts w:ascii="Times New Roman" w:hAnsi="Times New Roman"/>
                    </w:rPr>
                  </w:pPr>
                  <w:r>
                    <w:rPr>
                      <w:rFonts w:ascii="Times New Roman" w:hAnsi="Times New Roman"/>
                    </w:rPr>
                    <w:t>其他在建、拟建项目污染源</w:t>
                  </w:r>
                </w:p>
              </w:tc>
              <w:tc>
                <w:tcPr>
                  <w:tcW w:w="830" w:type="dxa"/>
                  <w:gridSpan w:val="2"/>
                  <w:vAlign w:val="center"/>
                </w:tcPr>
                <w:p>
                  <w:pPr>
                    <w:pStyle w:val="69"/>
                    <w:rPr>
                      <w:rFonts w:ascii="Times New Roman" w:hAnsi="Times New Roman"/>
                    </w:rPr>
                  </w:pPr>
                  <w:r>
                    <w:rPr>
                      <w:rFonts w:ascii="Times New Roman" w:hAnsi="Times New Roman"/>
                    </w:rPr>
                    <w:t>区域污染源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restart"/>
                  <w:vAlign w:val="center"/>
                </w:tcPr>
                <w:p>
                  <w:pPr>
                    <w:pStyle w:val="69"/>
                    <w:rPr>
                      <w:rFonts w:ascii="Times New Roman" w:hAnsi="Times New Roman"/>
                    </w:rPr>
                  </w:pPr>
                  <w:r>
                    <w:rPr>
                      <w:rFonts w:ascii="Times New Roman" w:hAnsi="Times New Roman"/>
                    </w:rPr>
                    <w:t>大气环境影响预测与评价</w:t>
                  </w:r>
                </w:p>
              </w:tc>
              <w:tc>
                <w:tcPr>
                  <w:tcW w:w="1326" w:type="dxa"/>
                  <w:gridSpan w:val="2"/>
                  <w:vAlign w:val="center"/>
                </w:tcPr>
                <w:p>
                  <w:pPr>
                    <w:pStyle w:val="69"/>
                    <w:rPr>
                      <w:rFonts w:ascii="Times New Roman" w:hAnsi="Times New Roman"/>
                    </w:rPr>
                  </w:pPr>
                  <w:r>
                    <w:rPr>
                      <w:rFonts w:ascii="Times New Roman" w:hAnsi="Times New Roman"/>
                    </w:rPr>
                    <w:t>预测模型</w:t>
                  </w:r>
                </w:p>
              </w:tc>
              <w:tc>
                <w:tcPr>
                  <w:tcW w:w="1167" w:type="dxa"/>
                  <w:gridSpan w:val="2"/>
                  <w:vAlign w:val="center"/>
                </w:tcPr>
                <w:p>
                  <w:pPr>
                    <w:pStyle w:val="69"/>
                    <w:rPr>
                      <w:rFonts w:ascii="Times New Roman" w:hAnsi="Times New Roman"/>
                    </w:rPr>
                  </w:pPr>
                  <w:r>
                    <w:rPr>
                      <w:rFonts w:ascii="Times New Roman" w:hAnsi="Times New Roman"/>
                    </w:rPr>
                    <w:t>AERMOD</w:t>
                  </w:r>
                </w:p>
              </w:tc>
              <w:tc>
                <w:tcPr>
                  <w:tcW w:w="927" w:type="dxa"/>
                  <w:gridSpan w:val="3"/>
                  <w:vAlign w:val="center"/>
                </w:tcPr>
                <w:p>
                  <w:pPr>
                    <w:pStyle w:val="69"/>
                    <w:rPr>
                      <w:rFonts w:ascii="Times New Roman" w:hAnsi="Times New Roman"/>
                    </w:rPr>
                  </w:pPr>
                  <w:r>
                    <w:rPr>
                      <w:rFonts w:ascii="Times New Roman" w:hAnsi="Times New Roman"/>
                    </w:rPr>
                    <w:t>ADMS</w:t>
                  </w:r>
                </w:p>
              </w:tc>
              <w:tc>
                <w:tcPr>
                  <w:tcW w:w="1480" w:type="dxa"/>
                  <w:gridSpan w:val="3"/>
                  <w:vAlign w:val="center"/>
                </w:tcPr>
                <w:p>
                  <w:pPr>
                    <w:pStyle w:val="69"/>
                    <w:rPr>
                      <w:rFonts w:ascii="Times New Roman" w:hAnsi="Times New Roman"/>
                    </w:rPr>
                  </w:pPr>
                  <w:r>
                    <w:rPr>
                      <w:rFonts w:ascii="Times New Roman" w:hAnsi="Times New Roman"/>
                    </w:rPr>
                    <w:t>AUSTAL</w:t>
                  </w:r>
                </w:p>
                <w:p>
                  <w:pPr>
                    <w:pStyle w:val="69"/>
                    <w:rPr>
                      <w:rFonts w:ascii="Times New Roman" w:hAnsi="Times New Roman"/>
                    </w:rPr>
                  </w:pPr>
                  <w:r>
                    <w:rPr>
                      <w:rFonts w:ascii="Times New Roman" w:hAnsi="Times New Roman"/>
                    </w:rPr>
                    <w:t>2000</w:t>
                  </w:r>
                </w:p>
              </w:tc>
              <w:tc>
                <w:tcPr>
                  <w:tcW w:w="800" w:type="dxa"/>
                  <w:gridSpan w:val="2"/>
                  <w:vAlign w:val="center"/>
                </w:tcPr>
                <w:p>
                  <w:pPr>
                    <w:pStyle w:val="69"/>
                    <w:rPr>
                      <w:rFonts w:ascii="Times New Roman" w:hAnsi="Times New Roman"/>
                    </w:rPr>
                  </w:pPr>
                  <w:r>
                    <w:rPr>
                      <w:rFonts w:ascii="Times New Roman" w:hAnsi="Times New Roman"/>
                    </w:rPr>
                    <w:t>EDMS</w:t>
                  </w:r>
                </w:p>
              </w:tc>
              <w:tc>
                <w:tcPr>
                  <w:tcW w:w="1139" w:type="dxa"/>
                  <w:vAlign w:val="center"/>
                </w:tcPr>
                <w:p>
                  <w:pPr>
                    <w:pStyle w:val="69"/>
                    <w:rPr>
                      <w:rFonts w:ascii="Times New Roman" w:hAnsi="Times New Roman"/>
                    </w:rPr>
                  </w:pPr>
                  <w:r>
                    <w:rPr>
                      <w:rFonts w:ascii="Times New Roman" w:hAnsi="Times New Roman"/>
                    </w:rPr>
                    <w:t>CALPUFF</w:t>
                  </w:r>
                </w:p>
              </w:tc>
              <w:tc>
                <w:tcPr>
                  <w:tcW w:w="786" w:type="dxa"/>
                  <w:gridSpan w:val="2"/>
                  <w:vAlign w:val="center"/>
                </w:tcPr>
                <w:p>
                  <w:pPr>
                    <w:pStyle w:val="69"/>
                    <w:rPr>
                      <w:rFonts w:ascii="Times New Roman" w:hAnsi="Times New Roman"/>
                    </w:rPr>
                  </w:pPr>
                  <w:r>
                    <w:rPr>
                      <w:rFonts w:ascii="Times New Roman" w:hAnsi="Times New Roman"/>
                    </w:rPr>
                    <w:t>网络模型</w:t>
                  </w:r>
                </w:p>
              </w:tc>
              <w:tc>
                <w:tcPr>
                  <w:tcW w:w="643" w:type="dxa"/>
                  <w:vAlign w:val="center"/>
                </w:tcPr>
                <w:p>
                  <w:pPr>
                    <w:pStyle w:val="69"/>
                    <w:rPr>
                      <w:rFonts w:ascii="Times New Roman" w:hAnsi="Times New Roman"/>
                    </w:rPr>
                  </w:pPr>
                  <w:r>
                    <w:rPr>
                      <w:rFonts w:ascii="Times New Roman" w:hAnsi="Times New Roman"/>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预测范围</w:t>
                  </w:r>
                </w:p>
              </w:tc>
              <w:tc>
                <w:tcPr>
                  <w:tcW w:w="2094" w:type="dxa"/>
                  <w:gridSpan w:val="5"/>
                  <w:vAlign w:val="center"/>
                </w:tcPr>
                <w:p>
                  <w:pPr>
                    <w:pStyle w:val="69"/>
                    <w:rPr>
                      <w:rFonts w:ascii="Times New Roman" w:hAnsi="Times New Roman"/>
                    </w:rPr>
                  </w:pPr>
                  <w:r>
                    <w:rPr>
                      <w:rFonts w:ascii="Times New Roman" w:hAnsi="Times New Roman"/>
                    </w:rPr>
                    <w:t>边长=50km</w:t>
                  </w:r>
                </w:p>
              </w:tc>
              <w:tc>
                <w:tcPr>
                  <w:tcW w:w="2280" w:type="dxa"/>
                  <w:gridSpan w:val="5"/>
                  <w:vAlign w:val="center"/>
                </w:tcPr>
                <w:p>
                  <w:pPr>
                    <w:pStyle w:val="69"/>
                    <w:rPr>
                      <w:rFonts w:ascii="Times New Roman" w:hAnsi="Times New Roman"/>
                      <w:b/>
                    </w:rPr>
                  </w:pPr>
                  <w:r>
                    <w:rPr>
                      <w:rFonts w:ascii="Times New Roman" w:hAnsi="Times New Roman"/>
                      <w:b/>
                    </w:rPr>
                    <w:t>边长5~50km</w:t>
                  </w:r>
                  <w:r>
                    <w:rPr>
                      <w:rFonts w:hint="eastAsia" w:ascii="Times New Roman" w:hAnsi="Times New Roman"/>
                      <w:b/>
                    </w:rPr>
                    <w:t xml:space="preserve"> </w:t>
                  </w:r>
                </w:p>
              </w:tc>
              <w:tc>
                <w:tcPr>
                  <w:tcW w:w="2568" w:type="dxa"/>
                  <w:gridSpan w:val="4"/>
                  <w:vAlign w:val="center"/>
                </w:tcPr>
                <w:p>
                  <w:pPr>
                    <w:pStyle w:val="69"/>
                    <w:rPr>
                      <w:rFonts w:ascii="Times New Roman" w:hAnsi="Times New Roman"/>
                    </w:rPr>
                  </w:pPr>
                  <w:r>
                    <w:rPr>
                      <w:rFonts w:ascii="Times New Roman" w:hAnsi="Times New Roman"/>
                    </w:rPr>
                    <w:t>边长=5km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预测因子</w:t>
                  </w:r>
                </w:p>
              </w:tc>
              <w:tc>
                <w:tcPr>
                  <w:tcW w:w="3574" w:type="dxa"/>
                  <w:gridSpan w:val="8"/>
                  <w:vAlign w:val="center"/>
                </w:tcPr>
                <w:p>
                  <w:pPr>
                    <w:pStyle w:val="69"/>
                    <w:rPr>
                      <w:rFonts w:ascii="Times New Roman" w:hAnsi="Times New Roman"/>
                    </w:rPr>
                  </w:pPr>
                  <w:r>
                    <w:rPr>
                      <w:rFonts w:ascii="Times New Roman" w:hAnsi="Times New Roman"/>
                    </w:rPr>
                    <w:t>颗粒物</w:t>
                  </w:r>
                  <w:r>
                    <w:rPr>
                      <w:rFonts w:hint="eastAsia" w:ascii="Times New Roman" w:hAnsi="Times New Roman"/>
                    </w:rPr>
                    <w:t xml:space="preserve"> </w:t>
                  </w:r>
                </w:p>
              </w:tc>
              <w:tc>
                <w:tcPr>
                  <w:tcW w:w="3368" w:type="dxa"/>
                  <w:gridSpan w:val="6"/>
                  <w:vAlign w:val="center"/>
                </w:tcPr>
                <w:p>
                  <w:pPr>
                    <w:pStyle w:val="69"/>
                    <w:rPr>
                      <w:rFonts w:ascii="Times New Roman" w:hAnsi="Times New Roman"/>
                      <w:vertAlign w:val="subscript"/>
                    </w:rPr>
                  </w:pPr>
                  <w:r>
                    <w:rPr>
                      <w:rFonts w:ascii="Times New Roman" w:hAnsi="Times New Roman"/>
                    </w:rPr>
                    <w:t>包括二次PM</w:t>
                  </w:r>
                  <w:r>
                    <w:rPr>
                      <w:rFonts w:ascii="Times New Roman" w:hAnsi="Times New Roman"/>
                      <w:vertAlign w:val="subscript"/>
                    </w:rPr>
                    <w:t>2.5</w:t>
                  </w:r>
                </w:p>
                <w:p>
                  <w:pPr>
                    <w:pStyle w:val="69"/>
                    <w:rPr>
                      <w:rFonts w:ascii="Times New Roman" w:hAnsi="Times New Roman"/>
                    </w:rPr>
                  </w:pPr>
                  <w:r>
                    <w:rPr>
                      <w:rFonts w:ascii="Times New Roman" w:hAnsi="Times New Roman"/>
                      <w:b/>
                    </w:rPr>
                    <w:t>不包括二次PM</w:t>
                  </w:r>
                  <w:r>
                    <w:rPr>
                      <w:rFonts w:ascii="Times New Roman" w:hAnsi="Times New Roman"/>
                      <w:b/>
                      <w:vertAlign w:val="subscript"/>
                    </w:rPr>
                    <w:t>2.5</w:t>
                  </w:r>
                  <w:r>
                    <w:rPr>
                      <w:rFonts w:hint="eastAsia" w:ascii="Times New Roman" w:hAnsi="Times New Roman"/>
                      <w:b/>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正常排放</w:t>
                  </w:r>
                </w:p>
                <w:p>
                  <w:pPr>
                    <w:pStyle w:val="69"/>
                    <w:rPr>
                      <w:rFonts w:ascii="Times New Roman" w:hAnsi="Times New Roman"/>
                    </w:rPr>
                  </w:pPr>
                  <w:r>
                    <w:rPr>
                      <w:rFonts w:ascii="Times New Roman" w:hAnsi="Times New Roman"/>
                    </w:rPr>
                    <w:t>短期浓度</w:t>
                  </w:r>
                </w:p>
                <w:p>
                  <w:pPr>
                    <w:pStyle w:val="69"/>
                    <w:rPr>
                      <w:rFonts w:ascii="Times New Roman" w:hAnsi="Times New Roman"/>
                    </w:rPr>
                  </w:pPr>
                  <w:r>
                    <w:rPr>
                      <w:rFonts w:ascii="Times New Roman" w:hAnsi="Times New Roman"/>
                    </w:rPr>
                    <w:t>贡献值</w:t>
                  </w:r>
                </w:p>
              </w:tc>
              <w:tc>
                <w:tcPr>
                  <w:tcW w:w="3574" w:type="dxa"/>
                  <w:gridSpan w:val="8"/>
                  <w:vAlign w:val="center"/>
                </w:tcPr>
                <w:p>
                  <w:pPr>
                    <w:pStyle w:val="69"/>
                    <w:rPr>
                      <w:rFonts w:ascii="Times New Roman" w:hAnsi="Times New Roman"/>
                    </w:rPr>
                  </w:pPr>
                  <w:r>
                    <w:rPr>
                      <w:rFonts w:ascii="Times New Roman" w:hAnsi="Times New Roman"/>
                      <w:b/>
                    </w:rPr>
                    <w:t>本项目最大占标率≤100%√</w:t>
                  </w:r>
                </w:p>
              </w:tc>
              <w:tc>
                <w:tcPr>
                  <w:tcW w:w="3368" w:type="dxa"/>
                  <w:gridSpan w:val="6"/>
                  <w:vAlign w:val="center"/>
                </w:tcPr>
                <w:p>
                  <w:pPr>
                    <w:pStyle w:val="69"/>
                    <w:rPr>
                      <w:rFonts w:ascii="Times New Roman" w:hAnsi="Times New Roman"/>
                    </w:rPr>
                  </w:pPr>
                  <w:r>
                    <w:rPr>
                      <w:rFonts w:ascii="Times New Roman" w:hAnsi="Times New Roman"/>
                    </w:rPr>
                    <w:t>本项目最大占标率＞100%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Merge w:val="restart"/>
                  <w:vAlign w:val="center"/>
                </w:tcPr>
                <w:p>
                  <w:pPr>
                    <w:pStyle w:val="69"/>
                    <w:rPr>
                      <w:rFonts w:ascii="Times New Roman" w:hAnsi="Times New Roman"/>
                    </w:rPr>
                  </w:pPr>
                  <w:r>
                    <w:rPr>
                      <w:rFonts w:ascii="Times New Roman" w:hAnsi="Times New Roman"/>
                    </w:rPr>
                    <w:t>正常排放</w:t>
                  </w:r>
                </w:p>
                <w:p>
                  <w:pPr>
                    <w:pStyle w:val="69"/>
                    <w:rPr>
                      <w:rFonts w:ascii="Times New Roman" w:hAnsi="Times New Roman"/>
                    </w:rPr>
                  </w:pPr>
                  <w:r>
                    <w:rPr>
                      <w:rFonts w:ascii="Times New Roman" w:hAnsi="Times New Roman"/>
                    </w:rPr>
                    <w:t>年均浓度</w:t>
                  </w:r>
                </w:p>
                <w:p>
                  <w:pPr>
                    <w:pStyle w:val="69"/>
                    <w:rPr>
                      <w:rFonts w:ascii="Times New Roman" w:hAnsi="Times New Roman"/>
                    </w:rPr>
                  </w:pPr>
                  <w:r>
                    <w:rPr>
                      <w:rFonts w:ascii="Times New Roman" w:hAnsi="Times New Roman"/>
                    </w:rPr>
                    <w:t>贡献值</w:t>
                  </w:r>
                </w:p>
              </w:tc>
              <w:tc>
                <w:tcPr>
                  <w:tcW w:w="1015" w:type="dxa"/>
                  <w:vAlign w:val="center"/>
                </w:tcPr>
                <w:p>
                  <w:pPr>
                    <w:pStyle w:val="69"/>
                    <w:rPr>
                      <w:rFonts w:ascii="Times New Roman" w:hAnsi="Times New Roman"/>
                    </w:rPr>
                  </w:pPr>
                  <w:r>
                    <w:rPr>
                      <w:rFonts w:ascii="Times New Roman" w:hAnsi="Times New Roman"/>
                    </w:rPr>
                    <w:t>一类区</w:t>
                  </w:r>
                </w:p>
              </w:tc>
              <w:tc>
                <w:tcPr>
                  <w:tcW w:w="2559" w:type="dxa"/>
                  <w:gridSpan w:val="7"/>
                  <w:vAlign w:val="center"/>
                </w:tcPr>
                <w:p>
                  <w:pPr>
                    <w:pStyle w:val="69"/>
                    <w:rPr>
                      <w:rFonts w:ascii="Times New Roman" w:hAnsi="Times New Roman"/>
                    </w:rPr>
                  </w:pPr>
                  <w:r>
                    <w:rPr>
                      <w:rFonts w:ascii="Times New Roman" w:hAnsi="Times New Roman"/>
                    </w:rPr>
                    <w:t>本项目最大占标率≤10%</w:t>
                  </w:r>
                </w:p>
              </w:tc>
              <w:tc>
                <w:tcPr>
                  <w:tcW w:w="3368" w:type="dxa"/>
                  <w:gridSpan w:val="6"/>
                  <w:vAlign w:val="center"/>
                </w:tcPr>
                <w:p>
                  <w:pPr>
                    <w:pStyle w:val="69"/>
                    <w:rPr>
                      <w:rFonts w:ascii="Times New Roman" w:hAnsi="Times New Roman"/>
                    </w:rPr>
                  </w:pPr>
                  <w:r>
                    <w:rPr>
                      <w:rFonts w:ascii="Times New Roman" w:hAnsi="Times New Roman"/>
                    </w:rPr>
                    <w:t>本项目最大占标率＞10%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Merge w:val="continue"/>
                  <w:vAlign w:val="center"/>
                </w:tcPr>
                <w:p>
                  <w:pPr>
                    <w:pStyle w:val="69"/>
                    <w:rPr>
                      <w:rFonts w:ascii="Times New Roman" w:hAnsi="Times New Roman"/>
                    </w:rPr>
                  </w:pPr>
                </w:p>
              </w:tc>
              <w:tc>
                <w:tcPr>
                  <w:tcW w:w="1015" w:type="dxa"/>
                  <w:vAlign w:val="center"/>
                </w:tcPr>
                <w:p>
                  <w:pPr>
                    <w:pStyle w:val="69"/>
                    <w:rPr>
                      <w:rFonts w:ascii="Times New Roman" w:hAnsi="Times New Roman"/>
                    </w:rPr>
                  </w:pPr>
                  <w:r>
                    <w:rPr>
                      <w:rFonts w:ascii="Times New Roman" w:hAnsi="Times New Roman"/>
                    </w:rPr>
                    <w:t>二类区</w:t>
                  </w:r>
                </w:p>
              </w:tc>
              <w:tc>
                <w:tcPr>
                  <w:tcW w:w="2559" w:type="dxa"/>
                  <w:gridSpan w:val="7"/>
                  <w:vAlign w:val="center"/>
                </w:tcPr>
                <w:p>
                  <w:pPr>
                    <w:pStyle w:val="69"/>
                    <w:rPr>
                      <w:rFonts w:ascii="Times New Roman" w:hAnsi="Times New Roman"/>
                      <w:b/>
                    </w:rPr>
                  </w:pPr>
                  <w:r>
                    <w:rPr>
                      <w:rFonts w:ascii="Times New Roman" w:hAnsi="Times New Roman"/>
                      <w:b/>
                    </w:rPr>
                    <w:t>本项目最大占标率≤30%√</w:t>
                  </w:r>
                </w:p>
              </w:tc>
              <w:tc>
                <w:tcPr>
                  <w:tcW w:w="3368" w:type="dxa"/>
                  <w:gridSpan w:val="6"/>
                  <w:vAlign w:val="center"/>
                </w:tcPr>
                <w:p>
                  <w:pPr>
                    <w:pStyle w:val="69"/>
                    <w:rPr>
                      <w:rFonts w:ascii="Times New Roman" w:hAnsi="Times New Roman"/>
                    </w:rPr>
                  </w:pPr>
                  <w:r>
                    <w:rPr>
                      <w:rFonts w:ascii="Times New Roman" w:hAnsi="Times New Roman"/>
                    </w:rPr>
                    <w:t>本项目最大占标率＞30%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保证率日平均浓度和年平均浓度叠加值</w:t>
                  </w:r>
                </w:p>
              </w:tc>
              <w:tc>
                <w:tcPr>
                  <w:tcW w:w="3574" w:type="dxa"/>
                  <w:gridSpan w:val="8"/>
                  <w:vAlign w:val="center"/>
                </w:tcPr>
                <w:p>
                  <w:pPr>
                    <w:pStyle w:val="69"/>
                    <w:rPr>
                      <w:rFonts w:ascii="Times New Roman" w:hAnsi="Times New Roman"/>
                      <w:b/>
                    </w:rPr>
                  </w:pPr>
                  <w:r>
                    <w:rPr>
                      <w:rFonts w:ascii="Times New Roman" w:hAnsi="Times New Roman"/>
                      <w:b/>
                    </w:rPr>
                    <w:t>叠加达标</w:t>
                  </w:r>
                  <w:r>
                    <w:rPr>
                      <w:rFonts w:hint="eastAsia" w:ascii="Times New Roman" w:hAnsi="Times New Roman"/>
                      <w:b/>
                    </w:rPr>
                    <w:t xml:space="preserve"> </w:t>
                  </w:r>
                </w:p>
              </w:tc>
              <w:tc>
                <w:tcPr>
                  <w:tcW w:w="3368" w:type="dxa"/>
                  <w:gridSpan w:val="6"/>
                  <w:vAlign w:val="center"/>
                </w:tcPr>
                <w:p>
                  <w:pPr>
                    <w:pStyle w:val="69"/>
                    <w:rPr>
                      <w:rFonts w:ascii="Times New Roman" w:hAnsi="Times New Roman"/>
                    </w:rPr>
                  </w:pPr>
                  <w:r>
                    <w:rPr>
                      <w:rFonts w:ascii="Times New Roman" w:hAnsi="Times New Roman"/>
                    </w:rPr>
                    <w:t>叠加不达标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区域环境质量的整体变化情况</w:t>
                  </w:r>
                </w:p>
              </w:tc>
              <w:tc>
                <w:tcPr>
                  <w:tcW w:w="3574" w:type="dxa"/>
                  <w:gridSpan w:val="8"/>
                  <w:vAlign w:val="center"/>
                </w:tcPr>
                <w:p>
                  <w:pPr>
                    <w:pStyle w:val="69"/>
                    <w:rPr>
                      <w:rFonts w:ascii="Times New Roman" w:hAnsi="Times New Roman"/>
                      <w:b/>
                    </w:rPr>
                  </w:pPr>
                  <w:r>
                    <w:rPr>
                      <w:rFonts w:ascii="Times New Roman" w:hAnsi="Times New Roman"/>
                      <w:b/>
                    </w:rPr>
                    <w:t>K≤-20%√</w:t>
                  </w:r>
                </w:p>
              </w:tc>
              <w:tc>
                <w:tcPr>
                  <w:tcW w:w="3368" w:type="dxa"/>
                  <w:gridSpan w:val="6"/>
                  <w:vAlign w:val="center"/>
                </w:tcPr>
                <w:p>
                  <w:pPr>
                    <w:pStyle w:val="69"/>
                    <w:rPr>
                      <w:rFonts w:ascii="Times New Roman" w:hAnsi="Times New Roman"/>
                    </w:rPr>
                  </w:pPr>
                  <w:r>
                    <w:rPr>
                      <w:rFonts w:ascii="Times New Roman" w:hAnsi="Times New Roman"/>
                    </w:rPr>
                    <w:t>K＞-20%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restart"/>
                  <w:vAlign w:val="center"/>
                </w:tcPr>
                <w:p>
                  <w:pPr>
                    <w:pStyle w:val="69"/>
                    <w:rPr>
                      <w:rFonts w:ascii="Times New Roman" w:hAnsi="Times New Roman"/>
                    </w:rPr>
                  </w:pPr>
                  <w:r>
                    <w:rPr>
                      <w:rFonts w:ascii="Times New Roman" w:hAnsi="Times New Roman"/>
                    </w:rPr>
                    <w:t>环境监测计划</w:t>
                  </w:r>
                </w:p>
              </w:tc>
              <w:tc>
                <w:tcPr>
                  <w:tcW w:w="1326" w:type="dxa"/>
                  <w:gridSpan w:val="2"/>
                  <w:vAlign w:val="center"/>
                </w:tcPr>
                <w:p>
                  <w:pPr>
                    <w:pStyle w:val="69"/>
                    <w:rPr>
                      <w:rFonts w:ascii="Times New Roman" w:hAnsi="Times New Roman"/>
                    </w:rPr>
                  </w:pPr>
                  <w:r>
                    <w:rPr>
                      <w:rFonts w:ascii="Times New Roman" w:hAnsi="Times New Roman"/>
                    </w:rPr>
                    <w:t>污染源监测</w:t>
                  </w:r>
                </w:p>
              </w:tc>
              <w:tc>
                <w:tcPr>
                  <w:tcW w:w="2094" w:type="dxa"/>
                  <w:gridSpan w:val="5"/>
                  <w:vAlign w:val="center"/>
                </w:tcPr>
                <w:p>
                  <w:pPr>
                    <w:pStyle w:val="69"/>
                    <w:rPr>
                      <w:rFonts w:ascii="Times New Roman" w:hAnsi="Times New Roman"/>
                    </w:rPr>
                  </w:pPr>
                  <w:r>
                    <w:rPr>
                      <w:rFonts w:ascii="Times New Roman" w:hAnsi="Times New Roman"/>
                    </w:rPr>
                    <w:t>监测因子（颗粒物）</w:t>
                  </w:r>
                </w:p>
              </w:tc>
              <w:tc>
                <w:tcPr>
                  <w:tcW w:w="2280" w:type="dxa"/>
                  <w:gridSpan w:val="5"/>
                  <w:vAlign w:val="center"/>
                </w:tcPr>
                <w:p>
                  <w:pPr>
                    <w:pStyle w:val="69"/>
                    <w:rPr>
                      <w:rFonts w:ascii="Times New Roman" w:hAnsi="Times New Roman"/>
                      <w:b/>
                    </w:rPr>
                  </w:pPr>
                  <w:r>
                    <w:rPr>
                      <w:rFonts w:ascii="Times New Roman" w:hAnsi="Times New Roman"/>
                      <w:b/>
                    </w:rPr>
                    <w:t>有组织废气监测</w:t>
                  </w:r>
                </w:p>
                <w:p>
                  <w:pPr>
                    <w:pStyle w:val="69"/>
                    <w:rPr>
                      <w:rFonts w:ascii="Times New Roman" w:hAnsi="Times New Roman"/>
                    </w:rPr>
                  </w:pPr>
                  <w:r>
                    <w:rPr>
                      <w:rFonts w:ascii="Times New Roman" w:hAnsi="Times New Roman"/>
                      <w:b/>
                    </w:rPr>
                    <w:t>无组织废气监测√</w:t>
                  </w:r>
                </w:p>
              </w:tc>
              <w:tc>
                <w:tcPr>
                  <w:tcW w:w="2568" w:type="dxa"/>
                  <w:gridSpan w:val="4"/>
                  <w:vAlign w:val="center"/>
                </w:tcPr>
                <w:p>
                  <w:pPr>
                    <w:pStyle w:val="69"/>
                    <w:rPr>
                      <w:rFonts w:ascii="Times New Roman" w:hAnsi="Times New Roman"/>
                    </w:rPr>
                  </w:pPr>
                  <w:r>
                    <w:rPr>
                      <w:rFonts w:ascii="Times New Roman" w:hAnsi="Times New Roman"/>
                    </w:rPr>
                    <w:t>无监测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环境质量监测</w:t>
                  </w:r>
                </w:p>
              </w:tc>
              <w:tc>
                <w:tcPr>
                  <w:tcW w:w="2094" w:type="dxa"/>
                  <w:gridSpan w:val="5"/>
                  <w:vAlign w:val="center"/>
                </w:tcPr>
                <w:p>
                  <w:pPr>
                    <w:pStyle w:val="69"/>
                    <w:rPr>
                      <w:rFonts w:ascii="Times New Roman" w:hAnsi="Times New Roman"/>
                    </w:rPr>
                  </w:pPr>
                  <w:r>
                    <w:rPr>
                      <w:rFonts w:ascii="Times New Roman" w:hAnsi="Times New Roman"/>
                    </w:rPr>
                    <w:t>监测因子（/）</w:t>
                  </w:r>
                </w:p>
              </w:tc>
              <w:tc>
                <w:tcPr>
                  <w:tcW w:w="2280" w:type="dxa"/>
                  <w:gridSpan w:val="5"/>
                  <w:vAlign w:val="center"/>
                </w:tcPr>
                <w:p>
                  <w:pPr>
                    <w:pStyle w:val="69"/>
                    <w:rPr>
                      <w:rFonts w:ascii="Times New Roman" w:hAnsi="Times New Roman"/>
                    </w:rPr>
                  </w:pPr>
                  <w:r>
                    <w:rPr>
                      <w:rFonts w:ascii="Times New Roman" w:hAnsi="Times New Roman"/>
                    </w:rPr>
                    <w:t>监测点位数（/）</w:t>
                  </w:r>
                </w:p>
              </w:tc>
              <w:tc>
                <w:tcPr>
                  <w:tcW w:w="2568" w:type="dxa"/>
                  <w:gridSpan w:val="4"/>
                  <w:vAlign w:val="center"/>
                </w:tcPr>
                <w:p>
                  <w:pPr>
                    <w:pStyle w:val="69"/>
                    <w:rPr>
                      <w:rFonts w:ascii="Times New Roman" w:hAnsi="Times New Roman"/>
                      <w:b/>
                    </w:rPr>
                  </w:pPr>
                  <w:r>
                    <w:rPr>
                      <w:rFonts w:ascii="Times New Roman" w:hAnsi="Times New Roman"/>
                      <w:b/>
                    </w:rPr>
                    <w:t>无监测√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restart"/>
                  <w:vAlign w:val="center"/>
                </w:tcPr>
                <w:p>
                  <w:pPr>
                    <w:pStyle w:val="69"/>
                    <w:rPr>
                      <w:rFonts w:ascii="Times New Roman" w:hAnsi="Times New Roman"/>
                    </w:rPr>
                  </w:pPr>
                  <w:r>
                    <w:rPr>
                      <w:rFonts w:ascii="Times New Roman" w:hAnsi="Times New Roman"/>
                    </w:rPr>
                    <w:t>评价</w:t>
                  </w:r>
                </w:p>
                <w:p>
                  <w:pPr>
                    <w:pStyle w:val="69"/>
                    <w:rPr>
                      <w:rFonts w:ascii="Times New Roman" w:hAnsi="Times New Roman"/>
                    </w:rPr>
                  </w:pPr>
                  <w:r>
                    <w:rPr>
                      <w:rFonts w:ascii="Times New Roman" w:hAnsi="Times New Roman"/>
                    </w:rPr>
                    <w:t>结论</w:t>
                  </w:r>
                </w:p>
              </w:tc>
              <w:tc>
                <w:tcPr>
                  <w:tcW w:w="1326" w:type="dxa"/>
                  <w:gridSpan w:val="2"/>
                  <w:vAlign w:val="center"/>
                </w:tcPr>
                <w:p>
                  <w:pPr>
                    <w:pStyle w:val="69"/>
                    <w:rPr>
                      <w:rFonts w:ascii="Times New Roman" w:hAnsi="Times New Roman"/>
                    </w:rPr>
                  </w:pPr>
                  <w:r>
                    <w:rPr>
                      <w:rFonts w:ascii="Times New Roman" w:hAnsi="Times New Roman"/>
                    </w:rPr>
                    <w:t>环境影响</w:t>
                  </w:r>
                </w:p>
              </w:tc>
              <w:tc>
                <w:tcPr>
                  <w:tcW w:w="2779" w:type="dxa"/>
                  <w:gridSpan w:val="6"/>
                  <w:vAlign w:val="center"/>
                </w:tcPr>
                <w:p>
                  <w:pPr>
                    <w:pStyle w:val="69"/>
                    <w:rPr>
                      <w:rFonts w:ascii="Times New Roman" w:hAnsi="Times New Roman"/>
                      <w:b/>
                    </w:rPr>
                  </w:pPr>
                  <w:r>
                    <w:rPr>
                      <w:rFonts w:ascii="Times New Roman" w:hAnsi="Times New Roman"/>
                      <w:b/>
                    </w:rPr>
                    <w:t>可以接受√</w:t>
                  </w:r>
                </w:p>
              </w:tc>
              <w:tc>
                <w:tcPr>
                  <w:tcW w:w="4163" w:type="dxa"/>
                  <w:gridSpan w:val="8"/>
                  <w:vAlign w:val="center"/>
                </w:tcPr>
                <w:p>
                  <w:pPr>
                    <w:pStyle w:val="69"/>
                    <w:rPr>
                      <w:rFonts w:ascii="Times New Roman" w:hAnsi="Times New Roman"/>
                    </w:rPr>
                  </w:pPr>
                  <w:r>
                    <w:rPr>
                      <w:rFonts w:ascii="Times New Roman" w:hAnsi="Times New Roman"/>
                    </w:rPr>
                    <w:t>不可以接受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大气环境防护距离</w:t>
                  </w:r>
                </w:p>
              </w:tc>
              <w:tc>
                <w:tcPr>
                  <w:tcW w:w="6942" w:type="dxa"/>
                  <w:gridSpan w:val="14"/>
                  <w:vAlign w:val="center"/>
                </w:tcPr>
                <w:p>
                  <w:pPr>
                    <w:pStyle w:val="69"/>
                    <w:rPr>
                      <w:rFonts w:ascii="Times New Roman" w:hAnsi="Times New Roman"/>
                    </w:rPr>
                  </w:pPr>
                  <w:r>
                    <w:rPr>
                      <w:rFonts w:hint="eastAsia" w:ascii="Times New Roman" w:hAnsi="Times New Roma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772" w:type="dxa"/>
                  <w:vMerge w:val="continue"/>
                  <w:vAlign w:val="center"/>
                </w:tcPr>
                <w:p>
                  <w:pPr>
                    <w:pStyle w:val="69"/>
                    <w:rPr>
                      <w:rFonts w:ascii="Times New Roman" w:hAnsi="Times New Roman"/>
                    </w:rPr>
                  </w:pPr>
                </w:p>
              </w:tc>
              <w:tc>
                <w:tcPr>
                  <w:tcW w:w="1326" w:type="dxa"/>
                  <w:gridSpan w:val="2"/>
                  <w:vAlign w:val="center"/>
                </w:tcPr>
                <w:p>
                  <w:pPr>
                    <w:pStyle w:val="69"/>
                    <w:rPr>
                      <w:rFonts w:ascii="Times New Roman" w:hAnsi="Times New Roman"/>
                    </w:rPr>
                  </w:pPr>
                  <w:r>
                    <w:rPr>
                      <w:rFonts w:ascii="Times New Roman" w:hAnsi="Times New Roman"/>
                    </w:rPr>
                    <w:t>污染源年排放量</w:t>
                  </w:r>
                </w:p>
              </w:tc>
              <w:tc>
                <w:tcPr>
                  <w:tcW w:w="1507" w:type="dxa"/>
                  <w:gridSpan w:val="3"/>
                  <w:vAlign w:val="center"/>
                </w:tcPr>
                <w:p>
                  <w:pPr>
                    <w:pStyle w:val="69"/>
                    <w:rPr>
                      <w:rFonts w:ascii="Times New Roman" w:hAnsi="Times New Roman"/>
                    </w:rPr>
                  </w:pPr>
                  <w:r>
                    <w:rPr>
                      <w:rFonts w:ascii="Times New Roman" w:hAnsi="Times New Roman"/>
                    </w:rPr>
                    <w:t>SO</w:t>
                  </w:r>
                  <w:r>
                    <w:rPr>
                      <w:rFonts w:ascii="Times New Roman" w:hAnsi="Times New Roman"/>
                      <w:vertAlign w:val="subscript"/>
                    </w:rPr>
                    <w:t>2</w:t>
                  </w:r>
                  <w:r>
                    <w:rPr>
                      <w:rFonts w:ascii="Times New Roman" w:hAnsi="Times New Roman"/>
                    </w:rPr>
                    <w:t>（</w:t>
                  </w:r>
                  <w:r>
                    <w:rPr>
                      <w:rFonts w:hint="eastAsia" w:ascii="Times New Roman" w:hAnsi="Times New Roman"/>
                    </w:rPr>
                    <w:t>0</w:t>
                  </w:r>
                  <w:r>
                    <w:rPr>
                      <w:rFonts w:ascii="Times New Roman" w:hAnsi="Times New Roman"/>
                    </w:rPr>
                    <w:t>）t/a</w:t>
                  </w:r>
                </w:p>
              </w:tc>
              <w:tc>
                <w:tcPr>
                  <w:tcW w:w="2067" w:type="dxa"/>
                  <w:gridSpan w:val="5"/>
                  <w:vAlign w:val="center"/>
                </w:tcPr>
                <w:p>
                  <w:pPr>
                    <w:pStyle w:val="69"/>
                    <w:rPr>
                      <w:rFonts w:ascii="Times New Roman" w:hAnsi="Times New Roman"/>
                    </w:rPr>
                  </w:pPr>
                  <w:r>
                    <w:rPr>
                      <w:rFonts w:ascii="Times New Roman" w:hAnsi="Times New Roman"/>
                    </w:rPr>
                    <w:t>NO</w:t>
                  </w:r>
                  <w:r>
                    <w:rPr>
                      <w:rFonts w:ascii="Times New Roman" w:hAnsi="Times New Roman"/>
                      <w:vertAlign w:val="subscript"/>
                    </w:rPr>
                    <w:t>x</w:t>
                  </w:r>
                  <w:r>
                    <w:rPr>
                      <w:rFonts w:ascii="Times New Roman" w:hAnsi="Times New Roman"/>
                    </w:rPr>
                    <w:t>（</w:t>
                  </w:r>
                  <w:r>
                    <w:rPr>
                      <w:rFonts w:hint="eastAsia" w:ascii="Times New Roman" w:hAnsi="Times New Roman"/>
                    </w:rPr>
                    <w:t>0</w:t>
                  </w:r>
                  <w:r>
                    <w:rPr>
                      <w:rFonts w:ascii="Times New Roman" w:hAnsi="Times New Roman"/>
                    </w:rPr>
                    <w:t>）t/a</w:t>
                  </w:r>
                </w:p>
              </w:tc>
              <w:tc>
                <w:tcPr>
                  <w:tcW w:w="1939" w:type="dxa"/>
                  <w:gridSpan w:val="3"/>
                  <w:vAlign w:val="center"/>
                </w:tcPr>
                <w:p>
                  <w:pPr>
                    <w:pStyle w:val="69"/>
                    <w:rPr>
                      <w:rFonts w:ascii="Times New Roman" w:hAnsi="Times New Roman"/>
                    </w:rPr>
                  </w:pPr>
                  <w:r>
                    <w:rPr>
                      <w:rFonts w:ascii="Times New Roman" w:hAnsi="Times New Roman"/>
                    </w:rPr>
                    <w:t>颗粒物（</w:t>
                  </w:r>
                  <w:r>
                    <w:rPr>
                      <w:rFonts w:hint="eastAsia" w:ascii="Times New Roman" w:hAnsi="Times New Roman"/>
                    </w:rPr>
                    <w:t>0.262</w:t>
                  </w:r>
                  <w:r>
                    <w:rPr>
                      <w:rFonts w:ascii="Times New Roman" w:hAnsi="Times New Roman"/>
                    </w:rPr>
                    <w:t>）t/a</w:t>
                  </w:r>
                </w:p>
              </w:tc>
              <w:tc>
                <w:tcPr>
                  <w:tcW w:w="1429" w:type="dxa"/>
                  <w:gridSpan w:val="3"/>
                  <w:vAlign w:val="center"/>
                </w:tcPr>
                <w:p>
                  <w:pPr>
                    <w:pStyle w:val="69"/>
                    <w:rPr>
                      <w:rFonts w:ascii="Times New Roman" w:hAnsi="Times New Roman"/>
                    </w:rPr>
                  </w:pPr>
                  <w:r>
                    <w:rPr>
                      <w:rFonts w:hint="eastAsia" w:ascii="Times New Roman" w:hAnsi="Times New Roman"/>
                    </w:rPr>
                    <w:t xml:space="preserve"> </w:t>
                  </w:r>
                </w:p>
              </w:tc>
            </w:tr>
          </w:tbl>
          <w:p>
            <w:pPr>
              <w:pStyle w:val="37"/>
              <w:ind w:firstLine="480"/>
            </w:pPr>
            <w:r>
              <w:rPr>
                <w:rFonts w:hint="eastAsia"/>
              </w:rPr>
              <w:t>2、水环境影响分析</w:t>
            </w:r>
          </w:p>
          <w:p>
            <w:pPr>
              <w:pStyle w:val="37"/>
              <w:ind w:firstLine="480"/>
            </w:pPr>
            <w:r>
              <w:rPr>
                <w:rFonts w:hint="eastAsia"/>
              </w:rPr>
              <w:t>（1）地表水环境影响分析</w:t>
            </w:r>
          </w:p>
          <w:p>
            <w:pPr>
              <w:pStyle w:val="37"/>
              <w:ind w:firstLine="480"/>
            </w:pPr>
            <w:r>
              <w:rPr>
                <w:rFonts w:hint="eastAsia"/>
              </w:rPr>
              <w:t>本项目运营期废水包括生产废水和生活污水。其中生产废水主要为水洗废水、脱泥废水、球磨机废水、磁选机废水、过滤废水、产品堆场渗滤液、生活污水等。</w:t>
            </w:r>
          </w:p>
          <w:p>
            <w:pPr>
              <w:pStyle w:val="37"/>
              <w:ind w:firstLine="480"/>
            </w:pPr>
            <w:r>
              <w:t>其中水洗废水产生量为</w:t>
            </w:r>
            <w:r>
              <w:rPr>
                <w:rFonts w:hint="eastAsia"/>
              </w:rPr>
              <w:t>47.6</w:t>
            </w:r>
            <w:r>
              <w:t>m</w:t>
            </w:r>
            <w:r>
              <w:rPr>
                <w:vertAlign w:val="superscript"/>
              </w:rPr>
              <w:t>3</w:t>
            </w:r>
            <w:r>
              <w:t>/d</w:t>
            </w:r>
            <w:r>
              <w:rPr>
                <w:rFonts w:hint="eastAsia"/>
              </w:rPr>
              <w:t>，</w:t>
            </w:r>
            <w:r>
              <w:t>脱泥废水产生量为</w:t>
            </w:r>
            <w:r>
              <w:rPr>
                <w:rFonts w:hint="eastAsia"/>
              </w:rPr>
              <w:t>1</w:t>
            </w:r>
            <w:r>
              <w:t>6.3m</w:t>
            </w:r>
            <w:r>
              <w:rPr>
                <w:vertAlign w:val="superscript"/>
              </w:rPr>
              <w:t>3</w:t>
            </w:r>
            <w:r>
              <w:t>/d</w:t>
            </w:r>
            <w:r>
              <w:rPr>
                <w:rFonts w:hint="eastAsia"/>
              </w:rPr>
              <w:t>，</w:t>
            </w:r>
            <w:r>
              <w:t>球磨机废水产生量为</w:t>
            </w:r>
            <w:r>
              <w:rPr>
                <w:rFonts w:hint="eastAsia"/>
              </w:rPr>
              <w:t>2</w:t>
            </w:r>
            <w:r>
              <w:t>35.2m</w:t>
            </w:r>
            <w:r>
              <w:rPr>
                <w:vertAlign w:val="superscript"/>
              </w:rPr>
              <w:t>3</w:t>
            </w:r>
            <w:r>
              <w:t>/d</w:t>
            </w:r>
            <w:r>
              <w:rPr>
                <w:rFonts w:hint="eastAsia"/>
              </w:rPr>
              <w:t>，过滤废水产生量为1</w:t>
            </w:r>
            <w:r>
              <w:t>08.7m</w:t>
            </w:r>
            <w:r>
              <w:rPr>
                <w:vertAlign w:val="superscript"/>
              </w:rPr>
              <w:t>3</w:t>
            </w:r>
            <w:r>
              <w:t>/d</w:t>
            </w:r>
            <w:r>
              <w:rPr>
                <w:rFonts w:hint="eastAsia"/>
              </w:rPr>
              <w:t>，</w:t>
            </w:r>
            <w:r>
              <w:t>该部分废水均采用浓密机收集</w:t>
            </w:r>
            <w:r>
              <w:rPr>
                <w:rFonts w:hint="eastAsia"/>
              </w:rPr>
              <w:t>、</w:t>
            </w:r>
            <w:r>
              <w:t>沉淀处理后回用</w:t>
            </w:r>
            <w:r>
              <w:rPr>
                <w:rFonts w:hint="eastAsia"/>
              </w:rPr>
              <w:t>于生产工序，不外排。磁选机废水产生量为2</w:t>
            </w:r>
            <w:r>
              <w:t>39.3m</w:t>
            </w:r>
            <w:r>
              <w:rPr>
                <w:vertAlign w:val="superscript"/>
              </w:rPr>
              <w:t>3</w:t>
            </w:r>
            <w:r>
              <w:t>/d</w:t>
            </w:r>
            <w:r>
              <w:rPr>
                <w:rFonts w:hint="eastAsia"/>
              </w:rPr>
              <w:t>，采用沉淀池收集处理后，排入浓密机处理后回用于生产工序，不外排。产品堆场渗滤液产生量约为5</w:t>
            </w:r>
            <w:r>
              <w:t>.2m</w:t>
            </w:r>
            <w:r>
              <w:rPr>
                <w:vertAlign w:val="superscript"/>
              </w:rPr>
              <w:t>3</w:t>
            </w:r>
            <w:r>
              <w:t>/d</w:t>
            </w:r>
            <w:r>
              <w:rPr>
                <w:rFonts w:hint="eastAsia"/>
              </w:rPr>
              <w:t>，</w:t>
            </w:r>
            <w:r>
              <w:t>采用截流沟渠回流至厂区清水池内循环使用</w:t>
            </w:r>
            <w:r>
              <w:rPr>
                <w:rFonts w:hint="eastAsia"/>
              </w:rPr>
              <w:t>，不外排。</w:t>
            </w:r>
          </w:p>
          <w:p>
            <w:pPr>
              <w:pStyle w:val="37"/>
              <w:ind w:firstLine="480"/>
            </w:pPr>
            <w:r>
              <w:t>项目生活污水产生量为</w:t>
            </w:r>
            <w:r>
              <w:rPr>
                <w:rFonts w:hint="eastAsia"/>
              </w:rPr>
              <w:t>0</w:t>
            </w:r>
            <w:r>
              <w:t>.4m</w:t>
            </w:r>
            <w:r>
              <w:rPr>
                <w:vertAlign w:val="superscript"/>
              </w:rPr>
              <w:t>3</w:t>
            </w:r>
            <w:r>
              <w:t>/d</w:t>
            </w:r>
            <w:r>
              <w:rPr>
                <w:rFonts w:hint="eastAsia"/>
              </w:rPr>
              <w:t>，</w:t>
            </w:r>
            <w:r>
              <w:t>依托现有工程内化粪池处理后</w:t>
            </w:r>
            <w:r>
              <w:rPr>
                <w:rFonts w:hint="eastAsia"/>
              </w:rPr>
              <w:t>排入乡镇污水管网。</w:t>
            </w:r>
          </w:p>
          <w:p>
            <w:pPr>
              <w:pStyle w:val="37"/>
              <w:ind w:firstLine="480"/>
            </w:pPr>
            <w:r>
              <w:t>综上所述</w:t>
            </w:r>
            <w:r>
              <w:rPr>
                <w:rFonts w:hint="eastAsia"/>
              </w:rPr>
              <w:t>，</w:t>
            </w:r>
            <w:r>
              <w:t>本项目厂区内废水能够得到合理处置</w:t>
            </w:r>
            <w:r>
              <w:rPr>
                <w:rFonts w:hint="eastAsia"/>
              </w:rPr>
              <w:t>，</w:t>
            </w:r>
            <w:r>
              <w:t>厂区共设计</w:t>
            </w:r>
            <w:r>
              <w:rPr>
                <w:rFonts w:hint="eastAsia"/>
              </w:rPr>
              <w:t>1个雨水排放口，不设置污水排放口，不会对当地地表水环境产生明显影响。</w:t>
            </w:r>
          </w:p>
          <w:p>
            <w:pPr>
              <w:pStyle w:val="37"/>
              <w:ind w:firstLine="480"/>
              <w:rPr>
                <w:color w:val="FF0000"/>
              </w:rPr>
            </w:pPr>
            <w:r>
              <w:rPr>
                <w:rFonts w:hint="eastAsia"/>
                <w:color w:val="FF0000"/>
              </w:rPr>
              <w:t>加强循环水池的管理及循环水泵等设备的维护，指定专人管理等相关措施，确保循环水池设施的正常运行，避免循环水池短路，造成废水向外环境事故性排放。</w:t>
            </w:r>
          </w:p>
          <w:p>
            <w:pPr>
              <w:pStyle w:val="72"/>
              <w:ind w:firstLine="480"/>
              <w:jc w:val="center"/>
            </w:pPr>
            <w:r>
              <w:rPr>
                <w:rFonts w:hint="eastAsia"/>
              </w:rPr>
              <w:t>表7-8   建设项目水环境影响评价自查表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1332"/>
              <w:gridCol w:w="1465"/>
              <w:gridCol w:w="297"/>
              <w:gridCol w:w="19"/>
              <w:gridCol w:w="33"/>
              <w:gridCol w:w="856"/>
              <w:gridCol w:w="100"/>
              <w:gridCol w:w="709"/>
              <w:gridCol w:w="396"/>
              <w:gridCol w:w="139"/>
              <w:gridCol w:w="37"/>
              <w:gridCol w:w="226"/>
              <w:gridCol w:w="802"/>
              <w:gridCol w:w="101"/>
              <w:gridCol w:w="150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8" w:type="dxa"/>
                  <w:gridSpan w:val="2"/>
                  <w:tcBorders>
                    <w:top w:val="single" w:color="auto" w:sz="4" w:space="0"/>
                    <w:left w:val="single" w:color="auto" w:sz="4" w:space="0"/>
                  </w:tcBorders>
                  <w:noWrap/>
                  <w:vAlign w:val="center"/>
                </w:tcPr>
                <w:p>
                  <w:pPr>
                    <w:pStyle w:val="41"/>
                    <w:snapToGrid w:val="0"/>
                    <w:rPr>
                      <w:b/>
                    </w:rPr>
                  </w:pPr>
                  <w:r>
                    <w:rPr>
                      <w:b/>
                    </w:rPr>
                    <w:t>工作内容</w:t>
                  </w:r>
                </w:p>
              </w:tc>
              <w:tc>
                <w:tcPr>
                  <w:tcW w:w="6682" w:type="dxa"/>
                  <w:gridSpan w:val="14"/>
                  <w:tcBorders>
                    <w:top w:val="single" w:color="auto" w:sz="4" w:space="0"/>
                    <w:right w:val="single" w:color="auto" w:sz="4" w:space="0"/>
                  </w:tcBorders>
                  <w:noWrap/>
                  <w:vAlign w:val="center"/>
                </w:tcPr>
                <w:p>
                  <w:pPr>
                    <w:pStyle w:val="41"/>
                    <w:snapToGrid w:val="0"/>
                    <w:rPr>
                      <w:b/>
                    </w:rPr>
                  </w:pPr>
                  <w:r>
                    <w:rPr>
                      <w:b/>
                    </w:rPr>
                    <w:t>自查项目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影</w:t>
                  </w:r>
                </w:p>
                <w:p>
                  <w:pPr>
                    <w:pStyle w:val="41"/>
                    <w:snapToGrid w:val="0"/>
                  </w:pPr>
                  <w:r>
                    <w:t>响</w:t>
                  </w:r>
                </w:p>
                <w:p>
                  <w:pPr>
                    <w:pStyle w:val="41"/>
                    <w:snapToGrid w:val="0"/>
                  </w:pPr>
                  <w:r>
                    <w:t>识</w:t>
                  </w:r>
                </w:p>
                <w:p>
                  <w:pPr>
                    <w:pStyle w:val="41"/>
                    <w:snapToGrid w:val="0"/>
                  </w:pPr>
                  <w:r>
                    <w:t>别</w:t>
                  </w:r>
                </w:p>
              </w:tc>
              <w:tc>
                <w:tcPr>
                  <w:tcW w:w="1332" w:type="dxa"/>
                  <w:noWrap/>
                  <w:vAlign w:val="center"/>
                </w:tcPr>
                <w:p>
                  <w:pPr>
                    <w:pStyle w:val="41"/>
                    <w:snapToGrid w:val="0"/>
                  </w:pPr>
                  <w:r>
                    <w:t>影响类型</w:t>
                  </w:r>
                </w:p>
              </w:tc>
              <w:tc>
                <w:tcPr>
                  <w:tcW w:w="6682" w:type="dxa"/>
                  <w:gridSpan w:val="14"/>
                  <w:tcBorders>
                    <w:right w:val="single" w:color="auto" w:sz="4" w:space="0"/>
                  </w:tcBorders>
                  <w:noWrap/>
                  <w:vAlign w:val="center"/>
                </w:tcPr>
                <w:p>
                  <w:pPr>
                    <w:pStyle w:val="41"/>
                    <w:snapToGrid w:val="0"/>
                  </w:pPr>
                  <w:r>
                    <w:t>水污染影响型□</w:t>
                  </w:r>
                </w:p>
                <w:p>
                  <w:pPr>
                    <w:pStyle w:val="41"/>
                    <w:snapToGrid w:val="0"/>
                  </w:pPr>
                  <w:r>
                    <w:t>水文要素影响型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水环境保护目标</w:t>
                  </w:r>
                </w:p>
              </w:tc>
              <w:tc>
                <w:tcPr>
                  <w:tcW w:w="6682" w:type="dxa"/>
                  <w:gridSpan w:val="14"/>
                  <w:tcBorders>
                    <w:right w:val="single" w:color="auto" w:sz="4" w:space="0"/>
                  </w:tcBorders>
                  <w:noWrap/>
                  <w:vAlign w:val="center"/>
                </w:tcPr>
                <w:p>
                  <w:pPr>
                    <w:pStyle w:val="41"/>
                    <w:snapToGrid w:val="0"/>
                  </w:pPr>
                  <w:r>
                    <w:t>饮用水水源保护区 □；饮用水取水口 □；涉水的自然保护区 □；重要湿地 □；</w:t>
                  </w:r>
                </w:p>
                <w:p>
                  <w:pPr>
                    <w:pStyle w:val="41"/>
                    <w:snapToGrid w:val="0"/>
                  </w:pPr>
                  <w:r>
                    <w:t>重点保护与珍稀水生生物的栖息地 □；重要水生生物的自然产卵场及索饵场、越冬场和洄游通道、天然渔场等渔业水体 □；涉水的风景名胜区 □；其他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影响途径</w:t>
                  </w:r>
                </w:p>
              </w:tc>
              <w:tc>
                <w:tcPr>
                  <w:tcW w:w="3479" w:type="dxa"/>
                  <w:gridSpan w:val="7"/>
                  <w:noWrap/>
                  <w:vAlign w:val="center"/>
                </w:tcPr>
                <w:p>
                  <w:pPr>
                    <w:pStyle w:val="41"/>
                    <w:snapToGrid w:val="0"/>
                  </w:pPr>
                  <w:r>
                    <w:t>水污染影响型</w:t>
                  </w:r>
                </w:p>
              </w:tc>
              <w:tc>
                <w:tcPr>
                  <w:tcW w:w="3203" w:type="dxa"/>
                  <w:gridSpan w:val="7"/>
                  <w:tcBorders>
                    <w:right w:val="single" w:color="auto" w:sz="4" w:space="0"/>
                  </w:tcBorders>
                  <w:noWrap/>
                  <w:vAlign w:val="center"/>
                </w:tcPr>
                <w:p>
                  <w:pPr>
                    <w:pStyle w:val="41"/>
                    <w:snapToGrid w:val="0"/>
                  </w:pPr>
                  <w:r>
                    <w:t>水文要素影响型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3479" w:type="dxa"/>
                  <w:gridSpan w:val="7"/>
                  <w:noWrap/>
                  <w:vAlign w:val="center"/>
                </w:tcPr>
                <w:p>
                  <w:pPr>
                    <w:pStyle w:val="41"/>
                    <w:snapToGrid w:val="0"/>
                  </w:pPr>
                  <w:r>
                    <w:t>直接排放 □；间接排放□；其他</w:t>
                  </w:r>
                  <w:r>
                    <w:rPr/>
                    <w:sym w:font="Wingdings 2" w:char="00A3"/>
                  </w:r>
                </w:p>
              </w:tc>
              <w:tc>
                <w:tcPr>
                  <w:tcW w:w="3203" w:type="dxa"/>
                  <w:gridSpan w:val="7"/>
                  <w:tcBorders>
                    <w:right w:val="single" w:color="auto" w:sz="4" w:space="0"/>
                  </w:tcBorders>
                  <w:noWrap/>
                  <w:vAlign w:val="center"/>
                </w:tcPr>
                <w:p>
                  <w:pPr>
                    <w:pStyle w:val="41"/>
                    <w:snapToGrid w:val="0"/>
                  </w:pPr>
                  <w:r>
                    <w:t>水温 □；径流 □；水域面积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影响因子</w:t>
                  </w:r>
                </w:p>
              </w:tc>
              <w:tc>
                <w:tcPr>
                  <w:tcW w:w="3479" w:type="dxa"/>
                  <w:gridSpan w:val="7"/>
                  <w:noWrap/>
                  <w:vAlign w:val="center"/>
                </w:tcPr>
                <w:p>
                  <w:pPr>
                    <w:pStyle w:val="41"/>
                    <w:snapToGrid w:val="0"/>
                  </w:pPr>
                  <w:r>
                    <w:t>持久性污染物 □；有毒有害污染物 □；非持久性污染物 □；pH值□；热污染 □；富营养化 □；其他</w:t>
                  </w:r>
                  <w:r>
                    <w:rPr/>
                    <w:sym w:font="Wingdings 2" w:char="0052"/>
                  </w:r>
                </w:p>
              </w:tc>
              <w:tc>
                <w:tcPr>
                  <w:tcW w:w="3203" w:type="dxa"/>
                  <w:gridSpan w:val="7"/>
                  <w:tcBorders>
                    <w:right w:val="single" w:color="auto" w:sz="4" w:space="0"/>
                  </w:tcBorders>
                  <w:noWrap/>
                  <w:vAlign w:val="center"/>
                </w:tcPr>
                <w:p>
                  <w:pPr>
                    <w:pStyle w:val="41"/>
                    <w:snapToGrid w:val="0"/>
                  </w:pPr>
                  <w:r>
                    <w:t>水温 □；水位（水深） □；流速 □；流量 □；其他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8" w:type="dxa"/>
                  <w:gridSpan w:val="2"/>
                  <w:vMerge w:val="restart"/>
                  <w:tcBorders>
                    <w:left w:val="single" w:color="auto" w:sz="4" w:space="0"/>
                  </w:tcBorders>
                  <w:noWrap/>
                  <w:vAlign w:val="center"/>
                </w:tcPr>
                <w:p>
                  <w:pPr>
                    <w:pStyle w:val="41"/>
                    <w:snapToGrid w:val="0"/>
                  </w:pPr>
                  <w:r>
                    <w:t>评价等级</w:t>
                  </w:r>
                </w:p>
              </w:tc>
              <w:tc>
                <w:tcPr>
                  <w:tcW w:w="3479" w:type="dxa"/>
                  <w:gridSpan w:val="7"/>
                  <w:noWrap/>
                  <w:vAlign w:val="center"/>
                </w:tcPr>
                <w:p>
                  <w:pPr>
                    <w:pStyle w:val="41"/>
                    <w:snapToGrid w:val="0"/>
                  </w:pPr>
                  <w:r>
                    <w:t>水污染影响型</w:t>
                  </w:r>
                </w:p>
              </w:tc>
              <w:tc>
                <w:tcPr>
                  <w:tcW w:w="3203" w:type="dxa"/>
                  <w:gridSpan w:val="7"/>
                  <w:tcBorders>
                    <w:right w:val="single" w:color="auto" w:sz="4" w:space="0"/>
                  </w:tcBorders>
                  <w:noWrap/>
                  <w:vAlign w:val="center"/>
                </w:tcPr>
                <w:p>
                  <w:pPr>
                    <w:pStyle w:val="41"/>
                    <w:snapToGrid w:val="0"/>
                  </w:pPr>
                  <w:r>
                    <w:t>水文要素影响型</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8" w:type="dxa"/>
                  <w:gridSpan w:val="2"/>
                  <w:vMerge w:val="continue"/>
                  <w:tcBorders>
                    <w:left w:val="single" w:color="auto" w:sz="4" w:space="0"/>
                  </w:tcBorders>
                  <w:noWrap/>
                  <w:vAlign w:val="center"/>
                </w:tcPr>
                <w:p>
                  <w:pPr>
                    <w:pStyle w:val="41"/>
                    <w:snapToGrid w:val="0"/>
                  </w:pPr>
                </w:p>
              </w:tc>
              <w:tc>
                <w:tcPr>
                  <w:tcW w:w="3479" w:type="dxa"/>
                  <w:gridSpan w:val="7"/>
                  <w:noWrap/>
                  <w:vAlign w:val="center"/>
                </w:tcPr>
                <w:p>
                  <w:pPr>
                    <w:pStyle w:val="41"/>
                    <w:snapToGrid w:val="0"/>
                  </w:pPr>
                  <w:r>
                    <w:t xml:space="preserve">一级 □；二级 □；三级A □；三级B </w:t>
                  </w:r>
                  <w:r>
                    <w:rPr/>
                    <w:sym w:font="Wingdings 2" w:char="0052"/>
                  </w:r>
                </w:p>
              </w:tc>
              <w:tc>
                <w:tcPr>
                  <w:tcW w:w="3203" w:type="dxa"/>
                  <w:gridSpan w:val="7"/>
                  <w:tcBorders>
                    <w:right w:val="single" w:color="auto" w:sz="4" w:space="0"/>
                  </w:tcBorders>
                  <w:noWrap/>
                  <w:vAlign w:val="center"/>
                </w:tcPr>
                <w:p>
                  <w:pPr>
                    <w:pStyle w:val="41"/>
                    <w:snapToGrid w:val="0"/>
                  </w:pPr>
                  <w:r>
                    <w:t>一级 □；二级 □；三级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现</w:t>
                  </w:r>
                </w:p>
                <w:p>
                  <w:pPr>
                    <w:pStyle w:val="41"/>
                    <w:snapToGrid w:val="0"/>
                  </w:pPr>
                  <w:r>
                    <w:t>状</w:t>
                  </w:r>
                </w:p>
                <w:p>
                  <w:pPr>
                    <w:pStyle w:val="41"/>
                    <w:snapToGrid w:val="0"/>
                  </w:pPr>
                  <w:r>
                    <w:t>调</w:t>
                  </w:r>
                </w:p>
                <w:p>
                  <w:pPr>
                    <w:pStyle w:val="41"/>
                    <w:snapToGrid w:val="0"/>
                  </w:pPr>
                  <w:r>
                    <w:t>查</w:t>
                  </w:r>
                </w:p>
              </w:tc>
              <w:tc>
                <w:tcPr>
                  <w:tcW w:w="1332" w:type="dxa"/>
                  <w:vMerge w:val="restart"/>
                  <w:noWrap/>
                  <w:vAlign w:val="center"/>
                </w:tcPr>
                <w:p>
                  <w:pPr>
                    <w:pStyle w:val="41"/>
                    <w:snapToGrid w:val="0"/>
                  </w:pPr>
                  <w:r>
                    <w:t>区域污染源</w:t>
                  </w:r>
                </w:p>
              </w:tc>
              <w:tc>
                <w:tcPr>
                  <w:tcW w:w="3479" w:type="dxa"/>
                  <w:gridSpan w:val="7"/>
                  <w:noWrap/>
                  <w:vAlign w:val="center"/>
                </w:tcPr>
                <w:p>
                  <w:pPr>
                    <w:pStyle w:val="41"/>
                    <w:snapToGrid w:val="0"/>
                  </w:pPr>
                  <w:r>
                    <w:t>调查项目</w:t>
                  </w:r>
                </w:p>
              </w:tc>
              <w:tc>
                <w:tcPr>
                  <w:tcW w:w="3203" w:type="dxa"/>
                  <w:gridSpan w:val="7"/>
                  <w:tcBorders>
                    <w:right w:val="single" w:color="auto" w:sz="4" w:space="0"/>
                  </w:tcBorders>
                  <w:noWrap/>
                  <w:vAlign w:val="center"/>
                </w:tcPr>
                <w:p>
                  <w:pPr>
                    <w:pStyle w:val="41"/>
                    <w:snapToGrid w:val="0"/>
                  </w:pPr>
                  <w:r>
                    <w:t>数据来源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762" w:type="dxa"/>
                  <w:gridSpan w:val="2"/>
                  <w:noWrap/>
                  <w:vAlign w:val="center"/>
                </w:tcPr>
                <w:p>
                  <w:pPr>
                    <w:pStyle w:val="41"/>
                    <w:snapToGrid w:val="0"/>
                  </w:pPr>
                  <w:r>
                    <w:t>已建 □；在建 □；拟建 □；其他 □</w:t>
                  </w:r>
                </w:p>
              </w:tc>
              <w:tc>
                <w:tcPr>
                  <w:tcW w:w="1717" w:type="dxa"/>
                  <w:gridSpan w:val="5"/>
                  <w:noWrap/>
                  <w:vAlign w:val="center"/>
                </w:tcPr>
                <w:p>
                  <w:pPr>
                    <w:pStyle w:val="41"/>
                    <w:snapToGrid w:val="0"/>
                  </w:pPr>
                  <w:r>
                    <w:t>拟替代的污染源□</w:t>
                  </w:r>
                </w:p>
              </w:tc>
              <w:tc>
                <w:tcPr>
                  <w:tcW w:w="3203" w:type="dxa"/>
                  <w:gridSpan w:val="7"/>
                  <w:tcBorders>
                    <w:right w:val="single" w:color="auto" w:sz="4" w:space="0"/>
                  </w:tcBorders>
                  <w:noWrap/>
                  <w:vAlign w:val="center"/>
                </w:tcPr>
                <w:p>
                  <w:pPr>
                    <w:pStyle w:val="41"/>
                    <w:snapToGrid w:val="0"/>
                  </w:pPr>
                  <w:r>
                    <w:t>排污许可证 □；环评 □；环保验收 □；既有实测 □；现场监测 □；入河排放口数据 □；其他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受影响水体水环境质量</w:t>
                  </w:r>
                </w:p>
              </w:tc>
              <w:tc>
                <w:tcPr>
                  <w:tcW w:w="3479" w:type="dxa"/>
                  <w:gridSpan w:val="7"/>
                  <w:noWrap/>
                  <w:vAlign w:val="center"/>
                </w:tcPr>
                <w:p>
                  <w:pPr>
                    <w:pStyle w:val="41"/>
                    <w:snapToGrid w:val="0"/>
                  </w:pPr>
                  <w:r>
                    <w:t>调查时期</w:t>
                  </w:r>
                </w:p>
              </w:tc>
              <w:tc>
                <w:tcPr>
                  <w:tcW w:w="3203" w:type="dxa"/>
                  <w:gridSpan w:val="7"/>
                  <w:tcBorders>
                    <w:right w:val="single" w:color="auto" w:sz="4" w:space="0"/>
                  </w:tcBorders>
                  <w:noWrap/>
                  <w:vAlign w:val="center"/>
                </w:tcPr>
                <w:p>
                  <w:pPr>
                    <w:pStyle w:val="41"/>
                    <w:snapToGrid w:val="0"/>
                  </w:pPr>
                  <w:r>
                    <w:t>数据来源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3479" w:type="dxa"/>
                  <w:gridSpan w:val="7"/>
                  <w:noWrap/>
                  <w:vAlign w:val="center"/>
                </w:tcPr>
                <w:p>
                  <w:pPr>
                    <w:pStyle w:val="41"/>
                    <w:snapToGrid w:val="0"/>
                  </w:pPr>
                  <w:r>
                    <w:t>丰水期 □；平水期 □；枯水期 □；冰封期 □</w:t>
                  </w:r>
                </w:p>
                <w:p>
                  <w:pPr>
                    <w:pStyle w:val="41"/>
                    <w:snapToGrid w:val="0"/>
                  </w:pPr>
                  <w:r>
                    <w:t xml:space="preserve">春季 □；夏季 □；秋季 □；冬季 □ </w:t>
                  </w:r>
                </w:p>
              </w:tc>
              <w:tc>
                <w:tcPr>
                  <w:tcW w:w="3203" w:type="dxa"/>
                  <w:gridSpan w:val="7"/>
                  <w:tcBorders>
                    <w:right w:val="single" w:color="auto" w:sz="4" w:space="0"/>
                  </w:tcBorders>
                  <w:noWrap/>
                  <w:vAlign w:val="center"/>
                </w:tcPr>
                <w:p>
                  <w:pPr>
                    <w:pStyle w:val="41"/>
                    <w:snapToGrid w:val="0"/>
                  </w:pPr>
                  <w:r>
                    <w:t>生态环境保护主管部门 □；补充监测□；其他</w:t>
                  </w:r>
                  <w:r>
                    <w:rPr/>
                    <w:sym w:font="Wingdings 2" w:char="0052"/>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区域水资源开发利用状况</w:t>
                  </w:r>
                </w:p>
              </w:tc>
              <w:tc>
                <w:tcPr>
                  <w:tcW w:w="6682" w:type="dxa"/>
                  <w:gridSpan w:val="14"/>
                  <w:tcBorders>
                    <w:right w:val="single" w:color="auto" w:sz="4" w:space="0"/>
                  </w:tcBorders>
                  <w:noWrap/>
                  <w:vAlign w:val="center"/>
                </w:tcPr>
                <w:p>
                  <w:pPr>
                    <w:pStyle w:val="41"/>
                    <w:snapToGrid w:val="0"/>
                  </w:pPr>
                  <w:r>
                    <w:t>未开发 □；开发量 40%以下 □；开发量 40%以上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水文情势调查</w:t>
                  </w:r>
                </w:p>
              </w:tc>
              <w:tc>
                <w:tcPr>
                  <w:tcW w:w="3479" w:type="dxa"/>
                  <w:gridSpan w:val="7"/>
                  <w:noWrap/>
                  <w:vAlign w:val="center"/>
                </w:tcPr>
                <w:p>
                  <w:pPr>
                    <w:pStyle w:val="41"/>
                    <w:snapToGrid w:val="0"/>
                  </w:pPr>
                  <w:r>
                    <w:t>调查时期</w:t>
                  </w:r>
                </w:p>
              </w:tc>
              <w:tc>
                <w:tcPr>
                  <w:tcW w:w="3203" w:type="dxa"/>
                  <w:gridSpan w:val="7"/>
                  <w:tcBorders>
                    <w:right w:val="single" w:color="auto" w:sz="4" w:space="0"/>
                  </w:tcBorders>
                  <w:noWrap/>
                  <w:vAlign w:val="center"/>
                </w:tcPr>
                <w:p>
                  <w:pPr>
                    <w:pStyle w:val="41"/>
                    <w:snapToGrid w:val="0"/>
                  </w:pPr>
                  <w:r>
                    <w:t>数据来源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3479" w:type="dxa"/>
                  <w:gridSpan w:val="7"/>
                  <w:noWrap/>
                  <w:vAlign w:val="center"/>
                </w:tcPr>
                <w:p>
                  <w:pPr>
                    <w:pStyle w:val="41"/>
                    <w:snapToGrid w:val="0"/>
                  </w:pPr>
                  <w:r>
                    <w:t>丰水期 □；平水期 □；枯水期 □；冰封期</w:t>
                  </w:r>
                </w:p>
                <w:p>
                  <w:pPr>
                    <w:pStyle w:val="41"/>
                    <w:snapToGrid w:val="0"/>
                  </w:pPr>
                  <w:r>
                    <w:t>春季 □；夏季 □；秋季 □；冬季 □</w:t>
                  </w:r>
                </w:p>
              </w:tc>
              <w:tc>
                <w:tcPr>
                  <w:tcW w:w="3203" w:type="dxa"/>
                  <w:gridSpan w:val="7"/>
                  <w:tcBorders>
                    <w:right w:val="single" w:color="auto" w:sz="4" w:space="0"/>
                  </w:tcBorders>
                  <w:noWrap/>
                  <w:vAlign w:val="center"/>
                </w:tcPr>
                <w:p>
                  <w:pPr>
                    <w:pStyle w:val="41"/>
                    <w:snapToGrid w:val="0"/>
                  </w:pPr>
                  <w:r>
                    <w:t>水行政主管部门 □；补充监测</w:t>
                  </w:r>
                  <w:r>
                    <w:rPr/>
                    <w:sym w:font="Wingdings 2" w:char="0052"/>
                  </w:r>
                  <w:r>
                    <w:t>；其他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补充监测</w:t>
                  </w:r>
                </w:p>
              </w:tc>
              <w:tc>
                <w:tcPr>
                  <w:tcW w:w="2770" w:type="dxa"/>
                  <w:gridSpan w:val="6"/>
                  <w:noWrap/>
                  <w:vAlign w:val="center"/>
                </w:tcPr>
                <w:p>
                  <w:pPr>
                    <w:pStyle w:val="41"/>
                    <w:snapToGrid w:val="0"/>
                  </w:pPr>
                  <w:r>
                    <w:t>监测时期</w:t>
                  </w:r>
                </w:p>
              </w:tc>
              <w:tc>
                <w:tcPr>
                  <w:tcW w:w="1507" w:type="dxa"/>
                  <w:gridSpan w:val="5"/>
                  <w:noWrap/>
                  <w:vAlign w:val="center"/>
                </w:tcPr>
                <w:p>
                  <w:pPr>
                    <w:pStyle w:val="41"/>
                    <w:snapToGrid w:val="0"/>
                  </w:pPr>
                  <w:r>
                    <w:t>监测因子</w:t>
                  </w:r>
                </w:p>
              </w:tc>
              <w:tc>
                <w:tcPr>
                  <w:tcW w:w="2405" w:type="dxa"/>
                  <w:gridSpan w:val="3"/>
                  <w:tcBorders>
                    <w:right w:val="single" w:color="auto" w:sz="4" w:space="0"/>
                  </w:tcBorders>
                  <w:noWrap/>
                  <w:vAlign w:val="center"/>
                </w:tcPr>
                <w:p>
                  <w:pPr>
                    <w:pStyle w:val="41"/>
                    <w:snapToGrid w:val="0"/>
                  </w:pPr>
                  <w:r>
                    <w:t>监测断面或点位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2770" w:type="dxa"/>
                  <w:gridSpan w:val="6"/>
                  <w:noWrap/>
                  <w:vAlign w:val="center"/>
                </w:tcPr>
                <w:p>
                  <w:pPr>
                    <w:pStyle w:val="41"/>
                    <w:snapToGrid w:val="0"/>
                  </w:pPr>
                  <w:r>
                    <w:t xml:space="preserve">丰水期 □；平水期 □；枯水期 □；冰封期 □ </w:t>
                  </w:r>
                </w:p>
                <w:p>
                  <w:pPr>
                    <w:pStyle w:val="41"/>
                    <w:snapToGrid w:val="0"/>
                  </w:pPr>
                  <w:r>
                    <w:t>春季 □；夏季 □；秋季 □；冬季 □</w:t>
                  </w:r>
                </w:p>
              </w:tc>
              <w:tc>
                <w:tcPr>
                  <w:tcW w:w="1507" w:type="dxa"/>
                  <w:gridSpan w:val="5"/>
                  <w:noWrap/>
                  <w:vAlign w:val="center"/>
                </w:tcPr>
                <w:p>
                  <w:pPr>
                    <w:pStyle w:val="41"/>
                    <w:snapToGrid w:val="0"/>
                  </w:pPr>
                  <w:r>
                    <w:t>（）</w:t>
                  </w:r>
                </w:p>
              </w:tc>
              <w:tc>
                <w:tcPr>
                  <w:tcW w:w="2405" w:type="dxa"/>
                  <w:gridSpan w:val="3"/>
                  <w:tcBorders>
                    <w:right w:val="single" w:color="auto" w:sz="4" w:space="0"/>
                  </w:tcBorders>
                  <w:noWrap/>
                  <w:vAlign w:val="center"/>
                </w:tcPr>
                <w:p>
                  <w:pPr>
                    <w:pStyle w:val="41"/>
                    <w:snapToGrid w:val="0"/>
                  </w:pPr>
                  <w:r>
                    <w:t>监测断面或点位个数</w:t>
                  </w:r>
                </w:p>
                <w:p>
                  <w:pPr>
                    <w:pStyle w:val="41"/>
                    <w:snapToGrid w:val="0"/>
                  </w:pPr>
                  <w:r>
                    <w:t>（）个</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现</w:t>
                  </w:r>
                </w:p>
                <w:p>
                  <w:pPr>
                    <w:pStyle w:val="41"/>
                    <w:snapToGrid w:val="0"/>
                  </w:pPr>
                  <w:r>
                    <w:t>状</w:t>
                  </w:r>
                </w:p>
                <w:p>
                  <w:pPr>
                    <w:pStyle w:val="41"/>
                    <w:snapToGrid w:val="0"/>
                  </w:pPr>
                  <w:r>
                    <w:t>评</w:t>
                  </w:r>
                </w:p>
                <w:p>
                  <w:pPr>
                    <w:pStyle w:val="41"/>
                    <w:snapToGrid w:val="0"/>
                  </w:pPr>
                  <w:r>
                    <w:t>价</w:t>
                  </w:r>
                </w:p>
              </w:tc>
              <w:tc>
                <w:tcPr>
                  <w:tcW w:w="1332" w:type="dxa"/>
                  <w:noWrap/>
                  <w:vAlign w:val="center"/>
                </w:tcPr>
                <w:p>
                  <w:pPr>
                    <w:pStyle w:val="41"/>
                    <w:snapToGrid w:val="0"/>
                  </w:pPr>
                  <w:r>
                    <w:t>评价范围</w:t>
                  </w:r>
                </w:p>
              </w:tc>
              <w:tc>
                <w:tcPr>
                  <w:tcW w:w="6682" w:type="dxa"/>
                  <w:gridSpan w:val="14"/>
                  <w:tcBorders>
                    <w:right w:val="single" w:color="auto" w:sz="4" w:space="0"/>
                  </w:tcBorders>
                  <w:noWrap/>
                  <w:vAlign w:val="center"/>
                </w:tcPr>
                <w:p>
                  <w:pPr>
                    <w:pStyle w:val="41"/>
                    <w:snapToGrid w:val="0"/>
                  </w:pPr>
                  <w:r>
                    <w:t>河流：长度（）km；湖库、河口及近岸海域：面积（/）km</w:t>
                  </w:r>
                  <w:r>
                    <w:rPr>
                      <w:vertAlign w:val="superscript"/>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评价因子</w:t>
                  </w:r>
                </w:p>
              </w:tc>
              <w:tc>
                <w:tcPr>
                  <w:tcW w:w="6682" w:type="dxa"/>
                  <w:gridSpan w:val="14"/>
                  <w:tcBorders>
                    <w:right w:val="single" w:color="auto" w:sz="4" w:space="0"/>
                  </w:tcBorders>
                  <w:noWrap/>
                  <w:vAlign w:val="center"/>
                </w:tcPr>
                <w:p>
                  <w:pPr>
                    <w:pStyle w:val="41"/>
                    <w:snapToGrid w:val="0"/>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评价标准</w:t>
                  </w:r>
                </w:p>
              </w:tc>
              <w:tc>
                <w:tcPr>
                  <w:tcW w:w="6682" w:type="dxa"/>
                  <w:gridSpan w:val="14"/>
                  <w:tcBorders>
                    <w:right w:val="single" w:color="auto" w:sz="4" w:space="0"/>
                  </w:tcBorders>
                  <w:noWrap/>
                  <w:vAlign w:val="center"/>
                </w:tcPr>
                <w:p>
                  <w:pPr>
                    <w:pStyle w:val="41"/>
                    <w:snapToGrid w:val="0"/>
                  </w:pPr>
                  <w:r>
                    <w:t>河流、湖库、河口：Ⅰ类 □；Ⅱ类□；Ⅲ类</w:t>
                  </w:r>
                  <w:r>
                    <w:rPr/>
                    <w:sym w:font="Wingdings 2" w:char="0052"/>
                  </w:r>
                  <w:r>
                    <w:t xml:space="preserve">；Ⅳ类 □；Ⅴ类 □ </w:t>
                  </w:r>
                </w:p>
                <w:p>
                  <w:pPr>
                    <w:pStyle w:val="41"/>
                    <w:snapToGrid w:val="0"/>
                  </w:pPr>
                  <w:r>
                    <w:t xml:space="preserve">近岸海域：第一类 □；第二类 □；第三类 □；第四类□ </w:t>
                  </w:r>
                </w:p>
                <w:p>
                  <w:pPr>
                    <w:pStyle w:val="41"/>
                    <w:snapToGrid w:val="0"/>
                  </w:pPr>
                  <w:r>
                    <w:t>规划年评价标准（/）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评价时期</w:t>
                  </w:r>
                </w:p>
              </w:tc>
              <w:tc>
                <w:tcPr>
                  <w:tcW w:w="6682" w:type="dxa"/>
                  <w:gridSpan w:val="14"/>
                  <w:tcBorders>
                    <w:right w:val="single" w:color="auto" w:sz="4" w:space="0"/>
                  </w:tcBorders>
                  <w:noWrap/>
                  <w:vAlign w:val="center"/>
                </w:tcPr>
                <w:p>
                  <w:pPr>
                    <w:pStyle w:val="41"/>
                    <w:snapToGrid w:val="0"/>
                  </w:pPr>
                  <w:r>
                    <w:t xml:space="preserve">丰水期 □；平水期 □；枯水期 □；冰封期 □ </w:t>
                  </w:r>
                </w:p>
                <w:p>
                  <w:pPr>
                    <w:pStyle w:val="41"/>
                    <w:snapToGrid w:val="0"/>
                  </w:pPr>
                  <w:r>
                    <w:t xml:space="preserve">春季 □；夏季 □；秋季 □；冬季 □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评价结论</w:t>
                  </w:r>
                </w:p>
              </w:tc>
              <w:tc>
                <w:tcPr>
                  <w:tcW w:w="5180" w:type="dxa"/>
                  <w:gridSpan w:val="13"/>
                  <w:noWrap/>
                  <w:vAlign w:val="center"/>
                </w:tcPr>
                <w:p>
                  <w:pPr>
                    <w:pStyle w:val="41"/>
                    <w:snapToGrid w:val="0"/>
                  </w:pPr>
                  <w:r>
                    <w:t xml:space="preserve">水环境功能区或水功能区、近岸海域环境功能区水质达标状况□：达标□；不达标 □ </w:t>
                  </w:r>
                </w:p>
                <w:p>
                  <w:pPr>
                    <w:pStyle w:val="41"/>
                    <w:snapToGrid w:val="0"/>
                  </w:pPr>
                  <w:r>
                    <w:t>水环境控制单元或断面水质达标状况 □：达标</w:t>
                  </w:r>
                  <w:r>
                    <w:rPr/>
                    <w:sym w:font="Wingdings 2" w:char="0052"/>
                  </w:r>
                  <w:r>
                    <w:t>；不达标 □</w:t>
                  </w:r>
                </w:p>
                <w:p>
                  <w:pPr>
                    <w:pStyle w:val="41"/>
                    <w:snapToGrid w:val="0"/>
                  </w:pPr>
                  <w:r>
                    <w:t>水环境保护目标质量状况 □：达标</w:t>
                  </w:r>
                  <w:r>
                    <w:rPr/>
                    <w:sym w:font="Wingdings 2" w:char="0052"/>
                  </w:r>
                  <w:r>
                    <w:t xml:space="preserve">；不达标 □ </w:t>
                  </w:r>
                </w:p>
                <w:p>
                  <w:pPr>
                    <w:pStyle w:val="41"/>
                    <w:snapToGrid w:val="0"/>
                  </w:pPr>
                  <w:r>
                    <w:t>对照断面、控制断面等代表性断面的水质状况 □：达标□；不达标□</w:t>
                  </w:r>
                </w:p>
                <w:p>
                  <w:pPr>
                    <w:pStyle w:val="41"/>
                    <w:snapToGrid w:val="0"/>
                  </w:pPr>
                  <w:r>
                    <w:t xml:space="preserve">底泥污染评价 □ </w:t>
                  </w:r>
                </w:p>
                <w:p>
                  <w:pPr>
                    <w:pStyle w:val="41"/>
                    <w:snapToGrid w:val="0"/>
                  </w:pPr>
                  <w:r>
                    <w:t xml:space="preserve">水资源与开发利用程度及其水文情势评价 □ </w:t>
                  </w:r>
                </w:p>
                <w:p>
                  <w:pPr>
                    <w:pStyle w:val="41"/>
                    <w:snapToGrid w:val="0"/>
                  </w:pPr>
                  <w:r>
                    <w:t xml:space="preserve">水环境质量回顾评价 □ </w:t>
                  </w:r>
                </w:p>
                <w:p>
                  <w:pPr>
                    <w:pStyle w:val="41"/>
                    <w:snapToGrid w:val="0"/>
                  </w:pPr>
                  <w:r>
                    <w:t>流域（区域）水资源（包括水能资源）与开发利用总体状况、生态流量管理要求与现状满足程度、建设项目占用水域空间的水流状况与河湖演变状况 □</w:t>
                  </w:r>
                </w:p>
              </w:tc>
              <w:tc>
                <w:tcPr>
                  <w:tcW w:w="1502" w:type="dxa"/>
                  <w:tcBorders>
                    <w:right w:val="single" w:color="auto" w:sz="4" w:space="0"/>
                  </w:tcBorders>
                  <w:noWrap/>
                  <w:vAlign w:val="center"/>
                </w:tcPr>
                <w:p>
                  <w:pPr>
                    <w:pStyle w:val="41"/>
                    <w:snapToGrid w:val="0"/>
                  </w:pPr>
                  <w:r>
                    <w:t>达标区</w:t>
                  </w:r>
                  <w:r>
                    <w:rPr/>
                    <w:sym w:font="Wingdings 2" w:char="0052"/>
                  </w:r>
                </w:p>
                <w:p>
                  <w:pPr>
                    <w:pStyle w:val="41"/>
                    <w:snapToGrid w:val="0"/>
                  </w:pPr>
                  <w:r>
                    <w:t>不达标区□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影</w:t>
                  </w:r>
                </w:p>
                <w:p>
                  <w:pPr>
                    <w:pStyle w:val="41"/>
                    <w:snapToGrid w:val="0"/>
                  </w:pPr>
                  <w:r>
                    <w:t>响</w:t>
                  </w:r>
                </w:p>
                <w:p>
                  <w:pPr>
                    <w:pStyle w:val="41"/>
                    <w:snapToGrid w:val="0"/>
                  </w:pPr>
                  <w:r>
                    <w:t>预</w:t>
                  </w:r>
                </w:p>
                <w:p>
                  <w:pPr>
                    <w:pStyle w:val="41"/>
                    <w:snapToGrid w:val="0"/>
                  </w:pPr>
                  <w:r>
                    <w:t>测</w:t>
                  </w:r>
                </w:p>
              </w:tc>
              <w:tc>
                <w:tcPr>
                  <w:tcW w:w="1332" w:type="dxa"/>
                  <w:noWrap/>
                  <w:vAlign w:val="center"/>
                </w:tcPr>
                <w:p>
                  <w:pPr>
                    <w:pStyle w:val="41"/>
                    <w:snapToGrid w:val="0"/>
                  </w:pPr>
                  <w:r>
                    <w:t>预测范围</w:t>
                  </w:r>
                </w:p>
              </w:tc>
              <w:tc>
                <w:tcPr>
                  <w:tcW w:w="6682" w:type="dxa"/>
                  <w:gridSpan w:val="14"/>
                  <w:tcBorders>
                    <w:right w:val="single" w:color="auto" w:sz="4" w:space="0"/>
                  </w:tcBorders>
                  <w:noWrap/>
                  <w:vAlign w:val="center"/>
                </w:tcPr>
                <w:p>
                  <w:pPr>
                    <w:pStyle w:val="41"/>
                    <w:snapToGrid w:val="0"/>
                  </w:pPr>
                  <w:r>
                    <w:t>河流：长度（/）km；湖库、河口及近岸海域：面积（/）km</w:t>
                  </w:r>
                  <w:r>
                    <w:rPr>
                      <w:vertAlign w:val="superscript"/>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预测因子</w:t>
                  </w:r>
                </w:p>
              </w:tc>
              <w:tc>
                <w:tcPr>
                  <w:tcW w:w="6682" w:type="dxa"/>
                  <w:gridSpan w:val="14"/>
                  <w:tcBorders>
                    <w:right w:val="single" w:color="auto" w:sz="4" w:space="0"/>
                  </w:tcBorders>
                  <w:noWrap/>
                  <w:vAlign w:val="center"/>
                </w:tcPr>
                <w:p>
                  <w:pPr>
                    <w:pStyle w:val="41"/>
                    <w:snapToGrid w:val="0"/>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预测时期</w:t>
                  </w:r>
                </w:p>
              </w:tc>
              <w:tc>
                <w:tcPr>
                  <w:tcW w:w="6682" w:type="dxa"/>
                  <w:gridSpan w:val="14"/>
                  <w:tcBorders>
                    <w:right w:val="single" w:color="auto" w:sz="4" w:space="0"/>
                  </w:tcBorders>
                  <w:noWrap/>
                  <w:vAlign w:val="center"/>
                </w:tcPr>
                <w:p>
                  <w:pPr>
                    <w:pStyle w:val="41"/>
                    <w:snapToGrid w:val="0"/>
                  </w:pPr>
                  <w:r>
                    <w:t>丰水期 □；平水期 □；枯水期 □；冰封期 □</w:t>
                  </w:r>
                </w:p>
                <w:p>
                  <w:pPr>
                    <w:pStyle w:val="41"/>
                    <w:snapToGrid w:val="0"/>
                  </w:pPr>
                  <w:r>
                    <w:t xml:space="preserve">春季 □；夏季 □；秋季 □；冬季 □ </w:t>
                  </w:r>
                </w:p>
                <w:p>
                  <w:pPr>
                    <w:pStyle w:val="41"/>
                    <w:snapToGrid w:val="0"/>
                  </w:pPr>
                  <w:r>
                    <w:t>设计水文条件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预测情景</w:t>
                  </w:r>
                </w:p>
              </w:tc>
              <w:tc>
                <w:tcPr>
                  <w:tcW w:w="6682" w:type="dxa"/>
                  <w:gridSpan w:val="14"/>
                  <w:tcBorders>
                    <w:right w:val="single" w:color="auto" w:sz="4" w:space="0"/>
                  </w:tcBorders>
                  <w:noWrap/>
                  <w:vAlign w:val="center"/>
                </w:tcPr>
                <w:p>
                  <w:pPr>
                    <w:pStyle w:val="41"/>
                    <w:snapToGrid w:val="0"/>
                  </w:pPr>
                  <w:r>
                    <w:t xml:space="preserve">建设期 □；生产运行期 □；服务期满后 □ </w:t>
                  </w:r>
                </w:p>
                <w:p>
                  <w:pPr>
                    <w:pStyle w:val="41"/>
                    <w:snapToGrid w:val="0"/>
                  </w:pPr>
                  <w:r>
                    <w:t xml:space="preserve">正常工况 □；非正常工况 □ </w:t>
                  </w:r>
                </w:p>
                <w:p>
                  <w:pPr>
                    <w:pStyle w:val="41"/>
                    <w:snapToGrid w:val="0"/>
                  </w:pPr>
                  <w:r>
                    <w:t xml:space="preserve">污染控制和减缓措施方案 □ </w:t>
                  </w:r>
                </w:p>
                <w:p>
                  <w:pPr>
                    <w:pStyle w:val="41"/>
                    <w:snapToGrid w:val="0"/>
                  </w:pPr>
                  <w:r>
                    <w:t>区（流）域环境质量改善目标要求情景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预测方法</w:t>
                  </w:r>
                </w:p>
              </w:tc>
              <w:tc>
                <w:tcPr>
                  <w:tcW w:w="6682" w:type="dxa"/>
                  <w:gridSpan w:val="14"/>
                  <w:tcBorders>
                    <w:right w:val="single" w:color="auto" w:sz="4" w:space="0"/>
                  </w:tcBorders>
                  <w:noWrap/>
                  <w:vAlign w:val="center"/>
                </w:tcPr>
                <w:p>
                  <w:pPr>
                    <w:pStyle w:val="41"/>
                    <w:snapToGrid w:val="0"/>
                  </w:pPr>
                  <w:r>
                    <w:t xml:space="preserve">数值解 □：解析解 □；其他 □ </w:t>
                  </w:r>
                </w:p>
                <w:p>
                  <w:pPr>
                    <w:pStyle w:val="41"/>
                    <w:snapToGrid w:val="0"/>
                  </w:pPr>
                  <w:r>
                    <w:t>导则推荐模式 □：其他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影</w:t>
                  </w:r>
                </w:p>
                <w:p>
                  <w:pPr>
                    <w:pStyle w:val="41"/>
                    <w:snapToGrid w:val="0"/>
                  </w:pPr>
                  <w:r>
                    <w:t>响</w:t>
                  </w:r>
                </w:p>
                <w:p>
                  <w:pPr>
                    <w:pStyle w:val="41"/>
                    <w:snapToGrid w:val="0"/>
                  </w:pPr>
                  <w:r>
                    <w:t>评</w:t>
                  </w:r>
                </w:p>
                <w:p>
                  <w:pPr>
                    <w:pStyle w:val="41"/>
                    <w:snapToGrid w:val="0"/>
                  </w:pPr>
                  <w:r>
                    <w:t>价</w:t>
                  </w:r>
                </w:p>
              </w:tc>
              <w:tc>
                <w:tcPr>
                  <w:tcW w:w="1332" w:type="dxa"/>
                  <w:noWrap/>
                  <w:vAlign w:val="center"/>
                </w:tcPr>
                <w:p>
                  <w:pPr>
                    <w:pStyle w:val="41"/>
                    <w:snapToGrid w:val="0"/>
                  </w:pPr>
                  <w:r>
                    <w:t>水污染控制和水环境影响减缓措</w:t>
                  </w:r>
                </w:p>
                <w:p>
                  <w:pPr>
                    <w:pStyle w:val="41"/>
                    <w:snapToGrid w:val="0"/>
                  </w:pPr>
                  <w:r>
                    <w:t>施有效性评价</w:t>
                  </w:r>
                </w:p>
              </w:tc>
              <w:tc>
                <w:tcPr>
                  <w:tcW w:w="6682" w:type="dxa"/>
                  <w:gridSpan w:val="14"/>
                  <w:tcBorders>
                    <w:right w:val="single" w:color="auto" w:sz="4" w:space="0"/>
                  </w:tcBorders>
                  <w:noWrap/>
                  <w:vAlign w:val="center"/>
                </w:tcPr>
                <w:p>
                  <w:pPr>
                    <w:pStyle w:val="41"/>
                    <w:snapToGrid w:val="0"/>
                  </w:pPr>
                  <w:r>
                    <w:t xml:space="preserve">区（流）域水环境质量改善目标 □；替代削减源 □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水环境影响评价</w:t>
                  </w:r>
                </w:p>
              </w:tc>
              <w:tc>
                <w:tcPr>
                  <w:tcW w:w="6682" w:type="dxa"/>
                  <w:gridSpan w:val="14"/>
                  <w:tcBorders>
                    <w:right w:val="single" w:color="auto" w:sz="4" w:space="0"/>
                  </w:tcBorders>
                  <w:noWrap/>
                  <w:vAlign w:val="center"/>
                </w:tcPr>
                <w:p>
                  <w:pPr>
                    <w:pStyle w:val="41"/>
                    <w:snapToGrid w:val="0"/>
                    <w:jc w:val="left"/>
                  </w:pPr>
                  <w:r>
                    <w:t xml:space="preserve">排放口混合区外满足水环境管理要求 □ </w:t>
                  </w:r>
                </w:p>
                <w:p>
                  <w:pPr>
                    <w:pStyle w:val="41"/>
                    <w:snapToGrid w:val="0"/>
                    <w:jc w:val="left"/>
                  </w:pPr>
                  <w:r>
                    <w:t xml:space="preserve">水环境功能区或水功能区、近岸海域环境功能区水质达标 □ </w:t>
                  </w:r>
                </w:p>
                <w:p>
                  <w:pPr>
                    <w:pStyle w:val="41"/>
                    <w:snapToGrid w:val="0"/>
                    <w:jc w:val="left"/>
                  </w:pPr>
                  <w:r>
                    <w:t xml:space="preserve">满足水环境保护目标水域水环境质量要求 □ </w:t>
                  </w:r>
                </w:p>
                <w:p>
                  <w:pPr>
                    <w:pStyle w:val="41"/>
                    <w:snapToGrid w:val="0"/>
                    <w:jc w:val="left"/>
                  </w:pPr>
                  <w:r>
                    <w:t xml:space="preserve">水环境控制单元或断面水质达标 □ </w:t>
                  </w:r>
                </w:p>
                <w:p>
                  <w:pPr>
                    <w:pStyle w:val="41"/>
                    <w:snapToGrid w:val="0"/>
                    <w:jc w:val="left"/>
                  </w:pPr>
                  <w:r>
                    <w:t xml:space="preserve">满足重点水污染物排放总量控制指标要求，重点行业建设项目，主要污染物排放满足等量或减量替代要求 □ </w:t>
                  </w:r>
                </w:p>
                <w:p>
                  <w:pPr>
                    <w:pStyle w:val="41"/>
                    <w:snapToGrid w:val="0"/>
                    <w:jc w:val="left"/>
                  </w:pPr>
                  <w:r>
                    <w:t xml:space="preserve">满足区（流）域水环境质量改善目标要求 □ </w:t>
                  </w:r>
                </w:p>
                <w:p>
                  <w:pPr>
                    <w:pStyle w:val="41"/>
                    <w:snapToGrid w:val="0"/>
                    <w:jc w:val="left"/>
                  </w:pPr>
                  <w:r>
                    <w:t xml:space="preserve">水文要素影响型建设项目同时应包括水文情势变化评价、主要水文特征值影响评价、生态流量符合性评价 □ </w:t>
                  </w:r>
                </w:p>
                <w:p>
                  <w:pPr>
                    <w:pStyle w:val="41"/>
                    <w:snapToGrid w:val="0"/>
                    <w:jc w:val="left"/>
                  </w:pPr>
                  <w:r>
                    <w:t xml:space="preserve">对于新设或调整入河（湖库、近岸海域）排放口的建设项目，应包括排放口设置的环境合理性评价 □ </w:t>
                  </w:r>
                </w:p>
                <w:p>
                  <w:pPr>
                    <w:pStyle w:val="41"/>
                    <w:snapToGrid w:val="0"/>
                    <w:jc w:val="left"/>
                  </w:pPr>
                  <w:r>
                    <w:t>满足生态保护红线、水环境质量底线、资源利用上线和环境准入清单管理要求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污染源排放量核算</w:t>
                  </w:r>
                </w:p>
              </w:tc>
              <w:tc>
                <w:tcPr>
                  <w:tcW w:w="1781" w:type="dxa"/>
                  <w:gridSpan w:val="3"/>
                  <w:noWrap/>
                  <w:vAlign w:val="center"/>
                </w:tcPr>
                <w:p>
                  <w:pPr>
                    <w:pStyle w:val="41"/>
                    <w:snapToGrid w:val="0"/>
                  </w:pPr>
                  <w:r>
                    <w:t>污染物名称</w:t>
                  </w:r>
                </w:p>
              </w:tc>
              <w:tc>
                <w:tcPr>
                  <w:tcW w:w="2233" w:type="dxa"/>
                  <w:gridSpan w:val="6"/>
                  <w:noWrap/>
                  <w:vAlign w:val="center"/>
                </w:tcPr>
                <w:p>
                  <w:pPr>
                    <w:pStyle w:val="41"/>
                    <w:snapToGrid w:val="0"/>
                  </w:pPr>
                  <w:r>
                    <w:t>本项目排放量/（t/a）</w:t>
                  </w:r>
                </w:p>
              </w:tc>
              <w:tc>
                <w:tcPr>
                  <w:tcW w:w="2668" w:type="dxa"/>
                  <w:gridSpan w:val="5"/>
                  <w:tcBorders>
                    <w:right w:val="single" w:color="auto" w:sz="4" w:space="0"/>
                  </w:tcBorders>
                  <w:noWrap/>
                  <w:vAlign w:val="center"/>
                </w:tcPr>
                <w:p>
                  <w:pPr>
                    <w:pStyle w:val="41"/>
                    <w:snapToGrid w:val="0"/>
                  </w:pPr>
                  <w:r>
                    <w:t>排放浓度/（mg/L）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781" w:type="dxa"/>
                  <w:gridSpan w:val="3"/>
                  <w:noWrap/>
                  <w:vAlign w:val="center"/>
                </w:tcPr>
                <w:p>
                  <w:pPr>
                    <w:pStyle w:val="41"/>
                    <w:snapToGrid w:val="0"/>
                  </w:pPr>
                  <w:r>
                    <w:t>COD</w:t>
                  </w:r>
                </w:p>
              </w:tc>
              <w:tc>
                <w:tcPr>
                  <w:tcW w:w="2233" w:type="dxa"/>
                  <w:gridSpan w:val="6"/>
                  <w:noWrap/>
                  <w:vAlign w:val="center"/>
                </w:tcPr>
                <w:p>
                  <w:pPr>
                    <w:jc w:val="center"/>
                  </w:pPr>
                  <w:r>
                    <w:t>/</w:t>
                  </w:r>
                </w:p>
              </w:tc>
              <w:tc>
                <w:tcPr>
                  <w:tcW w:w="2668" w:type="dxa"/>
                  <w:gridSpan w:val="5"/>
                  <w:tcBorders>
                    <w:right w:val="single" w:color="auto" w:sz="4" w:space="0"/>
                  </w:tcBorders>
                  <w:noWrap/>
                  <w:vAlign w:val="center"/>
                </w:tcPr>
                <w:p>
                  <w:pPr>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781" w:type="dxa"/>
                  <w:gridSpan w:val="3"/>
                  <w:noWrap/>
                  <w:vAlign w:val="center"/>
                </w:tcPr>
                <w:p>
                  <w:pPr>
                    <w:pStyle w:val="41"/>
                    <w:snapToGrid w:val="0"/>
                  </w:pPr>
                  <w:r>
                    <w:t>SS</w:t>
                  </w:r>
                </w:p>
              </w:tc>
              <w:tc>
                <w:tcPr>
                  <w:tcW w:w="2233" w:type="dxa"/>
                  <w:gridSpan w:val="6"/>
                  <w:noWrap/>
                  <w:vAlign w:val="center"/>
                </w:tcPr>
                <w:p>
                  <w:pPr>
                    <w:jc w:val="center"/>
                  </w:pPr>
                  <w:r>
                    <w:t>/</w:t>
                  </w:r>
                </w:p>
              </w:tc>
              <w:tc>
                <w:tcPr>
                  <w:tcW w:w="2668" w:type="dxa"/>
                  <w:gridSpan w:val="5"/>
                  <w:tcBorders>
                    <w:right w:val="single" w:color="auto" w:sz="4" w:space="0"/>
                  </w:tcBorders>
                  <w:noWrap/>
                  <w:vAlign w:val="center"/>
                </w:tcPr>
                <w:p>
                  <w:pPr>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781" w:type="dxa"/>
                  <w:gridSpan w:val="3"/>
                  <w:noWrap/>
                  <w:vAlign w:val="center"/>
                </w:tcPr>
                <w:p>
                  <w:pPr>
                    <w:pStyle w:val="41"/>
                    <w:snapToGrid w:val="0"/>
                  </w:pPr>
                  <w:r>
                    <w:t>BOD</w:t>
                  </w:r>
                  <w:r>
                    <w:rPr>
                      <w:vertAlign w:val="subscript"/>
                    </w:rPr>
                    <w:t>5</w:t>
                  </w:r>
                </w:p>
              </w:tc>
              <w:tc>
                <w:tcPr>
                  <w:tcW w:w="2233" w:type="dxa"/>
                  <w:gridSpan w:val="6"/>
                  <w:noWrap/>
                  <w:vAlign w:val="center"/>
                </w:tcPr>
                <w:p>
                  <w:pPr>
                    <w:jc w:val="center"/>
                  </w:pPr>
                  <w:r>
                    <w:t>/</w:t>
                  </w:r>
                </w:p>
              </w:tc>
              <w:tc>
                <w:tcPr>
                  <w:tcW w:w="2668" w:type="dxa"/>
                  <w:gridSpan w:val="5"/>
                  <w:tcBorders>
                    <w:right w:val="single" w:color="auto" w:sz="4" w:space="0"/>
                  </w:tcBorders>
                  <w:noWrap/>
                  <w:vAlign w:val="center"/>
                </w:tcPr>
                <w:p>
                  <w:pPr>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781" w:type="dxa"/>
                  <w:gridSpan w:val="3"/>
                  <w:noWrap/>
                  <w:vAlign w:val="center"/>
                </w:tcPr>
                <w:p>
                  <w:pPr>
                    <w:pStyle w:val="41"/>
                    <w:snapToGrid w:val="0"/>
                  </w:pPr>
                  <w:r>
                    <w:t>NH</w:t>
                  </w:r>
                  <w:r>
                    <w:rPr>
                      <w:vertAlign w:val="subscript"/>
                    </w:rPr>
                    <w:t>3</w:t>
                  </w:r>
                  <w:r>
                    <w:t>-N</w:t>
                  </w:r>
                </w:p>
              </w:tc>
              <w:tc>
                <w:tcPr>
                  <w:tcW w:w="2233" w:type="dxa"/>
                  <w:gridSpan w:val="6"/>
                  <w:noWrap/>
                  <w:vAlign w:val="center"/>
                </w:tcPr>
                <w:p>
                  <w:pPr>
                    <w:jc w:val="center"/>
                  </w:pPr>
                  <w:r>
                    <w:t>/</w:t>
                  </w:r>
                </w:p>
              </w:tc>
              <w:tc>
                <w:tcPr>
                  <w:tcW w:w="2668" w:type="dxa"/>
                  <w:gridSpan w:val="5"/>
                  <w:tcBorders>
                    <w:right w:val="single" w:color="auto" w:sz="4" w:space="0"/>
                  </w:tcBorders>
                  <w:noWrap/>
                  <w:vAlign w:val="center"/>
                </w:tcPr>
                <w:p>
                  <w:pPr>
                    <w:jc w:val="center"/>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替代源排放情况</w:t>
                  </w:r>
                </w:p>
              </w:tc>
              <w:tc>
                <w:tcPr>
                  <w:tcW w:w="1465" w:type="dxa"/>
                  <w:noWrap/>
                  <w:vAlign w:val="center"/>
                </w:tcPr>
                <w:p>
                  <w:pPr>
                    <w:pStyle w:val="41"/>
                    <w:snapToGrid w:val="0"/>
                  </w:pPr>
                  <w:r>
                    <w:t>污染源名称</w:t>
                  </w:r>
                </w:p>
              </w:tc>
              <w:tc>
                <w:tcPr>
                  <w:tcW w:w="1205" w:type="dxa"/>
                  <w:gridSpan w:val="4"/>
                  <w:noWrap/>
                  <w:vAlign w:val="center"/>
                </w:tcPr>
                <w:p>
                  <w:pPr>
                    <w:pStyle w:val="41"/>
                    <w:snapToGrid w:val="0"/>
                  </w:pPr>
                  <w:r>
                    <w:t>排污许可证编号</w:t>
                  </w:r>
                </w:p>
              </w:tc>
              <w:tc>
                <w:tcPr>
                  <w:tcW w:w="1205" w:type="dxa"/>
                  <w:gridSpan w:val="3"/>
                  <w:noWrap/>
                  <w:vAlign w:val="center"/>
                </w:tcPr>
                <w:p>
                  <w:pPr>
                    <w:pStyle w:val="41"/>
                    <w:snapToGrid w:val="0"/>
                  </w:pPr>
                  <w:r>
                    <w:t>污染物名称</w:t>
                  </w:r>
                </w:p>
              </w:tc>
              <w:tc>
                <w:tcPr>
                  <w:tcW w:w="1204" w:type="dxa"/>
                  <w:gridSpan w:val="4"/>
                  <w:noWrap/>
                  <w:vAlign w:val="center"/>
                </w:tcPr>
                <w:p>
                  <w:pPr>
                    <w:pStyle w:val="41"/>
                    <w:snapToGrid w:val="0"/>
                  </w:pPr>
                  <w:r>
                    <w:t>排放量/（t/a）</w:t>
                  </w:r>
                </w:p>
              </w:tc>
              <w:tc>
                <w:tcPr>
                  <w:tcW w:w="1603" w:type="dxa"/>
                  <w:gridSpan w:val="2"/>
                  <w:tcBorders>
                    <w:right w:val="single" w:color="auto" w:sz="4" w:space="0"/>
                  </w:tcBorders>
                  <w:noWrap/>
                  <w:vAlign w:val="center"/>
                </w:tcPr>
                <w:p>
                  <w:pPr>
                    <w:pStyle w:val="41"/>
                    <w:snapToGrid w:val="0"/>
                  </w:pPr>
                  <w:r>
                    <w:t>排放浓度/（mg/L）</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465" w:type="dxa"/>
                  <w:noWrap/>
                  <w:vAlign w:val="center"/>
                </w:tcPr>
                <w:p>
                  <w:pPr>
                    <w:pStyle w:val="41"/>
                    <w:snapToGrid w:val="0"/>
                  </w:pPr>
                  <w:r>
                    <w:t>（/）</w:t>
                  </w:r>
                </w:p>
              </w:tc>
              <w:tc>
                <w:tcPr>
                  <w:tcW w:w="1205" w:type="dxa"/>
                  <w:gridSpan w:val="4"/>
                  <w:noWrap/>
                  <w:vAlign w:val="center"/>
                </w:tcPr>
                <w:p>
                  <w:pPr>
                    <w:pStyle w:val="41"/>
                    <w:snapToGrid w:val="0"/>
                  </w:pPr>
                  <w:r>
                    <w:t>（/）</w:t>
                  </w:r>
                </w:p>
              </w:tc>
              <w:tc>
                <w:tcPr>
                  <w:tcW w:w="1205" w:type="dxa"/>
                  <w:gridSpan w:val="3"/>
                  <w:noWrap/>
                  <w:vAlign w:val="center"/>
                </w:tcPr>
                <w:p>
                  <w:pPr>
                    <w:pStyle w:val="41"/>
                    <w:snapToGrid w:val="0"/>
                  </w:pPr>
                  <w:r>
                    <w:t>（/）</w:t>
                  </w:r>
                </w:p>
              </w:tc>
              <w:tc>
                <w:tcPr>
                  <w:tcW w:w="1204" w:type="dxa"/>
                  <w:gridSpan w:val="4"/>
                  <w:noWrap/>
                  <w:vAlign w:val="center"/>
                </w:tcPr>
                <w:p>
                  <w:pPr>
                    <w:pStyle w:val="41"/>
                    <w:snapToGrid w:val="0"/>
                  </w:pPr>
                  <w:r>
                    <w:t>（/）</w:t>
                  </w:r>
                </w:p>
              </w:tc>
              <w:tc>
                <w:tcPr>
                  <w:tcW w:w="1603" w:type="dxa"/>
                  <w:gridSpan w:val="2"/>
                  <w:tcBorders>
                    <w:right w:val="single" w:color="auto" w:sz="4" w:space="0"/>
                  </w:tcBorders>
                  <w:noWrap/>
                  <w:vAlign w:val="center"/>
                </w:tcPr>
                <w:p>
                  <w:pPr>
                    <w:pStyle w:val="41"/>
                    <w:snapToGrid w:val="0"/>
                  </w:pP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生态流量确定</w:t>
                  </w:r>
                </w:p>
              </w:tc>
              <w:tc>
                <w:tcPr>
                  <w:tcW w:w="6682" w:type="dxa"/>
                  <w:gridSpan w:val="14"/>
                  <w:tcBorders>
                    <w:right w:val="single" w:color="auto" w:sz="4" w:space="0"/>
                  </w:tcBorders>
                  <w:noWrap/>
                  <w:vAlign w:val="center"/>
                </w:tcPr>
                <w:p>
                  <w:pPr>
                    <w:pStyle w:val="41"/>
                    <w:snapToGrid w:val="0"/>
                  </w:pPr>
                  <w:r>
                    <w:t>生态流量：一般水期（）m</w:t>
                  </w:r>
                  <w:r>
                    <w:rPr>
                      <w:vertAlign w:val="superscript"/>
                    </w:rPr>
                    <w:t>3</w:t>
                  </w:r>
                  <w:r>
                    <w:t>/s；鱼类繁殖期（）m</w:t>
                  </w:r>
                  <w:r>
                    <w:rPr>
                      <w:vertAlign w:val="superscript"/>
                    </w:rPr>
                    <w:t>3</w:t>
                  </w:r>
                  <w:r>
                    <w:t>/s；其他（）m</w:t>
                  </w:r>
                  <w:r>
                    <w:rPr>
                      <w:vertAlign w:val="superscript"/>
                    </w:rPr>
                    <w:t>3</w:t>
                  </w:r>
                  <w:r>
                    <w:t xml:space="preserve">/s </w:t>
                  </w:r>
                </w:p>
                <w:p>
                  <w:pPr>
                    <w:pStyle w:val="41"/>
                    <w:snapToGrid w:val="0"/>
                  </w:pPr>
                  <w:r>
                    <w:t>生态水位：一般水期（）m；鱼类繁殖期（）m；其他（）m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restart"/>
                  <w:tcBorders>
                    <w:left w:val="single" w:color="auto" w:sz="4" w:space="0"/>
                  </w:tcBorders>
                  <w:noWrap/>
                  <w:vAlign w:val="center"/>
                </w:tcPr>
                <w:p>
                  <w:pPr>
                    <w:pStyle w:val="41"/>
                    <w:snapToGrid w:val="0"/>
                  </w:pPr>
                  <w:r>
                    <w:t>防</w:t>
                  </w:r>
                </w:p>
                <w:p>
                  <w:pPr>
                    <w:pStyle w:val="41"/>
                    <w:snapToGrid w:val="0"/>
                  </w:pPr>
                  <w:r>
                    <w:t>治</w:t>
                  </w:r>
                </w:p>
                <w:p>
                  <w:pPr>
                    <w:pStyle w:val="41"/>
                    <w:snapToGrid w:val="0"/>
                  </w:pPr>
                  <w:r>
                    <w:t>措</w:t>
                  </w:r>
                </w:p>
                <w:p>
                  <w:pPr>
                    <w:pStyle w:val="41"/>
                    <w:snapToGrid w:val="0"/>
                  </w:pPr>
                  <w:r>
                    <w:t>施</w:t>
                  </w:r>
                </w:p>
              </w:tc>
              <w:tc>
                <w:tcPr>
                  <w:tcW w:w="1332" w:type="dxa"/>
                  <w:noWrap/>
                  <w:vAlign w:val="center"/>
                </w:tcPr>
                <w:p>
                  <w:pPr>
                    <w:pStyle w:val="41"/>
                    <w:snapToGrid w:val="0"/>
                  </w:pPr>
                  <w:r>
                    <w:t>环保措施</w:t>
                  </w:r>
                </w:p>
              </w:tc>
              <w:tc>
                <w:tcPr>
                  <w:tcW w:w="6682" w:type="dxa"/>
                  <w:gridSpan w:val="14"/>
                  <w:tcBorders>
                    <w:right w:val="single" w:color="auto" w:sz="4" w:space="0"/>
                  </w:tcBorders>
                  <w:noWrap/>
                  <w:vAlign w:val="center"/>
                </w:tcPr>
                <w:p>
                  <w:pPr>
                    <w:pStyle w:val="41"/>
                    <w:snapToGrid w:val="0"/>
                  </w:pPr>
                  <w:r>
                    <w:t>污水处理设施</w:t>
                  </w:r>
                  <w:r>
                    <w:rPr/>
                    <w:sym w:font="Wingdings 2" w:char="0052"/>
                  </w:r>
                  <w:r>
                    <w:t xml:space="preserve">；水文减缓设施 □；生态流量保障设施 □；区域削减 □；依托其他工程措施 □；其他 □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restart"/>
                  <w:noWrap/>
                  <w:vAlign w:val="center"/>
                </w:tcPr>
                <w:p>
                  <w:pPr>
                    <w:pStyle w:val="41"/>
                    <w:snapToGrid w:val="0"/>
                  </w:pPr>
                  <w:r>
                    <w:t>监测计划</w:t>
                  </w:r>
                </w:p>
              </w:tc>
              <w:tc>
                <w:tcPr>
                  <w:tcW w:w="1814" w:type="dxa"/>
                  <w:gridSpan w:val="4"/>
                  <w:noWrap/>
                  <w:vAlign w:val="center"/>
                </w:tcPr>
                <w:p>
                  <w:pPr>
                    <w:pStyle w:val="41"/>
                    <w:snapToGrid w:val="0"/>
                  </w:pPr>
                </w:p>
              </w:tc>
              <w:tc>
                <w:tcPr>
                  <w:tcW w:w="2237" w:type="dxa"/>
                  <w:gridSpan w:val="6"/>
                  <w:noWrap/>
                  <w:vAlign w:val="center"/>
                </w:tcPr>
                <w:p>
                  <w:pPr>
                    <w:pStyle w:val="41"/>
                    <w:snapToGrid w:val="0"/>
                  </w:pPr>
                  <w:r>
                    <w:t>环境质量</w:t>
                  </w:r>
                </w:p>
              </w:tc>
              <w:tc>
                <w:tcPr>
                  <w:tcW w:w="2631" w:type="dxa"/>
                  <w:gridSpan w:val="4"/>
                  <w:tcBorders>
                    <w:right w:val="single" w:color="auto" w:sz="4" w:space="0"/>
                  </w:tcBorders>
                  <w:noWrap/>
                  <w:vAlign w:val="center"/>
                </w:tcPr>
                <w:p>
                  <w:pPr>
                    <w:pStyle w:val="41"/>
                    <w:snapToGrid w:val="0"/>
                  </w:pPr>
                  <w:r>
                    <w:t>污染源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814" w:type="dxa"/>
                  <w:gridSpan w:val="4"/>
                  <w:noWrap/>
                  <w:vAlign w:val="center"/>
                </w:tcPr>
                <w:p>
                  <w:pPr>
                    <w:pStyle w:val="41"/>
                    <w:snapToGrid w:val="0"/>
                  </w:pPr>
                  <w:r>
                    <w:t>监测方式</w:t>
                  </w:r>
                </w:p>
              </w:tc>
              <w:tc>
                <w:tcPr>
                  <w:tcW w:w="2237" w:type="dxa"/>
                  <w:gridSpan w:val="6"/>
                  <w:noWrap/>
                  <w:vAlign w:val="center"/>
                </w:tcPr>
                <w:p>
                  <w:pPr>
                    <w:pStyle w:val="41"/>
                    <w:snapToGrid w:val="0"/>
                  </w:pPr>
                  <w:r>
                    <w:t>手动 □；自动 □；无监测</w:t>
                  </w:r>
                  <w:r>
                    <w:rPr/>
                    <w:sym w:font="Wingdings 2" w:char="00A3"/>
                  </w:r>
                </w:p>
              </w:tc>
              <w:tc>
                <w:tcPr>
                  <w:tcW w:w="2631" w:type="dxa"/>
                  <w:gridSpan w:val="4"/>
                  <w:tcBorders>
                    <w:right w:val="single" w:color="auto" w:sz="4" w:space="0"/>
                  </w:tcBorders>
                  <w:noWrap/>
                  <w:vAlign w:val="center"/>
                </w:tcPr>
                <w:p>
                  <w:pPr>
                    <w:pStyle w:val="41"/>
                    <w:snapToGrid w:val="0"/>
                  </w:pPr>
                  <w:r>
                    <w:t>手动口；自动口；无监测口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814" w:type="dxa"/>
                  <w:gridSpan w:val="4"/>
                  <w:noWrap/>
                  <w:vAlign w:val="center"/>
                </w:tcPr>
                <w:p>
                  <w:pPr>
                    <w:pStyle w:val="41"/>
                    <w:snapToGrid w:val="0"/>
                  </w:pPr>
                  <w:r>
                    <w:t>监测点位</w:t>
                  </w:r>
                </w:p>
              </w:tc>
              <w:tc>
                <w:tcPr>
                  <w:tcW w:w="2237" w:type="dxa"/>
                  <w:gridSpan w:val="6"/>
                  <w:noWrap/>
                  <w:vAlign w:val="center"/>
                </w:tcPr>
                <w:p>
                  <w:pPr>
                    <w:pStyle w:val="41"/>
                    <w:snapToGrid w:val="0"/>
                  </w:pPr>
                  <w:r>
                    <w:t>（）</w:t>
                  </w:r>
                </w:p>
              </w:tc>
              <w:tc>
                <w:tcPr>
                  <w:tcW w:w="2631" w:type="dxa"/>
                  <w:gridSpan w:val="4"/>
                  <w:tcBorders>
                    <w:right w:val="single" w:color="auto" w:sz="4" w:space="0"/>
                  </w:tcBorders>
                  <w:noWrap/>
                  <w:vAlign w:val="center"/>
                </w:tcPr>
                <w:p>
                  <w:pPr>
                    <w:pStyle w:val="41"/>
                    <w:snapToGrid w:val="0"/>
                  </w:pPr>
                  <w:r>
                    <w:t>（厂区排口）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vMerge w:val="continue"/>
                  <w:noWrap/>
                  <w:vAlign w:val="center"/>
                </w:tcPr>
                <w:p>
                  <w:pPr>
                    <w:pStyle w:val="41"/>
                    <w:snapToGrid w:val="0"/>
                  </w:pPr>
                </w:p>
              </w:tc>
              <w:tc>
                <w:tcPr>
                  <w:tcW w:w="1814" w:type="dxa"/>
                  <w:gridSpan w:val="4"/>
                  <w:noWrap/>
                  <w:vAlign w:val="center"/>
                </w:tcPr>
                <w:p>
                  <w:pPr>
                    <w:pStyle w:val="41"/>
                    <w:snapToGrid w:val="0"/>
                  </w:pPr>
                  <w:r>
                    <w:t>监测因子</w:t>
                  </w:r>
                </w:p>
              </w:tc>
              <w:tc>
                <w:tcPr>
                  <w:tcW w:w="2237" w:type="dxa"/>
                  <w:gridSpan w:val="6"/>
                  <w:noWrap/>
                  <w:vAlign w:val="center"/>
                </w:tcPr>
                <w:p>
                  <w:pPr>
                    <w:pStyle w:val="41"/>
                    <w:snapToGrid w:val="0"/>
                  </w:pPr>
                  <w:r>
                    <w:t>（）</w:t>
                  </w:r>
                </w:p>
              </w:tc>
              <w:tc>
                <w:tcPr>
                  <w:tcW w:w="2631" w:type="dxa"/>
                  <w:gridSpan w:val="4"/>
                  <w:tcBorders>
                    <w:right w:val="single" w:color="auto" w:sz="4" w:space="0"/>
                  </w:tcBorders>
                  <w:noWrap/>
                  <w:vAlign w:val="center"/>
                </w:tcPr>
                <w:p>
                  <w:pPr>
                    <w:pStyle w:val="41"/>
                    <w:snapToGrid w:val="0"/>
                  </w:pPr>
                  <w:r>
                    <w:t>（</w:t>
                  </w:r>
                  <w:r>
                    <w:rPr>
                      <w:rFonts w:hint="eastAsia"/>
                    </w:rPr>
                    <w:t xml:space="preserve">    </w:t>
                  </w:r>
                  <w: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dxa"/>
                  <w:vMerge w:val="continue"/>
                  <w:tcBorders>
                    <w:left w:val="single" w:color="auto" w:sz="4" w:space="0"/>
                  </w:tcBorders>
                  <w:noWrap/>
                  <w:vAlign w:val="center"/>
                </w:tcPr>
                <w:p>
                  <w:pPr>
                    <w:pStyle w:val="41"/>
                    <w:snapToGrid w:val="0"/>
                  </w:pPr>
                </w:p>
              </w:tc>
              <w:tc>
                <w:tcPr>
                  <w:tcW w:w="1332" w:type="dxa"/>
                  <w:noWrap/>
                  <w:vAlign w:val="center"/>
                </w:tcPr>
                <w:p>
                  <w:pPr>
                    <w:pStyle w:val="41"/>
                    <w:snapToGrid w:val="0"/>
                  </w:pPr>
                  <w:r>
                    <w:t>污染物排放清单</w:t>
                  </w:r>
                </w:p>
              </w:tc>
              <w:tc>
                <w:tcPr>
                  <w:tcW w:w="6682" w:type="dxa"/>
                  <w:gridSpan w:val="14"/>
                  <w:tcBorders>
                    <w:right w:val="single" w:color="auto" w:sz="4" w:space="0"/>
                  </w:tcBorders>
                  <w:noWrap/>
                  <w:vAlign w:val="center"/>
                </w:tcPr>
                <w:p>
                  <w:pPr>
                    <w:pStyle w:val="41"/>
                    <w:snapToGrid w:val="0"/>
                  </w:pPr>
                  <w:r>
                    <w:rPr/>
                    <w:sym w:font="Wingdings 2" w:char="0052"/>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38" w:type="dxa"/>
                  <w:gridSpan w:val="2"/>
                  <w:tcBorders>
                    <w:left w:val="single" w:color="auto" w:sz="4" w:space="0"/>
                  </w:tcBorders>
                  <w:noWrap/>
                  <w:vAlign w:val="center"/>
                </w:tcPr>
                <w:p>
                  <w:pPr>
                    <w:pStyle w:val="41"/>
                    <w:snapToGrid w:val="0"/>
                  </w:pPr>
                  <w:r>
                    <w:t>评价结论</w:t>
                  </w:r>
                </w:p>
              </w:tc>
              <w:tc>
                <w:tcPr>
                  <w:tcW w:w="6682" w:type="dxa"/>
                  <w:gridSpan w:val="14"/>
                  <w:tcBorders>
                    <w:right w:val="single" w:color="auto" w:sz="4" w:space="0"/>
                  </w:tcBorders>
                  <w:noWrap/>
                  <w:vAlign w:val="center"/>
                </w:tcPr>
                <w:p>
                  <w:pPr>
                    <w:pStyle w:val="41"/>
                    <w:snapToGrid w:val="0"/>
                  </w:pPr>
                  <w:r>
                    <w:t>可以接受 √；不可以接受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20" w:type="dxa"/>
                  <w:gridSpan w:val="16"/>
                  <w:tcBorders>
                    <w:left w:val="single" w:color="auto" w:sz="4" w:space="0"/>
                    <w:bottom w:val="single" w:color="auto" w:sz="6" w:space="0"/>
                    <w:right w:val="single" w:color="auto" w:sz="4" w:space="0"/>
                  </w:tcBorders>
                  <w:noWrap/>
                  <w:vAlign w:val="center"/>
                </w:tcPr>
                <w:p>
                  <w:pPr>
                    <w:pStyle w:val="41"/>
                    <w:snapToGrid w:val="0"/>
                  </w:pPr>
                  <w:r>
                    <w:t>注：“□”为勾选项，可√；“（）”为内容填写项；“备注”为其他补充内容。</w:t>
                  </w:r>
                </w:p>
              </w:tc>
            </w:tr>
          </w:tbl>
          <w:p>
            <w:pPr>
              <w:pStyle w:val="71"/>
              <w:rPr>
                <w:color w:val="auto"/>
              </w:rPr>
            </w:pPr>
          </w:p>
          <w:p>
            <w:pPr>
              <w:pStyle w:val="37"/>
              <w:ind w:firstLine="480"/>
            </w:pPr>
            <w:r>
              <w:rPr>
                <w:rFonts w:hint="eastAsia"/>
              </w:rPr>
              <w:t>（2）地下水环境影响分析</w:t>
            </w:r>
          </w:p>
          <w:p>
            <w:pPr>
              <w:pStyle w:val="37"/>
              <w:ind w:firstLine="480"/>
            </w:pPr>
            <w:r>
              <w:rPr>
                <w:rFonts w:hint="eastAsia"/>
              </w:rPr>
              <w:t>本项目属于非金属矿采选及制品制造，根据《环境影响评价技术导则地下水环境》（HJ610-2006）中附录A，本项目属于Ⅳ类建设项目项目。按照一般性原则规定，IV类建设项目可不开展地下水环境影响评价。</w:t>
            </w:r>
          </w:p>
          <w:p>
            <w:pPr>
              <w:pStyle w:val="37"/>
              <w:ind w:firstLine="480"/>
            </w:pPr>
            <w:r>
              <w:t>为减小本项目对区域地下水产生影响，评价要求对本项目</w:t>
            </w:r>
            <w:r>
              <w:rPr>
                <w:rFonts w:hint="eastAsia"/>
              </w:rPr>
              <w:t>对浓度机、球磨机、分级机、磁选机的生产重点区域</w:t>
            </w:r>
            <w:r>
              <w:t>采取</w:t>
            </w:r>
            <w:r>
              <w:rPr>
                <w:rFonts w:hint="eastAsia"/>
              </w:rPr>
              <w:t>素土层作基础、水泥混凝土</w:t>
            </w:r>
            <w:r>
              <w:t>硬化防渗措施</w:t>
            </w:r>
            <w:r>
              <w:rPr>
                <w:rFonts w:hint="eastAsia"/>
              </w:rPr>
              <w:t>，对非污染区用水泥混凝土</w:t>
            </w:r>
            <w:r>
              <w:t>硬化</w:t>
            </w:r>
            <w:r>
              <w:rPr>
                <w:rFonts w:hint="eastAsia"/>
              </w:rPr>
              <w:t>做</w:t>
            </w:r>
            <w:r>
              <w:t>防渗</w:t>
            </w:r>
            <w:r>
              <w:rPr>
                <w:rFonts w:hint="eastAsia"/>
              </w:rPr>
              <w:t>处理（项目分区防渗图见附图2-3），采取</w:t>
            </w:r>
            <w:r>
              <w:t>同时完善厂区内雨污分流管网建设</w:t>
            </w:r>
            <w:r>
              <w:rPr>
                <w:rFonts w:hint="eastAsia"/>
              </w:rPr>
              <w:t>。</w:t>
            </w:r>
          </w:p>
          <w:p>
            <w:pPr>
              <w:pStyle w:val="37"/>
              <w:ind w:firstLine="480"/>
            </w:pPr>
            <w:r>
              <w:t>3</w:t>
            </w:r>
            <w:r>
              <w:rPr>
                <w:rFonts w:hint="eastAsia"/>
              </w:rPr>
              <w:t>、固体废弃物环境影响分析</w:t>
            </w:r>
          </w:p>
          <w:p>
            <w:pPr>
              <w:pStyle w:val="37"/>
              <w:ind w:firstLine="480"/>
            </w:pPr>
            <w:r>
              <w:rPr>
                <w:rFonts w:hint="eastAsia"/>
              </w:rPr>
              <w:t>项目生产过程中产生的固废主要是场内机械检修废油及生活垃圾。针对设备检修废油，本次环评要求建设单位暂存于依托原有危废暂存间，交由有危废处置资质单位进行处理；针对职工生活垃圾，本次环评要求建设单位分类收集后交由环卫部门处理。</w:t>
            </w:r>
          </w:p>
          <w:p>
            <w:pPr>
              <w:pStyle w:val="37"/>
              <w:ind w:firstLine="480"/>
              <w:rPr>
                <w:sz w:val="28"/>
              </w:rPr>
            </w:pPr>
            <w:r>
              <w:rPr>
                <w:rFonts w:hint="eastAsia"/>
              </w:rPr>
              <w:t>因此，本项目各种固体废物均得到妥善处置，对周边环境影响可接受。</w:t>
            </w:r>
          </w:p>
          <w:p>
            <w:pPr>
              <w:pStyle w:val="37"/>
              <w:ind w:firstLine="480"/>
            </w:pPr>
            <w:r>
              <w:t>4</w:t>
            </w:r>
            <w:r>
              <w:rPr>
                <w:rFonts w:hint="eastAsia"/>
              </w:rPr>
              <w:t>、</w:t>
            </w:r>
            <w:r>
              <w:t>噪声</w:t>
            </w:r>
            <w:r>
              <w:rPr>
                <w:rFonts w:hint="eastAsia"/>
              </w:rPr>
              <w:t>环境影响分析</w:t>
            </w:r>
          </w:p>
          <w:p>
            <w:pPr>
              <w:pStyle w:val="37"/>
              <w:ind w:firstLine="480"/>
              <w:rPr>
                <w:color w:val="FF0000"/>
              </w:rPr>
            </w:pPr>
            <w:r>
              <w:rPr>
                <w:rFonts w:hint="eastAsia"/>
                <w:color w:val="FF0000"/>
              </w:rPr>
              <w:t>本项目噪声源主要为球磨机、分选机、脱泥斗、磁选机、浓密机等机械设备，项目已建设完成，正常生产，根据噪声现状监测结果，本项目正常运行时厂界噪声可满足《工业企业厂界环境噪声排放标准》（GB12348-2008）中3类标准限值要求，噪声敏感点符合《声环境质量标准》GB3096-2008  3类区标准监测结果见表7-9。</w:t>
            </w:r>
          </w:p>
          <w:p>
            <w:pPr>
              <w:pStyle w:val="36"/>
              <w:keepNext/>
              <w:rPr>
                <w:color w:val="FF0000"/>
              </w:rPr>
            </w:pPr>
            <w:r>
              <w:rPr>
                <w:color w:val="FF0000"/>
              </w:rPr>
              <w:t>表</w:t>
            </w:r>
            <w:r>
              <w:rPr>
                <w:rFonts w:hint="eastAsia"/>
                <w:color w:val="FF0000"/>
              </w:rPr>
              <w:t>7-9环境噪声</w:t>
            </w:r>
            <w:r>
              <w:rPr>
                <w:color w:val="FF0000"/>
              </w:rPr>
              <w:t>监测结果表</w:t>
            </w:r>
            <w:r>
              <w:rPr>
                <w:rFonts w:hint="eastAsia"/>
                <w:color w:val="FF0000"/>
              </w:rPr>
              <w:t>单位：dB（A）</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1073"/>
              <w:gridCol w:w="1093"/>
              <w:gridCol w:w="1096"/>
              <w:gridCol w:w="1123"/>
              <w:gridCol w:w="2191"/>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1" w:type="pct"/>
                  <w:vMerge w:val="restart"/>
                  <w:tcBorders>
                    <w:tl2br w:val="nil"/>
                  </w:tcBorders>
                  <w:shd w:val="clear" w:color="auto" w:fill="auto"/>
                  <w:vAlign w:val="center"/>
                </w:tcPr>
                <w:p>
                  <w:pPr>
                    <w:pStyle w:val="72"/>
                    <w:ind w:firstLine="480"/>
                    <w:rPr>
                      <w:color w:val="FF0000"/>
                    </w:rPr>
                  </w:pPr>
                  <w:r>
                    <w:rPr>
                      <w:color w:val="FF0000"/>
                    </w:rPr>
                    <w:pict>
                      <v:rect id="_x0000_s1069" o:spid="_x0000_s1069" o:spt="1" style="position:absolute;left:0pt;margin-left:29.4pt;margin-top:0.1pt;height:20.7pt;width:34.8pt;z-index:2516838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">
                        <v:path/>
                        <v:fill on="f" focussize="0,0"/>
                        <v:stroke on="f" weight="1pt" dashstyle="dash" endarrowwidth="narrow" endarrowlength="long"/>
                        <v:imagedata o:title=""/>
                        <o:lock v:ext="edit"/>
                        <v:textbox>
                          <w:txbxContent>
                            <w:p>
                              <w:r>
                                <w:rPr>
                                  <w:rFonts w:hint="eastAsia"/>
                                </w:rPr>
                                <w:t>日期</w:t>
                              </w:r>
                            </w:p>
                          </w:txbxContent>
                        </v:textbox>
                      </v:rect>
                    </w:pict>
                  </w:r>
                  <w:r>
                    <w:rPr>
                      <w:color w:val="FF0000"/>
                    </w:rPr>
                    <w:pict>
                      <v:rect id="_x0000_s1068" o:spid="_x0000_s1068" o:spt="1" style="position:absolute;left:0pt;margin-left:-8.2pt;margin-top:3.95pt;height:20.7pt;width:46.35pt;z-index:2516828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">
                        <v:path/>
                        <v:fill on="f" focussize="0,0"/>
                        <v:stroke on="f" weight="1pt" dashstyle="dash" endarrowwidth="narrow" endarrowlength="long"/>
                        <v:imagedata o:title=""/>
                        <o:lock v:ext="edit"/>
                        <v:textbox>
                          <w:txbxContent>
                            <w:p>
                              <w:r>
                                <w:rPr>
                                  <w:rFonts w:hint="eastAsia"/>
                                </w:rPr>
                                <w:t>噪声值</w:t>
                              </w:r>
                            </w:p>
                          </w:txbxContent>
                        </v:textbox>
                      </v:rect>
                    </w:pict>
                  </w:r>
                  <w:r>
                    <w:rPr>
                      <w:color w:val="FF0000"/>
                    </w:rPr>
                    <w:pict>
                      <v:shape id="_x0000_s1067" o:spid="_x0000_s1067" o:spt="202" type="#_x0000_t202" style="position:absolute;left:0pt;margin-left:-3.55pt;margin-top:30.25pt;height:23.15pt;width:35.75pt;z-index:2516817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">
                        <v:path/>
                        <v:fill on="f" focussize="0,0"/>
                        <v:stroke on="f" weight="1pt" dashstyle="dash" endarrowwidth="narrow" endarrowlength="long"/>
                        <v:imagedata o:title=""/>
                        <o:lock v:ext="edit"/>
                        <v:textbox>
                          <w:txbxContent>
                            <w:p>
                              <w:pPr>
                                <w:rPr>
                                  <w:sz w:val="21"/>
                                  <w:szCs w:val="21"/>
                                </w:rPr>
                              </w:pPr>
                              <w:r>
                                <w:rPr>
                                  <w:rFonts w:hint="eastAsia"/>
                                  <w:sz w:val="21"/>
                                  <w:szCs w:val="21"/>
                                </w:rPr>
                                <w:t>点位</w:t>
                              </w:r>
                            </w:p>
                          </w:txbxContent>
                        </v:textbox>
                      </v:shape>
                    </w:pict>
                  </w:r>
                  <w:r>
                    <w:rPr>
                      <w:color w:val="FF0000"/>
                    </w:rPr>
                    <w:pict>
                      <v:shape id="_x0000_s1066" o:spid="_x0000_s1066" o:spt="32" type="#_x0000_t32" style="position:absolute;left:0pt;margin-left:20.65pt;margin-top:-0.05pt;height:48.2pt;width:38.2pt;z-index:25168076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">
                        <v:path arrowok="t"/>
                        <v:fill on="f" focussize="0,0"/>
                        <v:stroke weight="0.25pt" endarrowwidth="narrow" endarrowlength="long"/>
                        <v:imagedata o:title=""/>
                        <o:lock v:ext="edit"/>
                      </v:shape>
                    </w:pict>
                  </w:r>
                  <w:r>
                    <w:rPr>
                      <w:color w:val="FF0000"/>
                    </w:rPr>
                    <w:pict>
                      <v:shape id="_x0000_s1065" o:spid="_x0000_s1065" o:spt="32" type="#_x0000_t32" style="position:absolute;left:0pt;margin-left:-5.2pt;margin-top:17.35pt;height:30.05pt;width:63.25pt;z-index:25167974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">
                        <v:path arrowok="t"/>
                        <v:fill on="f" focussize="0,0"/>
                        <v:stroke weight="0.25pt" endarrowwidth="narrow" endarrowlength="long"/>
                        <v:imagedata o:title=""/>
                        <o:lock v:ext="edit"/>
                      </v:shape>
                    </w:pict>
                  </w:r>
                </w:p>
              </w:tc>
              <w:tc>
                <w:tcPr>
                  <w:tcW w:w="1241" w:type="pct"/>
                  <w:gridSpan w:val="2"/>
                  <w:shd w:val="clear" w:color="auto" w:fill="auto"/>
                  <w:vAlign w:val="center"/>
                </w:tcPr>
                <w:p>
                  <w:pPr>
                    <w:pStyle w:val="72"/>
                    <w:ind w:firstLine="0" w:firstLineChars="0"/>
                    <w:rPr>
                      <w:color w:val="FF0000"/>
                    </w:rPr>
                  </w:pPr>
                  <w:r>
                    <w:rPr>
                      <w:color w:val="FF0000"/>
                    </w:rPr>
                    <w:t>201</w:t>
                  </w:r>
                  <w:r>
                    <w:rPr>
                      <w:rFonts w:hint="eastAsia"/>
                      <w:color w:val="FF0000"/>
                    </w:rPr>
                    <w:t>9</w:t>
                  </w:r>
                  <w:r>
                    <w:rPr>
                      <w:color w:val="FF0000"/>
                    </w:rPr>
                    <w:t>年</w:t>
                  </w:r>
                  <w:r>
                    <w:rPr>
                      <w:rFonts w:hint="eastAsia"/>
                      <w:color w:val="FF0000"/>
                    </w:rPr>
                    <w:t>10</w:t>
                  </w:r>
                  <w:r>
                    <w:rPr>
                      <w:color w:val="FF0000"/>
                    </w:rPr>
                    <w:t>月</w:t>
                  </w:r>
                  <w:r>
                    <w:rPr>
                      <w:rFonts w:hint="eastAsia"/>
                      <w:color w:val="FF0000"/>
                    </w:rPr>
                    <w:t>22</w:t>
                  </w:r>
                  <w:r>
                    <w:rPr>
                      <w:color w:val="FF0000"/>
                    </w:rPr>
                    <w:t>日</w:t>
                  </w:r>
                </w:p>
              </w:tc>
              <w:tc>
                <w:tcPr>
                  <w:tcW w:w="1269" w:type="pct"/>
                  <w:gridSpan w:val="2"/>
                  <w:shd w:val="clear" w:color="auto" w:fill="auto"/>
                  <w:vAlign w:val="center"/>
                </w:tcPr>
                <w:p>
                  <w:pPr>
                    <w:pStyle w:val="72"/>
                    <w:ind w:firstLine="0" w:firstLineChars="0"/>
                    <w:rPr>
                      <w:color w:val="FF0000"/>
                    </w:rPr>
                  </w:pPr>
                  <w:r>
                    <w:rPr>
                      <w:color w:val="FF0000"/>
                    </w:rPr>
                    <w:t>201</w:t>
                  </w:r>
                  <w:r>
                    <w:rPr>
                      <w:rFonts w:hint="eastAsia"/>
                      <w:color w:val="FF0000"/>
                    </w:rPr>
                    <w:t>9</w:t>
                  </w:r>
                  <w:r>
                    <w:rPr>
                      <w:color w:val="FF0000"/>
                    </w:rPr>
                    <w:t>年</w:t>
                  </w:r>
                  <w:r>
                    <w:rPr>
                      <w:rFonts w:hint="eastAsia"/>
                      <w:color w:val="FF0000"/>
                    </w:rPr>
                    <w:t>10月23</w:t>
                  </w:r>
                  <w:r>
                    <w:rPr>
                      <w:color w:val="FF0000"/>
                    </w:rPr>
                    <w:t>日</w:t>
                  </w:r>
                </w:p>
              </w:tc>
              <w:tc>
                <w:tcPr>
                  <w:tcW w:w="1074" w:type="pct"/>
                  <w:vMerge w:val="restart"/>
                  <w:shd w:val="clear" w:color="auto" w:fill="auto"/>
                  <w:vAlign w:val="center"/>
                </w:tcPr>
                <w:p>
                  <w:pPr>
                    <w:pStyle w:val="72"/>
                    <w:ind w:firstLine="480"/>
                    <w:rPr>
                      <w:color w:val="FF0000"/>
                    </w:rPr>
                  </w:pPr>
                  <w:r>
                    <w:rPr>
                      <w:color w:val="FF0000"/>
                    </w:rPr>
                    <w:t>执</w:t>
                  </w:r>
                  <w:r>
                    <w:rPr>
                      <w:rFonts w:hint="eastAsia"/>
                      <w:color w:val="FF0000"/>
                    </w:rPr>
                    <w:t>行</w:t>
                  </w:r>
                  <w:r>
                    <w:rPr>
                      <w:color w:val="FF0000"/>
                    </w:rPr>
                    <w:t>标准</w:t>
                  </w:r>
                </w:p>
              </w:tc>
              <w:tc>
                <w:tcPr>
                  <w:tcW w:w="705" w:type="pct"/>
                  <w:vMerge w:val="restart"/>
                  <w:shd w:val="clear" w:color="auto" w:fill="auto"/>
                  <w:vAlign w:val="center"/>
                </w:tcPr>
                <w:p>
                  <w:pPr>
                    <w:pStyle w:val="72"/>
                    <w:ind w:firstLine="0" w:firstLineChars="0"/>
                    <w:rPr>
                      <w:color w:val="FF0000"/>
                    </w:rPr>
                  </w:pPr>
                  <w:r>
                    <w:rPr>
                      <w:color w:val="FF0000"/>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1" w:type="pct"/>
                  <w:vMerge w:val="continue"/>
                  <w:tcBorders>
                    <w:bottom w:val="single" w:color="auto" w:sz="4" w:space="0"/>
                    <w:tl2br w:val="nil"/>
                  </w:tcBorders>
                  <w:shd w:val="clear" w:color="auto" w:fill="auto"/>
                  <w:vAlign w:val="center"/>
                </w:tcPr>
                <w:p>
                  <w:pPr>
                    <w:pStyle w:val="72"/>
                    <w:ind w:firstLine="480"/>
                    <w:rPr>
                      <w:color w:val="FF0000"/>
                    </w:rPr>
                  </w:pPr>
                </w:p>
              </w:tc>
              <w:tc>
                <w:tcPr>
                  <w:tcW w:w="615" w:type="pct"/>
                  <w:shd w:val="clear" w:color="auto" w:fill="auto"/>
                  <w:vAlign w:val="center"/>
                </w:tcPr>
                <w:p>
                  <w:pPr>
                    <w:pStyle w:val="72"/>
                    <w:ind w:firstLine="0" w:firstLineChars="0"/>
                    <w:jc w:val="center"/>
                    <w:rPr>
                      <w:color w:val="FF0000"/>
                    </w:rPr>
                  </w:pPr>
                  <w:r>
                    <w:rPr>
                      <w:color w:val="FF0000"/>
                    </w:rPr>
                    <w:t>昼间</w:t>
                  </w:r>
                </w:p>
              </w:tc>
              <w:tc>
                <w:tcPr>
                  <w:tcW w:w="626" w:type="pct"/>
                  <w:shd w:val="clear" w:color="auto" w:fill="auto"/>
                  <w:vAlign w:val="center"/>
                </w:tcPr>
                <w:p>
                  <w:pPr>
                    <w:pStyle w:val="72"/>
                    <w:ind w:firstLine="0" w:firstLineChars="0"/>
                    <w:jc w:val="center"/>
                    <w:rPr>
                      <w:color w:val="FF0000"/>
                    </w:rPr>
                  </w:pPr>
                  <w:r>
                    <w:rPr>
                      <w:color w:val="FF0000"/>
                    </w:rPr>
                    <w:t>夜间</w:t>
                  </w:r>
                </w:p>
              </w:tc>
              <w:tc>
                <w:tcPr>
                  <w:tcW w:w="627" w:type="pct"/>
                  <w:shd w:val="clear" w:color="auto" w:fill="auto"/>
                  <w:vAlign w:val="center"/>
                </w:tcPr>
                <w:p>
                  <w:pPr>
                    <w:pStyle w:val="72"/>
                    <w:ind w:firstLine="0" w:firstLineChars="0"/>
                    <w:jc w:val="center"/>
                    <w:rPr>
                      <w:color w:val="FF0000"/>
                    </w:rPr>
                  </w:pPr>
                  <w:r>
                    <w:rPr>
                      <w:color w:val="FF0000"/>
                    </w:rPr>
                    <w:t>昼间</w:t>
                  </w:r>
                </w:p>
              </w:tc>
              <w:tc>
                <w:tcPr>
                  <w:tcW w:w="642" w:type="pct"/>
                  <w:shd w:val="clear" w:color="auto" w:fill="auto"/>
                  <w:vAlign w:val="center"/>
                </w:tcPr>
                <w:p>
                  <w:pPr>
                    <w:pStyle w:val="72"/>
                    <w:ind w:firstLine="0" w:firstLineChars="0"/>
                    <w:jc w:val="center"/>
                    <w:rPr>
                      <w:color w:val="FF0000"/>
                    </w:rPr>
                  </w:pPr>
                  <w:r>
                    <w:rPr>
                      <w:color w:val="FF0000"/>
                    </w:rPr>
                    <w:t>夜间</w:t>
                  </w:r>
                </w:p>
              </w:tc>
              <w:tc>
                <w:tcPr>
                  <w:tcW w:w="1074" w:type="pct"/>
                  <w:vMerge w:val="continue"/>
                  <w:shd w:val="clear" w:color="auto" w:fill="auto"/>
                  <w:vAlign w:val="center"/>
                </w:tcPr>
                <w:p>
                  <w:pPr>
                    <w:pStyle w:val="72"/>
                    <w:ind w:firstLine="480"/>
                    <w:rPr>
                      <w:color w:val="FF0000"/>
                    </w:rPr>
                  </w:pPr>
                </w:p>
              </w:tc>
              <w:tc>
                <w:tcPr>
                  <w:tcW w:w="705" w:type="pct"/>
                  <w:vMerge w:val="continue"/>
                  <w:shd w:val="clear" w:color="auto" w:fill="auto"/>
                  <w:vAlign w:val="center"/>
                </w:tcPr>
                <w:p>
                  <w:pPr>
                    <w:pStyle w:val="72"/>
                    <w:ind w:firstLine="480"/>
                    <w:rPr>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pStyle w:val="72"/>
                    <w:ind w:firstLine="0" w:firstLineChars="0"/>
                    <w:jc w:val="center"/>
                    <w:rPr>
                      <w:color w:val="FF0000"/>
                    </w:rPr>
                  </w:pPr>
                  <w:r>
                    <w:rPr>
                      <w:color w:val="FF0000"/>
                    </w:rPr>
                    <w:t>1#</w:t>
                  </w:r>
                  <w:r>
                    <w:rPr>
                      <w:rFonts w:hint="eastAsia"/>
                      <w:color w:val="FF0000"/>
                    </w:rPr>
                    <w:t>（东侧）</w:t>
                  </w:r>
                </w:p>
              </w:tc>
              <w:tc>
                <w:tcPr>
                  <w:tcW w:w="615" w:type="pct"/>
                  <w:shd w:val="clear" w:color="auto" w:fill="auto"/>
                  <w:vAlign w:val="center"/>
                </w:tcPr>
                <w:p>
                  <w:pPr>
                    <w:pStyle w:val="72"/>
                    <w:ind w:firstLine="0" w:firstLineChars="0"/>
                    <w:jc w:val="center"/>
                    <w:rPr>
                      <w:color w:val="FF0000"/>
                    </w:rPr>
                  </w:pPr>
                  <w:r>
                    <w:rPr>
                      <w:rFonts w:hint="eastAsia"/>
                      <w:color w:val="FF0000"/>
                    </w:rPr>
                    <w:t>53</w:t>
                  </w:r>
                </w:p>
              </w:tc>
              <w:tc>
                <w:tcPr>
                  <w:tcW w:w="626" w:type="pct"/>
                  <w:shd w:val="clear" w:color="auto" w:fill="auto"/>
                  <w:vAlign w:val="center"/>
                </w:tcPr>
                <w:p>
                  <w:pPr>
                    <w:pStyle w:val="72"/>
                    <w:ind w:firstLine="0" w:firstLineChars="0"/>
                    <w:jc w:val="center"/>
                    <w:rPr>
                      <w:color w:val="FF0000"/>
                    </w:rPr>
                  </w:pPr>
                  <w:r>
                    <w:rPr>
                      <w:rFonts w:hint="eastAsia"/>
                      <w:color w:val="FF0000"/>
                    </w:rPr>
                    <w:t>41</w:t>
                  </w:r>
                </w:p>
              </w:tc>
              <w:tc>
                <w:tcPr>
                  <w:tcW w:w="627" w:type="pct"/>
                  <w:shd w:val="clear" w:color="auto" w:fill="auto"/>
                  <w:vAlign w:val="center"/>
                </w:tcPr>
                <w:p>
                  <w:pPr>
                    <w:pStyle w:val="72"/>
                    <w:ind w:firstLine="0" w:firstLineChars="0"/>
                    <w:jc w:val="center"/>
                    <w:rPr>
                      <w:color w:val="FF0000"/>
                    </w:rPr>
                  </w:pPr>
                  <w:r>
                    <w:rPr>
                      <w:rFonts w:hint="eastAsia"/>
                      <w:color w:val="FF0000"/>
                    </w:rPr>
                    <w:t>54</w:t>
                  </w:r>
                </w:p>
              </w:tc>
              <w:tc>
                <w:tcPr>
                  <w:tcW w:w="642" w:type="pct"/>
                  <w:shd w:val="clear" w:color="auto" w:fill="auto"/>
                  <w:vAlign w:val="center"/>
                </w:tcPr>
                <w:p>
                  <w:pPr>
                    <w:pStyle w:val="72"/>
                    <w:ind w:firstLine="0" w:firstLineChars="0"/>
                    <w:jc w:val="center"/>
                    <w:rPr>
                      <w:color w:val="FF0000"/>
                    </w:rPr>
                  </w:pPr>
                  <w:r>
                    <w:rPr>
                      <w:rFonts w:hint="eastAsia"/>
                      <w:color w:val="FF0000"/>
                    </w:rPr>
                    <w:t>47</w:t>
                  </w:r>
                </w:p>
              </w:tc>
              <w:tc>
                <w:tcPr>
                  <w:tcW w:w="1074" w:type="pct"/>
                  <w:vMerge w:val="restart"/>
                  <w:shd w:val="clear" w:color="auto" w:fill="auto"/>
                  <w:vAlign w:val="center"/>
                </w:tcPr>
                <w:p>
                  <w:pPr>
                    <w:pStyle w:val="72"/>
                    <w:adjustRightInd w:val="0"/>
                    <w:snapToGrid w:val="0"/>
                    <w:spacing w:line="240" w:lineRule="auto"/>
                    <w:ind w:firstLine="0" w:firstLineChars="0"/>
                    <w:rPr>
                      <w:color w:val="FF0000"/>
                    </w:rPr>
                  </w:pPr>
                  <w:r>
                    <w:rPr>
                      <w:color w:val="FF0000"/>
                    </w:rPr>
                    <w:t>（GB12348</w:t>
                  </w:r>
                  <w:r>
                    <w:rPr>
                      <w:rFonts w:hint="eastAsia"/>
                      <w:color w:val="FF0000"/>
                    </w:rPr>
                    <w:t>-</w:t>
                  </w:r>
                  <w:r>
                    <w:rPr>
                      <w:color w:val="FF0000"/>
                    </w:rPr>
                    <w:t>2008）中</w:t>
                  </w:r>
                  <w:r>
                    <w:rPr>
                      <w:rFonts w:hint="eastAsia"/>
                      <w:color w:val="FF0000"/>
                    </w:rPr>
                    <w:t>3类</w:t>
                  </w:r>
                  <w:r>
                    <w:rPr>
                      <w:color w:val="FF0000"/>
                    </w:rPr>
                    <w:t>标准，昼间≤6</w:t>
                  </w:r>
                  <w:r>
                    <w:rPr>
                      <w:rFonts w:hint="eastAsia"/>
                      <w:color w:val="FF0000"/>
                    </w:rPr>
                    <w:t>5</w:t>
                  </w:r>
                  <w:r>
                    <w:rPr>
                      <w:color w:val="FF0000"/>
                    </w:rPr>
                    <w:t>dB（A）、夜间≤5</w:t>
                  </w:r>
                  <w:r>
                    <w:rPr>
                      <w:rFonts w:hint="eastAsia"/>
                      <w:color w:val="FF0000"/>
                    </w:rPr>
                    <w:t>5</w:t>
                  </w:r>
                  <w:r>
                    <w:rPr>
                      <w:color w:val="FF0000"/>
                    </w:rPr>
                    <w:t>dB（A）</w:t>
                  </w:r>
                </w:p>
              </w:tc>
              <w:tc>
                <w:tcPr>
                  <w:tcW w:w="705" w:type="pct"/>
                  <w:shd w:val="clear" w:color="auto" w:fill="auto"/>
                  <w:vAlign w:val="center"/>
                </w:tcPr>
                <w:p>
                  <w:pPr>
                    <w:pStyle w:val="72"/>
                    <w:ind w:firstLine="0" w:firstLineChars="0"/>
                    <w:jc w:val="center"/>
                    <w:rPr>
                      <w:color w:val="FF0000"/>
                    </w:rPr>
                  </w:pPr>
                  <w:r>
                    <w:rPr>
                      <w:color w:val="FF0000"/>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pStyle w:val="72"/>
                    <w:ind w:firstLine="0" w:firstLineChars="0"/>
                    <w:jc w:val="center"/>
                    <w:rPr>
                      <w:color w:val="FF0000"/>
                    </w:rPr>
                  </w:pPr>
                  <w:r>
                    <w:rPr>
                      <w:color w:val="FF0000"/>
                    </w:rPr>
                    <w:t>2#</w:t>
                  </w:r>
                  <w:r>
                    <w:rPr>
                      <w:rFonts w:hint="eastAsia"/>
                      <w:color w:val="FF0000"/>
                    </w:rPr>
                    <w:t>（南侧）</w:t>
                  </w:r>
                </w:p>
              </w:tc>
              <w:tc>
                <w:tcPr>
                  <w:tcW w:w="615" w:type="pct"/>
                  <w:shd w:val="clear" w:color="auto" w:fill="auto"/>
                  <w:vAlign w:val="center"/>
                </w:tcPr>
                <w:p>
                  <w:pPr>
                    <w:pStyle w:val="72"/>
                    <w:ind w:firstLine="0" w:firstLineChars="0"/>
                    <w:jc w:val="center"/>
                    <w:rPr>
                      <w:bCs/>
                      <w:color w:val="FF0000"/>
                    </w:rPr>
                  </w:pPr>
                  <w:r>
                    <w:rPr>
                      <w:rFonts w:hint="eastAsia"/>
                      <w:bCs/>
                      <w:color w:val="FF0000"/>
                    </w:rPr>
                    <w:t>53</w:t>
                  </w:r>
                </w:p>
              </w:tc>
              <w:tc>
                <w:tcPr>
                  <w:tcW w:w="626" w:type="pct"/>
                  <w:shd w:val="clear" w:color="auto" w:fill="auto"/>
                  <w:vAlign w:val="center"/>
                </w:tcPr>
                <w:p>
                  <w:pPr>
                    <w:pStyle w:val="72"/>
                    <w:ind w:firstLine="0" w:firstLineChars="0"/>
                    <w:jc w:val="center"/>
                    <w:rPr>
                      <w:color w:val="FF0000"/>
                    </w:rPr>
                  </w:pPr>
                  <w:r>
                    <w:rPr>
                      <w:rFonts w:hint="eastAsia"/>
                      <w:color w:val="FF0000"/>
                    </w:rPr>
                    <w:t>41</w:t>
                  </w:r>
                </w:p>
              </w:tc>
              <w:tc>
                <w:tcPr>
                  <w:tcW w:w="627" w:type="pct"/>
                  <w:shd w:val="clear" w:color="auto" w:fill="auto"/>
                  <w:vAlign w:val="center"/>
                </w:tcPr>
                <w:p>
                  <w:pPr>
                    <w:pStyle w:val="72"/>
                    <w:ind w:firstLine="0" w:firstLineChars="0"/>
                    <w:jc w:val="center"/>
                    <w:rPr>
                      <w:color w:val="FF0000"/>
                    </w:rPr>
                  </w:pPr>
                  <w:r>
                    <w:rPr>
                      <w:rFonts w:hint="eastAsia"/>
                      <w:color w:val="FF0000"/>
                    </w:rPr>
                    <w:t>53</w:t>
                  </w:r>
                </w:p>
              </w:tc>
              <w:tc>
                <w:tcPr>
                  <w:tcW w:w="642" w:type="pct"/>
                  <w:shd w:val="clear" w:color="auto" w:fill="auto"/>
                  <w:vAlign w:val="center"/>
                </w:tcPr>
                <w:p>
                  <w:pPr>
                    <w:pStyle w:val="72"/>
                    <w:ind w:firstLine="0" w:firstLineChars="0"/>
                    <w:jc w:val="center"/>
                    <w:rPr>
                      <w:color w:val="FF0000"/>
                    </w:rPr>
                  </w:pPr>
                  <w:r>
                    <w:rPr>
                      <w:rFonts w:hint="eastAsia"/>
                      <w:color w:val="FF0000"/>
                    </w:rPr>
                    <w:t>49</w:t>
                  </w:r>
                </w:p>
              </w:tc>
              <w:tc>
                <w:tcPr>
                  <w:tcW w:w="1074" w:type="pct"/>
                  <w:vMerge w:val="continue"/>
                  <w:shd w:val="clear" w:color="auto" w:fill="auto"/>
                  <w:vAlign w:val="center"/>
                </w:tcPr>
                <w:p>
                  <w:pPr>
                    <w:pStyle w:val="72"/>
                    <w:adjustRightInd w:val="0"/>
                    <w:snapToGrid w:val="0"/>
                    <w:spacing w:line="240" w:lineRule="auto"/>
                    <w:ind w:firstLine="480"/>
                    <w:rPr>
                      <w:color w:val="FF0000"/>
                    </w:rPr>
                  </w:pPr>
                </w:p>
              </w:tc>
              <w:tc>
                <w:tcPr>
                  <w:tcW w:w="705" w:type="pct"/>
                  <w:shd w:val="clear" w:color="auto" w:fill="auto"/>
                  <w:vAlign w:val="center"/>
                </w:tcPr>
                <w:p>
                  <w:pPr>
                    <w:pStyle w:val="72"/>
                    <w:ind w:firstLine="0" w:firstLineChars="0"/>
                    <w:jc w:val="center"/>
                    <w:rPr>
                      <w:color w:val="FF0000"/>
                    </w:rPr>
                  </w:pPr>
                  <w:r>
                    <w:rPr>
                      <w:color w:val="FF0000"/>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pStyle w:val="72"/>
                    <w:ind w:firstLine="0" w:firstLineChars="0"/>
                    <w:jc w:val="center"/>
                    <w:rPr>
                      <w:color w:val="FF0000"/>
                    </w:rPr>
                  </w:pPr>
                  <w:r>
                    <w:rPr>
                      <w:color w:val="FF0000"/>
                    </w:rPr>
                    <w:t>3#</w:t>
                  </w:r>
                  <w:r>
                    <w:rPr>
                      <w:rFonts w:hint="eastAsia"/>
                      <w:color w:val="FF0000"/>
                    </w:rPr>
                    <w:t>（西侧）</w:t>
                  </w:r>
                </w:p>
              </w:tc>
              <w:tc>
                <w:tcPr>
                  <w:tcW w:w="615" w:type="pct"/>
                  <w:shd w:val="clear" w:color="auto" w:fill="auto"/>
                  <w:vAlign w:val="center"/>
                </w:tcPr>
                <w:p>
                  <w:pPr>
                    <w:pStyle w:val="72"/>
                    <w:ind w:firstLine="0" w:firstLineChars="0"/>
                    <w:jc w:val="center"/>
                    <w:rPr>
                      <w:bCs/>
                      <w:color w:val="FF0000"/>
                    </w:rPr>
                  </w:pPr>
                  <w:r>
                    <w:rPr>
                      <w:rFonts w:hint="eastAsia"/>
                      <w:bCs/>
                      <w:color w:val="FF0000"/>
                    </w:rPr>
                    <w:t>53</w:t>
                  </w:r>
                </w:p>
              </w:tc>
              <w:tc>
                <w:tcPr>
                  <w:tcW w:w="626" w:type="pct"/>
                  <w:shd w:val="clear" w:color="auto" w:fill="auto"/>
                  <w:vAlign w:val="center"/>
                </w:tcPr>
                <w:p>
                  <w:pPr>
                    <w:pStyle w:val="72"/>
                    <w:ind w:firstLine="0" w:firstLineChars="0"/>
                    <w:jc w:val="center"/>
                    <w:rPr>
                      <w:color w:val="FF0000"/>
                    </w:rPr>
                  </w:pPr>
                  <w:r>
                    <w:rPr>
                      <w:rFonts w:hint="eastAsia"/>
                      <w:color w:val="FF0000"/>
                    </w:rPr>
                    <w:t>40</w:t>
                  </w:r>
                </w:p>
              </w:tc>
              <w:tc>
                <w:tcPr>
                  <w:tcW w:w="627" w:type="pct"/>
                  <w:shd w:val="clear" w:color="auto" w:fill="auto"/>
                  <w:vAlign w:val="center"/>
                </w:tcPr>
                <w:p>
                  <w:pPr>
                    <w:pStyle w:val="72"/>
                    <w:ind w:firstLine="0" w:firstLineChars="0"/>
                    <w:jc w:val="center"/>
                    <w:rPr>
                      <w:color w:val="FF0000"/>
                    </w:rPr>
                  </w:pPr>
                  <w:r>
                    <w:rPr>
                      <w:rFonts w:hint="eastAsia"/>
                      <w:color w:val="FF0000"/>
                    </w:rPr>
                    <w:t>51</w:t>
                  </w:r>
                </w:p>
              </w:tc>
              <w:tc>
                <w:tcPr>
                  <w:tcW w:w="642" w:type="pct"/>
                  <w:shd w:val="clear" w:color="auto" w:fill="auto"/>
                  <w:vAlign w:val="center"/>
                </w:tcPr>
                <w:p>
                  <w:pPr>
                    <w:pStyle w:val="72"/>
                    <w:ind w:firstLine="0" w:firstLineChars="0"/>
                    <w:jc w:val="center"/>
                    <w:rPr>
                      <w:color w:val="FF0000"/>
                    </w:rPr>
                  </w:pPr>
                  <w:r>
                    <w:rPr>
                      <w:rFonts w:hint="eastAsia"/>
                      <w:color w:val="FF0000"/>
                    </w:rPr>
                    <w:t>44</w:t>
                  </w:r>
                </w:p>
              </w:tc>
              <w:tc>
                <w:tcPr>
                  <w:tcW w:w="1074" w:type="pct"/>
                  <w:vMerge w:val="continue"/>
                  <w:shd w:val="clear" w:color="auto" w:fill="auto"/>
                  <w:vAlign w:val="center"/>
                </w:tcPr>
                <w:p>
                  <w:pPr>
                    <w:pStyle w:val="72"/>
                    <w:adjustRightInd w:val="0"/>
                    <w:snapToGrid w:val="0"/>
                    <w:spacing w:line="240" w:lineRule="auto"/>
                    <w:ind w:firstLine="480"/>
                    <w:rPr>
                      <w:color w:val="FF0000"/>
                    </w:rPr>
                  </w:pPr>
                </w:p>
              </w:tc>
              <w:tc>
                <w:tcPr>
                  <w:tcW w:w="705" w:type="pct"/>
                  <w:shd w:val="clear" w:color="auto" w:fill="auto"/>
                  <w:vAlign w:val="center"/>
                </w:tcPr>
                <w:p>
                  <w:pPr>
                    <w:pStyle w:val="72"/>
                    <w:ind w:firstLine="0" w:firstLineChars="0"/>
                    <w:jc w:val="center"/>
                    <w:rPr>
                      <w:color w:val="FF0000"/>
                    </w:rPr>
                  </w:pPr>
                  <w:r>
                    <w:rPr>
                      <w:color w:val="FF0000"/>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pStyle w:val="72"/>
                    <w:ind w:firstLine="0" w:firstLineChars="0"/>
                    <w:jc w:val="center"/>
                    <w:rPr>
                      <w:color w:val="FF0000"/>
                    </w:rPr>
                  </w:pPr>
                  <w:r>
                    <w:rPr>
                      <w:color w:val="FF0000"/>
                    </w:rPr>
                    <w:t>4#</w:t>
                  </w:r>
                  <w:r>
                    <w:rPr>
                      <w:rFonts w:hint="eastAsia"/>
                      <w:color w:val="FF0000"/>
                    </w:rPr>
                    <w:t>（北侧）</w:t>
                  </w:r>
                </w:p>
              </w:tc>
              <w:tc>
                <w:tcPr>
                  <w:tcW w:w="615" w:type="pct"/>
                  <w:shd w:val="clear" w:color="auto" w:fill="auto"/>
                  <w:vAlign w:val="center"/>
                </w:tcPr>
                <w:p>
                  <w:pPr>
                    <w:pStyle w:val="72"/>
                    <w:ind w:firstLine="0" w:firstLineChars="0"/>
                    <w:jc w:val="center"/>
                    <w:rPr>
                      <w:bCs/>
                      <w:color w:val="FF0000"/>
                    </w:rPr>
                  </w:pPr>
                  <w:r>
                    <w:rPr>
                      <w:rFonts w:hint="eastAsia"/>
                      <w:bCs/>
                      <w:color w:val="FF0000"/>
                    </w:rPr>
                    <w:t>54</w:t>
                  </w:r>
                </w:p>
              </w:tc>
              <w:tc>
                <w:tcPr>
                  <w:tcW w:w="626" w:type="pct"/>
                  <w:shd w:val="clear" w:color="auto" w:fill="auto"/>
                  <w:vAlign w:val="center"/>
                </w:tcPr>
                <w:p>
                  <w:pPr>
                    <w:pStyle w:val="72"/>
                    <w:ind w:firstLine="0" w:firstLineChars="0"/>
                    <w:jc w:val="center"/>
                    <w:rPr>
                      <w:color w:val="FF0000"/>
                    </w:rPr>
                  </w:pPr>
                  <w:r>
                    <w:rPr>
                      <w:rFonts w:hint="eastAsia"/>
                      <w:color w:val="FF0000"/>
                    </w:rPr>
                    <w:t>42</w:t>
                  </w:r>
                </w:p>
              </w:tc>
              <w:tc>
                <w:tcPr>
                  <w:tcW w:w="627" w:type="pct"/>
                  <w:shd w:val="clear" w:color="auto" w:fill="auto"/>
                  <w:vAlign w:val="center"/>
                </w:tcPr>
                <w:p>
                  <w:pPr>
                    <w:pStyle w:val="72"/>
                    <w:ind w:firstLine="0" w:firstLineChars="0"/>
                    <w:jc w:val="center"/>
                    <w:rPr>
                      <w:color w:val="FF0000"/>
                    </w:rPr>
                  </w:pPr>
                  <w:r>
                    <w:rPr>
                      <w:rFonts w:hint="eastAsia"/>
                      <w:color w:val="FF0000"/>
                    </w:rPr>
                    <w:t>52</w:t>
                  </w:r>
                </w:p>
              </w:tc>
              <w:tc>
                <w:tcPr>
                  <w:tcW w:w="642" w:type="pct"/>
                  <w:shd w:val="clear" w:color="auto" w:fill="auto"/>
                  <w:vAlign w:val="center"/>
                </w:tcPr>
                <w:p>
                  <w:pPr>
                    <w:pStyle w:val="72"/>
                    <w:ind w:firstLine="0" w:firstLineChars="0"/>
                    <w:jc w:val="center"/>
                    <w:rPr>
                      <w:color w:val="FF0000"/>
                    </w:rPr>
                  </w:pPr>
                  <w:r>
                    <w:rPr>
                      <w:rFonts w:hint="eastAsia"/>
                      <w:color w:val="FF0000"/>
                    </w:rPr>
                    <w:t>41</w:t>
                  </w:r>
                </w:p>
              </w:tc>
              <w:tc>
                <w:tcPr>
                  <w:tcW w:w="1074" w:type="pct"/>
                  <w:vMerge w:val="continue"/>
                  <w:shd w:val="clear" w:color="auto" w:fill="auto"/>
                  <w:vAlign w:val="center"/>
                </w:tcPr>
                <w:p>
                  <w:pPr>
                    <w:pStyle w:val="72"/>
                    <w:adjustRightInd w:val="0"/>
                    <w:snapToGrid w:val="0"/>
                    <w:spacing w:line="240" w:lineRule="auto"/>
                    <w:ind w:firstLine="480"/>
                    <w:rPr>
                      <w:color w:val="FF0000"/>
                    </w:rPr>
                  </w:pPr>
                </w:p>
              </w:tc>
              <w:tc>
                <w:tcPr>
                  <w:tcW w:w="705" w:type="pct"/>
                  <w:shd w:val="clear" w:color="auto" w:fill="auto"/>
                  <w:vAlign w:val="center"/>
                </w:tcPr>
                <w:p>
                  <w:pPr>
                    <w:pStyle w:val="72"/>
                    <w:ind w:firstLine="0" w:firstLineChars="0"/>
                    <w:jc w:val="center"/>
                    <w:rPr>
                      <w:color w:val="FF0000"/>
                    </w:rPr>
                  </w:pPr>
                  <w:r>
                    <w:rPr>
                      <w:rFonts w:hint="eastAsia"/>
                      <w:color w:val="FF0000"/>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pct"/>
                  <w:tcBorders>
                    <w:top w:val="single" w:color="auto" w:sz="4" w:space="0"/>
                    <w:bottom w:val="single" w:color="auto" w:sz="4" w:space="0"/>
                  </w:tcBorders>
                  <w:shd w:val="clear" w:color="auto" w:fill="auto"/>
                  <w:vAlign w:val="center"/>
                </w:tcPr>
                <w:p>
                  <w:pPr>
                    <w:pStyle w:val="72"/>
                    <w:ind w:firstLine="0" w:firstLineChars="0"/>
                    <w:jc w:val="center"/>
                    <w:rPr>
                      <w:color w:val="FF0000"/>
                    </w:rPr>
                  </w:pPr>
                  <w:r>
                    <w:rPr>
                      <w:rFonts w:hint="eastAsia"/>
                      <w:color w:val="FF0000"/>
                    </w:rPr>
                    <w:t>5#（东侧敏感点）</w:t>
                  </w:r>
                </w:p>
              </w:tc>
              <w:tc>
                <w:tcPr>
                  <w:tcW w:w="615" w:type="pct"/>
                  <w:shd w:val="clear" w:color="auto" w:fill="auto"/>
                  <w:vAlign w:val="center"/>
                </w:tcPr>
                <w:p>
                  <w:pPr>
                    <w:pStyle w:val="72"/>
                    <w:ind w:firstLine="0" w:firstLineChars="0"/>
                    <w:jc w:val="center"/>
                    <w:rPr>
                      <w:bCs/>
                      <w:color w:val="FF0000"/>
                    </w:rPr>
                  </w:pPr>
                  <w:r>
                    <w:rPr>
                      <w:rFonts w:hint="eastAsia"/>
                      <w:bCs/>
                      <w:color w:val="FF0000"/>
                    </w:rPr>
                    <w:t>55</w:t>
                  </w:r>
                </w:p>
              </w:tc>
              <w:tc>
                <w:tcPr>
                  <w:tcW w:w="626" w:type="pct"/>
                  <w:shd w:val="clear" w:color="auto" w:fill="auto"/>
                  <w:vAlign w:val="center"/>
                </w:tcPr>
                <w:p>
                  <w:pPr>
                    <w:pStyle w:val="72"/>
                    <w:ind w:firstLine="0" w:firstLineChars="0"/>
                    <w:jc w:val="center"/>
                    <w:rPr>
                      <w:color w:val="FF0000"/>
                    </w:rPr>
                  </w:pPr>
                  <w:r>
                    <w:rPr>
                      <w:rFonts w:hint="eastAsia"/>
                      <w:color w:val="FF0000"/>
                    </w:rPr>
                    <w:t>41</w:t>
                  </w:r>
                </w:p>
              </w:tc>
              <w:tc>
                <w:tcPr>
                  <w:tcW w:w="627" w:type="pct"/>
                  <w:shd w:val="clear" w:color="auto" w:fill="auto"/>
                  <w:vAlign w:val="center"/>
                </w:tcPr>
                <w:p>
                  <w:pPr>
                    <w:pStyle w:val="72"/>
                    <w:ind w:firstLine="0" w:firstLineChars="0"/>
                    <w:jc w:val="center"/>
                    <w:rPr>
                      <w:color w:val="FF0000"/>
                    </w:rPr>
                  </w:pPr>
                  <w:r>
                    <w:rPr>
                      <w:rFonts w:hint="eastAsia"/>
                      <w:color w:val="FF0000"/>
                    </w:rPr>
                    <w:t>57</w:t>
                  </w:r>
                </w:p>
              </w:tc>
              <w:tc>
                <w:tcPr>
                  <w:tcW w:w="642" w:type="pct"/>
                  <w:shd w:val="clear" w:color="auto" w:fill="auto"/>
                  <w:vAlign w:val="center"/>
                </w:tcPr>
                <w:p>
                  <w:pPr>
                    <w:pStyle w:val="72"/>
                    <w:ind w:firstLine="0" w:firstLineChars="0"/>
                    <w:jc w:val="center"/>
                    <w:rPr>
                      <w:color w:val="FF0000"/>
                    </w:rPr>
                  </w:pPr>
                  <w:r>
                    <w:rPr>
                      <w:rFonts w:hint="eastAsia"/>
                      <w:color w:val="FF0000"/>
                    </w:rPr>
                    <w:t>4</w:t>
                  </w:r>
                  <w:r>
                    <w:rPr>
                      <w:color w:val="FF0000"/>
                    </w:rPr>
                    <w:t>2</w:t>
                  </w:r>
                </w:p>
              </w:tc>
              <w:tc>
                <w:tcPr>
                  <w:tcW w:w="1074" w:type="pct"/>
                  <w:shd w:val="clear" w:color="auto" w:fill="auto"/>
                  <w:vAlign w:val="center"/>
                </w:tcPr>
                <w:p>
                  <w:pPr>
                    <w:pStyle w:val="72"/>
                    <w:adjustRightInd w:val="0"/>
                    <w:snapToGrid w:val="0"/>
                    <w:spacing w:line="240" w:lineRule="auto"/>
                    <w:ind w:firstLine="0" w:firstLineChars="0"/>
                    <w:rPr>
                      <w:color w:val="FF0000"/>
                    </w:rPr>
                  </w:pPr>
                  <w:r>
                    <w:rPr>
                      <w:color w:val="FF0000"/>
                    </w:rPr>
                    <w:t>（GB</w:t>
                  </w:r>
                  <w:r>
                    <w:rPr>
                      <w:rFonts w:hint="eastAsia"/>
                      <w:color w:val="FF0000"/>
                    </w:rPr>
                    <w:t>3096-</w:t>
                  </w:r>
                  <w:r>
                    <w:rPr>
                      <w:color w:val="FF0000"/>
                    </w:rPr>
                    <w:t>2008）中</w:t>
                  </w:r>
                  <w:r>
                    <w:rPr>
                      <w:rFonts w:hint="eastAsia"/>
                      <w:color w:val="FF0000"/>
                    </w:rPr>
                    <w:t>3类</w:t>
                  </w:r>
                  <w:r>
                    <w:rPr>
                      <w:color w:val="FF0000"/>
                    </w:rPr>
                    <w:t>标准，昼间≤6</w:t>
                  </w:r>
                  <w:r>
                    <w:rPr>
                      <w:rFonts w:hint="eastAsia"/>
                      <w:color w:val="FF0000"/>
                    </w:rPr>
                    <w:t>5</w:t>
                  </w:r>
                  <w:r>
                    <w:rPr>
                      <w:color w:val="FF0000"/>
                    </w:rPr>
                    <w:t>dB（A）、夜间≤5</w:t>
                  </w:r>
                  <w:r>
                    <w:rPr>
                      <w:rFonts w:hint="eastAsia"/>
                      <w:color w:val="FF0000"/>
                    </w:rPr>
                    <w:t>5</w:t>
                  </w:r>
                  <w:r>
                    <w:rPr>
                      <w:color w:val="FF0000"/>
                    </w:rPr>
                    <w:t>dB（A）</w:t>
                  </w:r>
                </w:p>
              </w:tc>
              <w:tc>
                <w:tcPr>
                  <w:tcW w:w="705" w:type="pct"/>
                  <w:shd w:val="clear" w:color="auto" w:fill="auto"/>
                  <w:vAlign w:val="center"/>
                </w:tcPr>
                <w:p>
                  <w:pPr>
                    <w:pStyle w:val="72"/>
                    <w:ind w:firstLine="0" w:firstLineChars="0"/>
                    <w:jc w:val="center"/>
                    <w:rPr>
                      <w:color w:val="FF0000"/>
                    </w:rPr>
                  </w:pPr>
                  <w:r>
                    <w:rPr>
                      <w:rFonts w:hint="eastAsia"/>
                      <w:color w:val="FF0000"/>
                    </w:rPr>
                    <w:t>达标</w:t>
                  </w:r>
                </w:p>
              </w:tc>
            </w:tr>
          </w:tbl>
          <w:p>
            <w:pPr>
              <w:pStyle w:val="37"/>
              <w:keepNext/>
              <w:ind w:firstLine="480"/>
              <w:rPr>
                <w:color w:val="FF0000"/>
              </w:rPr>
            </w:pPr>
            <w:r>
              <w:rPr>
                <w:rFonts w:hint="eastAsia"/>
                <w:color w:val="FF0000"/>
              </w:rPr>
              <w:t>（注：监测期间，全厂正常生产包括改扩建项目，生产工况负荷达80%。）</w:t>
            </w:r>
          </w:p>
          <w:p>
            <w:pPr>
              <w:pStyle w:val="37"/>
              <w:ind w:firstLine="480"/>
              <w:rPr>
                <w:color w:val="FF0000"/>
              </w:rPr>
            </w:pPr>
            <w:r>
              <w:rPr>
                <w:rFonts w:hint="eastAsia"/>
                <w:color w:val="FF0000"/>
              </w:rPr>
              <w:t>根据调查，运输路线在经过五渡镇后，沿路的居民点分布较少。为减小交通运输噪声对区域声环境的影响，工程采取了以下措施：对进场道路进行硬化，及时清扫地面的抛洒物；加强车辆管理，在进场道路和厂区内道路行驶时应低速行驶，避免突然启动，禁鸣喇叭；在居民集中区应降低车速，禁止鸣喇叭；车辆加装消声器；合理安排运输时间，避开周围居民的休息时间。加强设备的管理、维护和保养，确保设备稳定运行，减少设备产生异响。</w:t>
            </w:r>
          </w:p>
          <w:p>
            <w:pPr>
              <w:pStyle w:val="37"/>
              <w:ind w:firstLine="480"/>
            </w:pPr>
            <w:r>
              <w:rPr>
                <w:rFonts w:hint="eastAsia"/>
              </w:rPr>
              <w:t>5、土壤环境影响分析</w:t>
            </w:r>
          </w:p>
          <w:p>
            <w:pPr>
              <w:pStyle w:val="37"/>
              <w:ind w:firstLine="480"/>
              <w:rPr>
                <w:color w:val="FF0000"/>
              </w:rPr>
            </w:pPr>
            <w:r>
              <w:rPr>
                <w:rFonts w:hint="eastAsia"/>
                <w:color w:val="FF0000"/>
              </w:rPr>
              <w:t>本项目位于峨边彝族自治县五渡镇工农村，建成后主要从事钾长石加工，属于污染影响型。项目工艺简单成熟，主要工序为水洗、磁选，根据《环境影响评价技术导则土壤环境（试行）》（HJ964-2018），本项目国民经济分类属于其他未列明非金属矿采选（N1099），本项目属于Ⅲ类，项目占地面积为</w:t>
            </w:r>
            <w:r>
              <w:rPr>
                <w:color w:val="FF0000"/>
              </w:rPr>
              <w:t>300</w:t>
            </w:r>
            <w:r>
              <w:rPr>
                <w:rFonts w:hint="eastAsia"/>
                <w:color w:val="FF0000"/>
              </w:rPr>
              <w:t>m</w:t>
            </w:r>
            <w:r>
              <w:rPr>
                <w:rFonts w:hint="eastAsia"/>
                <w:color w:val="FF0000"/>
                <w:vertAlign w:val="superscript"/>
              </w:rPr>
              <w:t>2</w:t>
            </w:r>
            <w:r>
              <w:rPr>
                <w:rFonts w:hint="eastAsia"/>
                <w:color w:val="FF0000"/>
              </w:rPr>
              <w:t>，占地规模属于小型，项目位于工业集中区</w:t>
            </w:r>
            <w:r>
              <w:rPr>
                <w:color w:val="FF0000"/>
              </w:rPr>
              <w:t>B</w:t>
            </w:r>
            <w:r>
              <w:rPr>
                <w:rFonts w:hint="eastAsia"/>
                <w:color w:val="FF0000"/>
              </w:rPr>
              <w:t>区周边主要用地为建设用地，项目评价等级判定如下：</w:t>
            </w:r>
          </w:p>
          <w:p>
            <w:pPr>
              <w:pStyle w:val="36"/>
            </w:pPr>
            <w:r>
              <w:rPr>
                <w:rFonts w:hint="eastAsia"/>
              </w:rPr>
              <w:t>表7-10污染影响型敏感程度分级表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6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shd w:val="clear" w:color="auto" w:fill="auto"/>
                </w:tcPr>
                <w:p>
                  <w:pPr>
                    <w:pStyle w:val="50"/>
                  </w:pPr>
                  <w:r>
                    <w:rPr>
                      <w:rFonts w:hint="eastAsia"/>
                    </w:rPr>
                    <w:t>敏感程度</w:t>
                  </w:r>
                </w:p>
              </w:tc>
              <w:tc>
                <w:tcPr>
                  <w:tcW w:w="6083" w:type="dxa"/>
                  <w:shd w:val="clear" w:color="auto" w:fill="auto"/>
                </w:tcPr>
                <w:p>
                  <w:pPr>
                    <w:pStyle w:val="50"/>
                  </w:pPr>
                  <w:r>
                    <w:rPr>
                      <w:rFonts w:hint="eastAsia"/>
                    </w:rPr>
                    <w:t>判别依据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shd w:val="clear" w:color="auto" w:fill="auto"/>
                </w:tcPr>
                <w:p>
                  <w:pPr>
                    <w:pStyle w:val="50"/>
                  </w:pPr>
                  <w:r>
                    <w:rPr>
                      <w:rFonts w:hint="eastAsia"/>
                    </w:rPr>
                    <w:t>敏感</w:t>
                  </w:r>
                </w:p>
              </w:tc>
              <w:tc>
                <w:tcPr>
                  <w:tcW w:w="6083" w:type="dxa"/>
                  <w:shd w:val="clear" w:color="auto" w:fill="auto"/>
                </w:tcPr>
                <w:p>
                  <w:pPr>
                    <w:pStyle w:val="50"/>
                  </w:pPr>
                  <w:r>
                    <w:rPr>
                      <w:rFonts w:hint="eastAsia"/>
                    </w:rPr>
                    <w:t>建设项目周边存在耕地、园地、牧草地、饮用水水源地或居民区、学校、医院、疗养院、养老院等土壤环境敏感目标的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shd w:val="clear" w:color="auto" w:fill="auto"/>
                </w:tcPr>
                <w:p>
                  <w:pPr>
                    <w:pStyle w:val="50"/>
                  </w:pPr>
                  <w:r>
                    <w:rPr>
                      <w:rFonts w:hint="eastAsia"/>
                    </w:rPr>
                    <w:t>较敏感</w:t>
                  </w:r>
                </w:p>
              </w:tc>
              <w:tc>
                <w:tcPr>
                  <w:tcW w:w="6083" w:type="dxa"/>
                  <w:shd w:val="clear" w:color="auto" w:fill="auto"/>
                </w:tcPr>
                <w:p>
                  <w:pPr>
                    <w:pStyle w:val="50"/>
                  </w:pPr>
                  <w:r>
                    <w:rPr>
                      <w:rFonts w:hint="eastAsia"/>
                    </w:rPr>
                    <w:t>建设项目周边存在其他土壤环境敏感目标的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shd w:val="clear" w:color="auto" w:fill="auto"/>
                </w:tcPr>
                <w:p>
                  <w:pPr>
                    <w:pStyle w:val="50"/>
                  </w:pPr>
                  <w:r>
                    <w:rPr>
                      <w:rFonts w:hint="eastAsia"/>
                    </w:rPr>
                    <w:t>不敏感</w:t>
                  </w:r>
                </w:p>
              </w:tc>
              <w:tc>
                <w:tcPr>
                  <w:tcW w:w="6083" w:type="dxa"/>
                  <w:shd w:val="clear" w:color="auto" w:fill="auto"/>
                </w:tcPr>
                <w:p>
                  <w:pPr>
                    <w:pStyle w:val="50"/>
                  </w:pPr>
                  <w:r>
                    <w:rPr>
                      <w:rFonts w:hint="eastAsia"/>
                    </w:rPr>
                    <w:t>其他情况</w:t>
                  </w:r>
                </w:p>
              </w:tc>
            </w:tr>
          </w:tbl>
          <w:p>
            <w:pPr>
              <w:pStyle w:val="37"/>
              <w:ind w:firstLine="480"/>
              <w:rPr>
                <w:color w:val="FF0000"/>
              </w:rPr>
            </w:pPr>
            <w:r>
              <w:rPr>
                <w:rFonts w:hint="eastAsia"/>
              </w:rPr>
              <w:t>根</w:t>
            </w:r>
            <w:r>
              <w:rPr>
                <w:rFonts w:hint="eastAsia"/>
                <w:color w:val="FF0000"/>
              </w:rPr>
              <w:t>据现场调查，本项目周边主要为工业用地，无学校、医院、疗养院、养老院等敏感目标，不涉及耕地、园地、牧草地、饮用水水源地等，最近居民区距离本项目约55米。因此，项目所在地周边土壤环境敏感程度为不敏感。</w:t>
            </w:r>
          </w:p>
          <w:p>
            <w:pPr>
              <w:pStyle w:val="36"/>
              <w:rPr>
                <w:color w:val="FF0000"/>
              </w:rPr>
            </w:pPr>
            <w:r>
              <w:rPr>
                <w:rFonts w:hint="eastAsia"/>
                <w:color w:val="FF0000"/>
              </w:rPr>
              <w:t>表7-11污染影响型评价工作等级划分表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9"/>
              <w:gridCol w:w="755"/>
              <w:gridCol w:w="756"/>
              <w:gridCol w:w="757"/>
              <w:gridCol w:w="756"/>
              <w:gridCol w:w="756"/>
              <w:gridCol w:w="757"/>
              <w:gridCol w:w="754"/>
              <w:gridCol w:w="754"/>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47" w:type="pct"/>
                  <w:vMerge w:val="restart"/>
                  <w:tcBorders>
                    <w:tl2br w:val="nil"/>
                  </w:tcBorders>
                  <w:shd w:val="clear" w:color="auto" w:fill="auto"/>
                </w:tcPr>
                <w:p>
                  <w:pPr>
                    <w:pStyle w:val="50"/>
                  </w:pPr>
                  <w:r>
                    <w:rPr>
                      <w:snapToGrid/>
                    </w:rPr>
                    <w:pict>
                      <v:shape id="直接箭头连接符 10" o:spid="_x0000_s1031" o:spt="32" type="#_x0000_t32" style="position:absolute;left:0pt;margin-left:28.65pt;margin-top:0pt;height:47.6pt;width:77pt;z-index:251663360;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">
                        <v:path arrowok="t"/>
                        <v:fill on="f" focussize="0,0"/>
                        <v:stroke weight="0.25pt" endarrowwidth="narrow" endarrowlength="long"/>
                        <v:imagedata o:title=""/>
                        <o:lock v:ext="edit"/>
                      </v:shape>
                    </w:pict>
                  </w:r>
                  <w:r>
                    <w:rPr>
                      <w:rFonts w:hint="eastAsia"/>
                    </w:rPr>
                    <w:t>占地规模</w:t>
                  </w:r>
                </w:p>
                <w:p>
                  <w:pPr>
                    <w:pStyle w:val="50"/>
                    <w:jc w:val="left"/>
                  </w:pPr>
                  <w:r>
                    <w:pict>
                      <v:shape id="直接箭头连接符 1" o:spid="_x0000_s1030" o:spt="32" type="#_x0000_t32" style="position:absolute;left:0pt;margin-left:-5.2pt;margin-top:11.5pt;height:20.5pt;width:110.85pt;z-index:251662336;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">
                        <v:path arrowok="t"/>
                        <v:fill on="f" focussize="0,0"/>
                        <v:stroke weight="0.25pt" endarrowwidth="narrow" endarrowlength="long"/>
                        <v:imagedata o:title=""/>
                        <o:lock v:ext="edit"/>
                      </v:shape>
                    </w:pict>
                  </w:r>
                  <w:r>
                    <w:rPr>
                      <w:rFonts w:hint="eastAsia"/>
                    </w:rPr>
                    <w:t>评价工作等级</w:t>
                  </w:r>
                </w:p>
                <w:p>
                  <w:pPr>
                    <w:pStyle w:val="50"/>
                    <w:jc w:val="left"/>
                  </w:pPr>
                  <w:r>
                    <w:rPr>
                      <w:rFonts w:hint="eastAsia"/>
                    </w:rPr>
                    <w:t>敏感程度</w:t>
                  </w:r>
                </w:p>
              </w:tc>
              <w:tc>
                <w:tcPr>
                  <w:tcW w:w="1252" w:type="pct"/>
                  <w:gridSpan w:val="3"/>
                  <w:shd w:val="clear" w:color="auto" w:fill="auto"/>
                  <w:vAlign w:val="center"/>
                </w:tcPr>
                <w:p>
                  <w:pPr>
                    <w:pStyle w:val="50"/>
                  </w:pPr>
                  <w:r>
                    <w:rPr>
                      <w:rFonts w:hint="eastAsia"/>
                    </w:rPr>
                    <w:t>Ⅰ类</w:t>
                  </w:r>
                </w:p>
              </w:tc>
              <w:tc>
                <w:tcPr>
                  <w:tcW w:w="1252" w:type="pct"/>
                  <w:gridSpan w:val="3"/>
                  <w:shd w:val="clear" w:color="auto" w:fill="auto"/>
                  <w:vAlign w:val="center"/>
                </w:tcPr>
                <w:p>
                  <w:pPr>
                    <w:pStyle w:val="50"/>
                  </w:pPr>
                  <w:r>
                    <w:rPr>
                      <w:rFonts w:hint="eastAsia"/>
                    </w:rPr>
                    <w:t>II类</w:t>
                  </w:r>
                </w:p>
              </w:tc>
              <w:tc>
                <w:tcPr>
                  <w:tcW w:w="1248" w:type="pct"/>
                  <w:gridSpan w:val="3"/>
                  <w:shd w:val="clear" w:color="auto" w:fill="auto"/>
                  <w:vAlign w:val="center"/>
                </w:tcPr>
                <w:p>
                  <w:pPr>
                    <w:pStyle w:val="50"/>
                  </w:pPr>
                  <w:r>
                    <w:rPr>
                      <w:rFonts w:hint="eastAsia"/>
                    </w:rPr>
                    <w:t>III类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247" w:type="pct"/>
                  <w:vMerge w:val="continue"/>
                  <w:tcBorders>
                    <w:tl2br w:val="nil"/>
                  </w:tcBorders>
                  <w:shd w:val="clear" w:color="auto" w:fill="auto"/>
                </w:tcPr>
                <w:p>
                  <w:pPr>
                    <w:pStyle w:val="50"/>
                  </w:pPr>
                </w:p>
              </w:tc>
              <w:tc>
                <w:tcPr>
                  <w:tcW w:w="417" w:type="pct"/>
                  <w:shd w:val="clear" w:color="auto" w:fill="auto"/>
                  <w:vAlign w:val="center"/>
                </w:tcPr>
                <w:p>
                  <w:pPr>
                    <w:pStyle w:val="50"/>
                  </w:pPr>
                  <w:r>
                    <w:rPr>
                      <w:rFonts w:hint="eastAsia"/>
                    </w:rPr>
                    <w:t>大</w:t>
                  </w:r>
                </w:p>
              </w:tc>
              <w:tc>
                <w:tcPr>
                  <w:tcW w:w="417" w:type="pct"/>
                  <w:shd w:val="clear" w:color="auto" w:fill="auto"/>
                  <w:vAlign w:val="center"/>
                </w:tcPr>
                <w:p>
                  <w:pPr>
                    <w:pStyle w:val="50"/>
                  </w:pPr>
                  <w:r>
                    <w:rPr>
                      <w:rFonts w:hint="eastAsia"/>
                    </w:rPr>
                    <w:t>中</w:t>
                  </w:r>
                </w:p>
              </w:tc>
              <w:tc>
                <w:tcPr>
                  <w:tcW w:w="418" w:type="pct"/>
                  <w:shd w:val="clear" w:color="auto" w:fill="auto"/>
                  <w:vAlign w:val="center"/>
                </w:tcPr>
                <w:p>
                  <w:pPr>
                    <w:pStyle w:val="50"/>
                  </w:pPr>
                  <w:r>
                    <w:rPr>
                      <w:rFonts w:hint="eastAsia"/>
                    </w:rPr>
                    <w:t>小</w:t>
                  </w:r>
                </w:p>
              </w:tc>
              <w:tc>
                <w:tcPr>
                  <w:tcW w:w="417" w:type="pct"/>
                  <w:shd w:val="clear" w:color="auto" w:fill="auto"/>
                  <w:vAlign w:val="center"/>
                </w:tcPr>
                <w:p>
                  <w:pPr>
                    <w:pStyle w:val="50"/>
                  </w:pPr>
                  <w:r>
                    <w:rPr>
                      <w:rFonts w:hint="eastAsia"/>
                    </w:rPr>
                    <w:t>大</w:t>
                  </w:r>
                </w:p>
              </w:tc>
              <w:tc>
                <w:tcPr>
                  <w:tcW w:w="417" w:type="pct"/>
                  <w:shd w:val="clear" w:color="auto" w:fill="auto"/>
                  <w:vAlign w:val="center"/>
                </w:tcPr>
                <w:p>
                  <w:pPr>
                    <w:pStyle w:val="50"/>
                  </w:pPr>
                  <w:r>
                    <w:rPr>
                      <w:rFonts w:hint="eastAsia"/>
                    </w:rPr>
                    <w:t>中</w:t>
                  </w:r>
                </w:p>
              </w:tc>
              <w:tc>
                <w:tcPr>
                  <w:tcW w:w="418" w:type="pct"/>
                  <w:shd w:val="clear" w:color="auto" w:fill="auto"/>
                  <w:vAlign w:val="center"/>
                </w:tcPr>
                <w:p>
                  <w:pPr>
                    <w:pStyle w:val="50"/>
                  </w:pPr>
                  <w:r>
                    <w:rPr>
                      <w:rFonts w:hint="eastAsia"/>
                    </w:rPr>
                    <w:t>小</w:t>
                  </w:r>
                </w:p>
              </w:tc>
              <w:tc>
                <w:tcPr>
                  <w:tcW w:w="416" w:type="pct"/>
                  <w:shd w:val="clear" w:color="auto" w:fill="auto"/>
                  <w:vAlign w:val="center"/>
                </w:tcPr>
                <w:p>
                  <w:pPr>
                    <w:pStyle w:val="50"/>
                  </w:pPr>
                  <w:r>
                    <w:rPr>
                      <w:rFonts w:hint="eastAsia"/>
                    </w:rPr>
                    <w:t>大</w:t>
                  </w:r>
                </w:p>
              </w:tc>
              <w:tc>
                <w:tcPr>
                  <w:tcW w:w="416" w:type="pct"/>
                  <w:shd w:val="clear" w:color="auto" w:fill="auto"/>
                  <w:vAlign w:val="center"/>
                </w:tcPr>
                <w:p>
                  <w:pPr>
                    <w:pStyle w:val="50"/>
                  </w:pPr>
                  <w:r>
                    <w:rPr>
                      <w:rFonts w:hint="eastAsia"/>
                    </w:rPr>
                    <w:t>中</w:t>
                  </w:r>
                </w:p>
              </w:tc>
              <w:tc>
                <w:tcPr>
                  <w:tcW w:w="416" w:type="pct"/>
                  <w:shd w:val="clear" w:color="auto" w:fill="auto"/>
                  <w:vAlign w:val="center"/>
                </w:tcPr>
                <w:p>
                  <w:pPr>
                    <w:pStyle w:val="50"/>
                  </w:pPr>
                  <w:r>
                    <w:rPr>
                      <w:rFonts w:hint="eastAsia"/>
                    </w:rPr>
                    <w:t>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shd w:val="clear" w:color="auto" w:fill="auto"/>
                </w:tcPr>
                <w:p>
                  <w:pPr>
                    <w:pStyle w:val="50"/>
                  </w:pPr>
                  <w:r>
                    <w:rPr>
                      <w:rFonts w:hint="eastAsia"/>
                    </w:rPr>
                    <w:t>敏感</w:t>
                  </w:r>
                </w:p>
              </w:tc>
              <w:tc>
                <w:tcPr>
                  <w:tcW w:w="417" w:type="pct"/>
                  <w:shd w:val="clear" w:color="auto" w:fill="auto"/>
                  <w:vAlign w:val="center"/>
                </w:tcPr>
                <w:p>
                  <w:pPr>
                    <w:pStyle w:val="50"/>
                  </w:pPr>
                  <w:r>
                    <w:rPr>
                      <w:rFonts w:hint="eastAsia"/>
                    </w:rPr>
                    <w:t>一级</w:t>
                  </w:r>
                </w:p>
              </w:tc>
              <w:tc>
                <w:tcPr>
                  <w:tcW w:w="417" w:type="pct"/>
                  <w:shd w:val="clear" w:color="auto" w:fill="auto"/>
                  <w:vAlign w:val="center"/>
                </w:tcPr>
                <w:p>
                  <w:pPr>
                    <w:pStyle w:val="50"/>
                  </w:pPr>
                  <w:r>
                    <w:rPr>
                      <w:rFonts w:hint="eastAsia"/>
                    </w:rPr>
                    <w:t>一级</w:t>
                  </w:r>
                </w:p>
              </w:tc>
              <w:tc>
                <w:tcPr>
                  <w:tcW w:w="418" w:type="pct"/>
                  <w:shd w:val="clear" w:color="auto" w:fill="auto"/>
                  <w:vAlign w:val="center"/>
                </w:tcPr>
                <w:p>
                  <w:pPr>
                    <w:pStyle w:val="50"/>
                  </w:pPr>
                  <w:r>
                    <w:rPr>
                      <w:rFonts w:hint="eastAsia"/>
                    </w:rPr>
                    <w:t>一级</w:t>
                  </w:r>
                </w:p>
              </w:tc>
              <w:tc>
                <w:tcPr>
                  <w:tcW w:w="417" w:type="pct"/>
                  <w:shd w:val="clear" w:color="auto" w:fill="auto"/>
                  <w:vAlign w:val="center"/>
                </w:tcPr>
                <w:p>
                  <w:pPr>
                    <w:pStyle w:val="50"/>
                  </w:pPr>
                  <w:r>
                    <w:rPr>
                      <w:rFonts w:hint="eastAsia"/>
                    </w:rPr>
                    <w:t>二级</w:t>
                  </w:r>
                </w:p>
              </w:tc>
              <w:tc>
                <w:tcPr>
                  <w:tcW w:w="417" w:type="pct"/>
                  <w:shd w:val="clear" w:color="auto" w:fill="auto"/>
                  <w:vAlign w:val="center"/>
                </w:tcPr>
                <w:p>
                  <w:pPr>
                    <w:pStyle w:val="50"/>
                  </w:pPr>
                  <w:r>
                    <w:rPr>
                      <w:rFonts w:hint="eastAsia"/>
                    </w:rPr>
                    <w:t>二级</w:t>
                  </w:r>
                </w:p>
              </w:tc>
              <w:tc>
                <w:tcPr>
                  <w:tcW w:w="418" w:type="pct"/>
                  <w:shd w:val="clear" w:color="auto" w:fill="auto"/>
                  <w:vAlign w:val="center"/>
                </w:tcPr>
                <w:p>
                  <w:pPr>
                    <w:pStyle w:val="50"/>
                  </w:pPr>
                  <w:r>
                    <w:rPr>
                      <w:rFonts w:hint="eastAsia"/>
                    </w:rPr>
                    <w:t>二级</w:t>
                  </w:r>
                </w:p>
              </w:tc>
              <w:tc>
                <w:tcPr>
                  <w:tcW w:w="416" w:type="pct"/>
                  <w:shd w:val="clear" w:color="auto" w:fill="auto"/>
                  <w:vAlign w:val="center"/>
                </w:tcPr>
                <w:p>
                  <w:pPr>
                    <w:pStyle w:val="50"/>
                  </w:pPr>
                  <w:r>
                    <w:rPr>
                      <w:rFonts w:hint="eastAsia"/>
                    </w:rPr>
                    <w:t>三级</w:t>
                  </w:r>
                </w:p>
              </w:tc>
              <w:tc>
                <w:tcPr>
                  <w:tcW w:w="416" w:type="pct"/>
                  <w:shd w:val="clear" w:color="auto" w:fill="auto"/>
                  <w:vAlign w:val="center"/>
                </w:tcPr>
                <w:p>
                  <w:pPr>
                    <w:pStyle w:val="50"/>
                  </w:pPr>
                  <w:r>
                    <w:rPr>
                      <w:rFonts w:hint="eastAsia"/>
                    </w:rPr>
                    <w:t>三级</w:t>
                  </w:r>
                </w:p>
              </w:tc>
              <w:tc>
                <w:tcPr>
                  <w:tcW w:w="416" w:type="pct"/>
                  <w:tcBorders>
                    <w:bottom w:val="single" w:color="auto" w:sz="4" w:space="0"/>
                  </w:tcBorders>
                  <w:shd w:val="clear" w:color="auto" w:fill="auto"/>
                  <w:vAlign w:val="center"/>
                </w:tcPr>
                <w:p>
                  <w:pPr>
                    <w:pStyle w:val="50"/>
                  </w:pPr>
                  <w:r>
                    <w:rPr>
                      <w:rFonts w:hint="eastAsi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shd w:val="clear" w:color="auto" w:fill="auto"/>
                </w:tcPr>
                <w:p>
                  <w:pPr>
                    <w:pStyle w:val="50"/>
                  </w:pPr>
                  <w:r>
                    <w:rPr>
                      <w:rFonts w:hint="eastAsia"/>
                    </w:rPr>
                    <w:t>较敏感</w:t>
                  </w:r>
                </w:p>
              </w:tc>
              <w:tc>
                <w:tcPr>
                  <w:tcW w:w="417" w:type="pct"/>
                  <w:shd w:val="clear" w:color="auto" w:fill="auto"/>
                  <w:vAlign w:val="center"/>
                </w:tcPr>
                <w:p>
                  <w:pPr>
                    <w:pStyle w:val="50"/>
                  </w:pPr>
                  <w:r>
                    <w:rPr>
                      <w:rFonts w:hint="eastAsia"/>
                    </w:rPr>
                    <w:t>一级</w:t>
                  </w:r>
                </w:p>
              </w:tc>
              <w:tc>
                <w:tcPr>
                  <w:tcW w:w="417" w:type="pct"/>
                  <w:shd w:val="clear" w:color="auto" w:fill="auto"/>
                  <w:vAlign w:val="center"/>
                </w:tcPr>
                <w:p>
                  <w:pPr>
                    <w:pStyle w:val="50"/>
                  </w:pPr>
                  <w:r>
                    <w:rPr>
                      <w:rFonts w:hint="eastAsia"/>
                    </w:rPr>
                    <w:t>一级</w:t>
                  </w:r>
                </w:p>
              </w:tc>
              <w:tc>
                <w:tcPr>
                  <w:tcW w:w="418" w:type="pct"/>
                  <w:shd w:val="clear" w:color="auto" w:fill="auto"/>
                  <w:vAlign w:val="center"/>
                </w:tcPr>
                <w:p>
                  <w:pPr>
                    <w:pStyle w:val="50"/>
                  </w:pPr>
                  <w:r>
                    <w:rPr>
                      <w:rFonts w:hint="eastAsia"/>
                    </w:rPr>
                    <w:t>二级</w:t>
                  </w:r>
                </w:p>
              </w:tc>
              <w:tc>
                <w:tcPr>
                  <w:tcW w:w="417" w:type="pct"/>
                  <w:shd w:val="clear" w:color="auto" w:fill="auto"/>
                  <w:vAlign w:val="center"/>
                </w:tcPr>
                <w:p>
                  <w:pPr>
                    <w:pStyle w:val="50"/>
                  </w:pPr>
                  <w:r>
                    <w:rPr>
                      <w:rFonts w:hint="eastAsia"/>
                    </w:rPr>
                    <w:t>二级</w:t>
                  </w:r>
                </w:p>
              </w:tc>
              <w:tc>
                <w:tcPr>
                  <w:tcW w:w="417" w:type="pct"/>
                  <w:tcBorders>
                    <w:bottom w:val="single" w:color="auto" w:sz="4" w:space="0"/>
                  </w:tcBorders>
                  <w:shd w:val="clear" w:color="auto" w:fill="auto"/>
                  <w:vAlign w:val="center"/>
                </w:tcPr>
                <w:p>
                  <w:pPr>
                    <w:pStyle w:val="50"/>
                  </w:pPr>
                  <w:r>
                    <w:rPr>
                      <w:rFonts w:hint="eastAsia"/>
                    </w:rPr>
                    <w:t>二级</w:t>
                  </w:r>
                </w:p>
              </w:tc>
              <w:tc>
                <w:tcPr>
                  <w:tcW w:w="418" w:type="pct"/>
                  <w:shd w:val="clear" w:color="auto" w:fill="auto"/>
                  <w:vAlign w:val="center"/>
                </w:tcPr>
                <w:p>
                  <w:pPr>
                    <w:pStyle w:val="50"/>
                  </w:pPr>
                  <w:r>
                    <w:rPr>
                      <w:rFonts w:hint="eastAsia"/>
                    </w:rPr>
                    <w:t>三级</w:t>
                  </w:r>
                </w:p>
              </w:tc>
              <w:tc>
                <w:tcPr>
                  <w:tcW w:w="416" w:type="pct"/>
                  <w:shd w:val="clear" w:color="auto" w:fill="auto"/>
                  <w:vAlign w:val="center"/>
                </w:tcPr>
                <w:p>
                  <w:pPr>
                    <w:pStyle w:val="50"/>
                  </w:pPr>
                  <w:r>
                    <w:rPr>
                      <w:rFonts w:hint="eastAsia"/>
                    </w:rPr>
                    <w:t>三级</w:t>
                  </w:r>
                </w:p>
              </w:tc>
              <w:tc>
                <w:tcPr>
                  <w:tcW w:w="416" w:type="pct"/>
                  <w:shd w:val="clear" w:color="auto" w:fill="auto"/>
                  <w:vAlign w:val="center"/>
                </w:tcPr>
                <w:p>
                  <w:pPr>
                    <w:pStyle w:val="50"/>
                  </w:pPr>
                  <w:r>
                    <w:rPr>
                      <w:rFonts w:hint="eastAsia"/>
                    </w:rPr>
                    <w:t>三级</w:t>
                  </w:r>
                </w:p>
              </w:tc>
              <w:tc>
                <w:tcPr>
                  <w:tcW w:w="416" w:type="pct"/>
                  <w:tcBorders>
                    <w:bottom w:val="single" w:color="auto" w:sz="4" w:space="0"/>
                  </w:tcBorders>
                  <w:shd w:val="clear" w:color="auto" w:fill="CCE8CF" w:themeFill="background1"/>
                  <w:vAlign w:val="center"/>
                </w:tcPr>
                <w:p>
                  <w:pPr>
                    <w:pStyle w:val="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shd w:val="clear" w:color="auto" w:fill="auto"/>
                </w:tcPr>
                <w:p>
                  <w:pPr>
                    <w:pStyle w:val="50"/>
                  </w:pPr>
                  <w:r>
                    <w:rPr>
                      <w:rFonts w:hint="eastAsia"/>
                    </w:rPr>
                    <w:t>不敏感</w:t>
                  </w:r>
                </w:p>
              </w:tc>
              <w:tc>
                <w:tcPr>
                  <w:tcW w:w="417" w:type="pct"/>
                  <w:shd w:val="clear" w:color="auto" w:fill="auto"/>
                  <w:vAlign w:val="center"/>
                </w:tcPr>
                <w:p>
                  <w:pPr>
                    <w:pStyle w:val="50"/>
                  </w:pPr>
                  <w:r>
                    <w:rPr>
                      <w:rFonts w:hint="eastAsia"/>
                    </w:rPr>
                    <w:t>一级</w:t>
                  </w:r>
                </w:p>
              </w:tc>
              <w:tc>
                <w:tcPr>
                  <w:tcW w:w="417" w:type="pct"/>
                  <w:shd w:val="clear" w:color="auto" w:fill="auto"/>
                  <w:vAlign w:val="center"/>
                </w:tcPr>
                <w:p>
                  <w:pPr>
                    <w:pStyle w:val="50"/>
                  </w:pPr>
                  <w:r>
                    <w:rPr>
                      <w:rFonts w:hint="eastAsia"/>
                    </w:rPr>
                    <w:t>二级</w:t>
                  </w:r>
                </w:p>
              </w:tc>
              <w:tc>
                <w:tcPr>
                  <w:tcW w:w="418" w:type="pct"/>
                  <w:shd w:val="clear" w:color="auto" w:fill="auto"/>
                  <w:vAlign w:val="center"/>
                </w:tcPr>
                <w:p>
                  <w:pPr>
                    <w:pStyle w:val="50"/>
                  </w:pPr>
                  <w:r>
                    <w:rPr>
                      <w:rFonts w:hint="eastAsia"/>
                    </w:rPr>
                    <w:t>二级</w:t>
                  </w:r>
                </w:p>
              </w:tc>
              <w:tc>
                <w:tcPr>
                  <w:tcW w:w="417" w:type="pct"/>
                  <w:shd w:val="clear" w:color="auto" w:fill="auto"/>
                  <w:vAlign w:val="center"/>
                </w:tcPr>
                <w:p>
                  <w:pPr>
                    <w:pStyle w:val="50"/>
                  </w:pPr>
                  <w:r>
                    <w:rPr>
                      <w:rFonts w:hint="eastAsia"/>
                    </w:rPr>
                    <w:t>二级</w:t>
                  </w:r>
                </w:p>
              </w:tc>
              <w:tc>
                <w:tcPr>
                  <w:tcW w:w="417" w:type="pct"/>
                  <w:shd w:val="clear" w:color="auto" w:fill="auto"/>
                  <w:vAlign w:val="center"/>
                </w:tcPr>
                <w:p>
                  <w:pPr>
                    <w:pStyle w:val="50"/>
                  </w:pPr>
                  <w:r>
                    <w:rPr>
                      <w:rFonts w:hint="eastAsia"/>
                    </w:rPr>
                    <w:t>三级</w:t>
                  </w:r>
                </w:p>
              </w:tc>
              <w:tc>
                <w:tcPr>
                  <w:tcW w:w="418" w:type="pct"/>
                  <w:shd w:val="clear" w:color="auto" w:fill="auto"/>
                  <w:vAlign w:val="center"/>
                </w:tcPr>
                <w:p>
                  <w:pPr>
                    <w:pStyle w:val="50"/>
                  </w:pPr>
                  <w:r>
                    <w:rPr>
                      <w:rFonts w:hint="eastAsia"/>
                    </w:rPr>
                    <w:t>三级</w:t>
                  </w:r>
                </w:p>
              </w:tc>
              <w:tc>
                <w:tcPr>
                  <w:tcW w:w="416" w:type="pct"/>
                  <w:shd w:val="clear" w:color="auto" w:fill="auto"/>
                  <w:vAlign w:val="center"/>
                </w:tcPr>
                <w:p>
                  <w:pPr>
                    <w:pStyle w:val="50"/>
                  </w:pPr>
                  <w:r>
                    <w:rPr>
                      <w:rFonts w:hint="eastAsia"/>
                    </w:rPr>
                    <w:t>三级</w:t>
                  </w:r>
                </w:p>
              </w:tc>
              <w:tc>
                <w:tcPr>
                  <w:tcW w:w="416" w:type="pct"/>
                  <w:shd w:val="clear" w:color="auto" w:fill="auto"/>
                  <w:vAlign w:val="center"/>
                </w:tcPr>
                <w:p>
                  <w:pPr>
                    <w:pStyle w:val="50"/>
                  </w:pPr>
                  <w:r>
                    <w:rPr>
                      <w:rFonts w:hint="eastAsia"/>
                    </w:rPr>
                    <w:t>-</w:t>
                  </w:r>
                </w:p>
              </w:tc>
              <w:tc>
                <w:tcPr>
                  <w:tcW w:w="416" w:type="pct"/>
                  <w:shd w:val="clear" w:color="auto" w:fill="C3BD96" w:themeFill="background2" w:themeFillShade="BF"/>
                  <w:vAlign w:val="center"/>
                </w:tcPr>
                <w:p>
                  <w:pPr>
                    <w:pStyle w:val="50"/>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shd w:val="clear" w:color="auto" w:fill="auto"/>
                </w:tcPr>
                <w:p>
                  <w:pPr>
                    <w:pStyle w:val="50"/>
                  </w:pPr>
                  <w:r>
                    <w:rPr>
                      <w:rFonts w:hint="eastAsia"/>
                    </w:rPr>
                    <w:t>注：“-”表示可不开展土壤环境影响评价工作</w:t>
                  </w:r>
                </w:p>
              </w:tc>
            </w:tr>
          </w:tbl>
          <w:p>
            <w:pPr>
              <w:pStyle w:val="37"/>
              <w:ind w:firstLine="480"/>
              <w:rPr>
                <w:color w:val="FF0000"/>
              </w:rPr>
            </w:pPr>
            <w:r>
              <w:rPr>
                <w:rFonts w:hint="eastAsia"/>
                <w:color w:val="FF0000"/>
              </w:rPr>
              <w:t>经分析可知，本项目属于污染影响型建设项目，根据《环境影响评价技术导则土壤环境（试行）》（HJ964-2018），本项目属于III类，占地规模属于小型，项目所在地周边土壤环境敏感程度为不敏感，可不开展土壤环境影响评价工作。</w:t>
            </w:r>
          </w:p>
          <w:p>
            <w:pPr>
              <w:pStyle w:val="37"/>
              <w:ind w:firstLine="480"/>
              <w:jc w:val="center"/>
            </w:pPr>
            <w:r>
              <w:rPr>
                <w:rFonts w:hint="eastAsia"/>
              </w:rPr>
              <w:t>表7-12  土壤环境影响评价自查表</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1"/>
              <w:gridCol w:w="1801"/>
              <w:gridCol w:w="1118"/>
              <w:gridCol w:w="503"/>
              <w:gridCol w:w="1621"/>
              <w:gridCol w:w="1436"/>
              <w:gridCol w:w="18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4" w:type="dxa"/>
                  <w:gridSpan w:val="2"/>
                  <w:vAlign w:val="center"/>
                </w:tcPr>
                <w:p>
                  <w:pPr>
                    <w:jc w:val="center"/>
                    <w:rPr>
                      <w:snapToGrid w:val="0"/>
                      <w:kern w:val="2"/>
                      <w:sz w:val="21"/>
                      <w:szCs w:val="21"/>
                    </w:rPr>
                  </w:pPr>
                  <w:r>
                    <w:rPr>
                      <w:snapToGrid w:val="0"/>
                      <w:kern w:val="2"/>
                      <w:sz w:val="21"/>
                      <w:szCs w:val="21"/>
                    </w:rPr>
                    <w:t>工作内容</w:t>
                  </w:r>
                </w:p>
              </w:tc>
              <w:tc>
                <w:tcPr>
                  <w:tcW w:w="6363" w:type="dxa"/>
                  <w:gridSpan w:val="5"/>
                  <w:vAlign w:val="center"/>
                </w:tcPr>
                <w:p>
                  <w:pPr>
                    <w:jc w:val="center"/>
                    <w:rPr>
                      <w:snapToGrid w:val="0"/>
                      <w:kern w:val="2"/>
                      <w:sz w:val="21"/>
                      <w:szCs w:val="21"/>
                    </w:rPr>
                  </w:pPr>
                  <w:r>
                    <w:rPr>
                      <w:snapToGrid w:val="0"/>
                      <w:kern w:val="2"/>
                      <w:sz w:val="21"/>
                      <w:szCs w:val="21"/>
                    </w:rPr>
                    <w:t>自查项目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restart"/>
                  <w:vAlign w:val="center"/>
                </w:tcPr>
                <w:p>
                  <w:pPr>
                    <w:jc w:val="center"/>
                    <w:rPr>
                      <w:snapToGrid w:val="0"/>
                      <w:kern w:val="2"/>
                      <w:sz w:val="21"/>
                      <w:szCs w:val="21"/>
                    </w:rPr>
                  </w:pPr>
                  <w:r>
                    <w:rPr>
                      <w:snapToGrid w:val="0"/>
                      <w:kern w:val="2"/>
                      <w:sz w:val="21"/>
                      <w:szCs w:val="21"/>
                    </w:rPr>
                    <w:t>影</w:t>
                  </w:r>
                </w:p>
                <w:p>
                  <w:pPr>
                    <w:jc w:val="center"/>
                    <w:rPr>
                      <w:snapToGrid w:val="0"/>
                      <w:kern w:val="2"/>
                      <w:sz w:val="21"/>
                      <w:szCs w:val="21"/>
                    </w:rPr>
                  </w:pPr>
                  <w:r>
                    <w:rPr>
                      <w:snapToGrid w:val="0"/>
                      <w:kern w:val="2"/>
                      <w:sz w:val="21"/>
                      <w:szCs w:val="21"/>
                    </w:rPr>
                    <w:t>响</w:t>
                  </w:r>
                </w:p>
                <w:p>
                  <w:pPr>
                    <w:jc w:val="center"/>
                    <w:rPr>
                      <w:snapToGrid w:val="0"/>
                      <w:kern w:val="2"/>
                      <w:sz w:val="21"/>
                      <w:szCs w:val="21"/>
                    </w:rPr>
                  </w:pPr>
                  <w:r>
                    <w:rPr>
                      <w:snapToGrid w:val="0"/>
                      <w:kern w:val="2"/>
                      <w:sz w:val="21"/>
                      <w:szCs w:val="21"/>
                    </w:rPr>
                    <w:t>识</w:t>
                  </w:r>
                </w:p>
                <w:p>
                  <w:pPr>
                    <w:jc w:val="center"/>
                    <w:rPr>
                      <w:snapToGrid w:val="0"/>
                      <w:kern w:val="2"/>
                      <w:sz w:val="21"/>
                      <w:szCs w:val="21"/>
                    </w:rPr>
                  </w:pPr>
                  <w:r>
                    <w:rPr>
                      <w:snapToGrid w:val="0"/>
                      <w:kern w:val="2"/>
                      <w:sz w:val="21"/>
                      <w:szCs w:val="21"/>
                    </w:rPr>
                    <w:t>别</w:t>
                  </w:r>
                </w:p>
              </w:tc>
              <w:tc>
                <w:tcPr>
                  <w:tcW w:w="1767" w:type="dxa"/>
                  <w:vAlign w:val="center"/>
                </w:tcPr>
                <w:p>
                  <w:pPr>
                    <w:jc w:val="center"/>
                    <w:rPr>
                      <w:snapToGrid w:val="0"/>
                      <w:kern w:val="2"/>
                      <w:sz w:val="21"/>
                      <w:szCs w:val="21"/>
                    </w:rPr>
                  </w:pPr>
                  <w:r>
                    <w:rPr>
                      <w:snapToGrid w:val="0"/>
                      <w:kern w:val="2"/>
                      <w:sz w:val="21"/>
                      <w:szCs w:val="21"/>
                    </w:rPr>
                    <w:t>影响类型</w:t>
                  </w:r>
                </w:p>
              </w:tc>
              <w:tc>
                <w:tcPr>
                  <w:tcW w:w="6363" w:type="dxa"/>
                  <w:gridSpan w:val="5"/>
                  <w:vAlign w:val="center"/>
                </w:tcPr>
                <w:p>
                  <w:pPr>
                    <w:rPr>
                      <w:snapToGrid w:val="0"/>
                      <w:kern w:val="2"/>
                      <w:sz w:val="21"/>
                      <w:szCs w:val="21"/>
                    </w:rPr>
                  </w:pPr>
                  <w:r>
                    <w:rPr>
                      <w:snapToGrid w:val="0"/>
                      <w:kern w:val="2"/>
                      <w:sz w:val="21"/>
                      <w:szCs w:val="21"/>
                    </w:rPr>
                    <w:t>污染影响类</w:t>
                  </w:r>
                  <w:r>
                    <w:rPr>
                      <w:snapToGrid w:val="0"/>
                      <w:kern w:val="2"/>
                      <w:sz w:val="21"/>
                      <w:szCs w:val="21"/>
                    </w:rPr>
                    <w:sym w:font="Wingdings 2" w:char="0052"/>
                  </w:r>
                  <w:r>
                    <w:rPr>
                      <w:snapToGrid w:val="0"/>
                      <w:kern w:val="2"/>
                      <w:sz w:val="21"/>
                      <w:szCs w:val="21"/>
                    </w:rPr>
                    <w:t>；生态影响类□；两种兼有□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土地利用类型</w:t>
                  </w:r>
                </w:p>
              </w:tc>
              <w:tc>
                <w:tcPr>
                  <w:tcW w:w="6363" w:type="dxa"/>
                  <w:gridSpan w:val="5"/>
                  <w:vAlign w:val="center"/>
                </w:tcPr>
                <w:p>
                  <w:pPr>
                    <w:rPr>
                      <w:snapToGrid w:val="0"/>
                      <w:kern w:val="2"/>
                      <w:sz w:val="21"/>
                      <w:szCs w:val="21"/>
                    </w:rPr>
                  </w:pPr>
                  <w:r>
                    <w:rPr>
                      <w:snapToGrid w:val="0"/>
                      <w:kern w:val="2"/>
                      <w:sz w:val="21"/>
                      <w:szCs w:val="21"/>
                    </w:rPr>
                    <w:t>建设用地</w:t>
                  </w:r>
                  <w:r>
                    <w:rPr>
                      <w:snapToGrid w:val="0"/>
                      <w:kern w:val="2"/>
                      <w:sz w:val="21"/>
                      <w:szCs w:val="21"/>
                    </w:rPr>
                    <w:sym w:font="Wingdings 2" w:char="0052"/>
                  </w:r>
                  <w:r>
                    <w:rPr>
                      <w:snapToGrid w:val="0"/>
                      <w:kern w:val="2"/>
                      <w:sz w:val="21"/>
                      <w:szCs w:val="21"/>
                    </w:rPr>
                    <w:t>；农用地□；未利用地□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占地规模</w:t>
                  </w:r>
                </w:p>
              </w:tc>
              <w:tc>
                <w:tcPr>
                  <w:tcW w:w="6363" w:type="dxa"/>
                  <w:gridSpan w:val="5"/>
                  <w:vAlign w:val="center"/>
                </w:tcPr>
                <w:p>
                  <w:pPr>
                    <w:rPr>
                      <w:snapToGrid w:val="0"/>
                      <w:kern w:val="2"/>
                      <w:sz w:val="21"/>
                      <w:szCs w:val="21"/>
                    </w:rPr>
                  </w:pPr>
                  <w:r>
                    <w:rPr>
                      <w:snapToGrid w:val="0"/>
                      <w:kern w:val="2"/>
                      <w:sz w:val="21"/>
                      <w:szCs w:val="21"/>
                    </w:rPr>
                    <w:t>（</w:t>
                  </w:r>
                  <w:r>
                    <w:rPr>
                      <w:rFonts w:hint="eastAsia"/>
                      <w:snapToGrid w:val="0"/>
                      <w:kern w:val="2"/>
                      <w:sz w:val="21"/>
                      <w:szCs w:val="21"/>
                    </w:rPr>
                    <w:t>0.03</w:t>
                  </w:r>
                  <w:r>
                    <w:rPr>
                      <w:snapToGrid w:val="0"/>
                      <w:kern w:val="2"/>
                      <w:sz w:val="21"/>
                      <w:szCs w:val="21"/>
                    </w:rPr>
                    <w:t>）hm</w:t>
                  </w:r>
                  <w:r>
                    <w:rPr>
                      <w:snapToGrid w:val="0"/>
                      <w:kern w:val="2"/>
                      <w:sz w:val="21"/>
                      <w:szCs w:val="21"/>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敏感目标信息</w:t>
                  </w:r>
                </w:p>
              </w:tc>
              <w:tc>
                <w:tcPr>
                  <w:tcW w:w="6363" w:type="dxa"/>
                  <w:gridSpan w:val="5"/>
                  <w:vAlign w:val="center"/>
                </w:tcPr>
                <w:p>
                  <w:pPr>
                    <w:rPr>
                      <w:snapToGrid w:val="0"/>
                      <w:kern w:val="2"/>
                      <w:sz w:val="21"/>
                      <w:szCs w:val="21"/>
                    </w:rPr>
                  </w:pPr>
                  <w:r>
                    <w:rPr>
                      <w:snapToGrid w:val="0"/>
                      <w:kern w:val="2"/>
                      <w:sz w:val="21"/>
                      <w:szCs w:val="21"/>
                    </w:rPr>
                    <w:t>敏感目标（/）、方位（/）、距离（/）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影响途径</w:t>
                  </w:r>
                </w:p>
              </w:tc>
              <w:tc>
                <w:tcPr>
                  <w:tcW w:w="6363" w:type="dxa"/>
                  <w:gridSpan w:val="5"/>
                  <w:vAlign w:val="center"/>
                </w:tcPr>
                <w:p>
                  <w:pPr>
                    <w:rPr>
                      <w:snapToGrid w:val="0"/>
                      <w:kern w:val="2"/>
                      <w:sz w:val="21"/>
                      <w:szCs w:val="21"/>
                    </w:rPr>
                  </w:pPr>
                  <w:r>
                    <w:rPr>
                      <w:snapToGrid w:val="0"/>
                      <w:kern w:val="2"/>
                      <w:sz w:val="21"/>
                      <w:szCs w:val="21"/>
                    </w:rPr>
                    <w:t>大气沉降□；地面漫流□；垂直入渗</w:t>
                  </w:r>
                  <w:r>
                    <w:rPr>
                      <w:snapToGrid w:val="0"/>
                      <w:kern w:val="2"/>
                      <w:sz w:val="21"/>
                      <w:szCs w:val="21"/>
                    </w:rPr>
                    <w:sym w:font="Wingdings 2" w:char="0052"/>
                  </w:r>
                  <w:r>
                    <w:rPr>
                      <w:snapToGrid w:val="0"/>
                      <w:kern w:val="2"/>
                      <w:sz w:val="21"/>
                      <w:szCs w:val="21"/>
                    </w:rPr>
                    <w:t>；地下水位□；其他（）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全部污染物</w:t>
                  </w:r>
                </w:p>
              </w:tc>
              <w:tc>
                <w:tcPr>
                  <w:tcW w:w="6363" w:type="dxa"/>
                  <w:gridSpan w:val="5"/>
                  <w:vAlign w:val="center"/>
                </w:tcPr>
                <w:p>
                  <w:pPr>
                    <w:rPr>
                      <w:snapToGrid w:val="0"/>
                      <w:kern w:val="2"/>
                      <w:sz w:val="21"/>
                      <w:szCs w:val="21"/>
                    </w:rPr>
                  </w:pPr>
                  <w:r>
                    <w:rPr>
                      <w:snapToGrid w:val="0"/>
                      <w:kern w:val="2"/>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特征因子</w:t>
                  </w:r>
                </w:p>
              </w:tc>
              <w:tc>
                <w:tcPr>
                  <w:tcW w:w="6363" w:type="dxa"/>
                  <w:gridSpan w:val="5"/>
                  <w:vAlign w:val="center"/>
                </w:tcPr>
                <w:p>
                  <w:pPr>
                    <w:rPr>
                      <w:snapToGrid w:val="0"/>
                      <w:kern w:val="2"/>
                      <w:sz w:val="21"/>
                      <w:szCs w:val="21"/>
                    </w:rPr>
                  </w:pPr>
                  <w:r>
                    <w:rPr>
                      <w:rFonts w:hint="eastAsia"/>
                      <w:snapToGrid w:val="0"/>
                      <w:kern w:val="2"/>
                      <w:sz w:val="21"/>
                      <w:szCs w:val="21"/>
                    </w:rPr>
                    <w:t>COD</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所属土壤环境影响评价项目类别</w:t>
                  </w:r>
                </w:p>
              </w:tc>
              <w:tc>
                <w:tcPr>
                  <w:tcW w:w="6363" w:type="dxa"/>
                  <w:gridSpan w:val="5"/>
                  <w:vAlign w:val="center"/>
                </w:tcPr>
                <w:p>
                  <w:pPr>
                    <w:rPr>
                      <w:snapToGrid w:val="0"/>
                      <w:kern w:val="2"/>
                      <w:sz w:val="21"/>
                      <w:szCs w:val="21"/>
                    </w:rPr>
                  </w:pPr>
                  <w:r>
                    <w:rPr>
                      <w:rFonts w:hint="eastAsia" w:ascii="SimSun" w:hAnsi="SimSun" w:cs="SimSun"/>
                      <w:snapToGrid w:val="0"/>
                      <w:kern w:val="2"/>
                      <w:sz w:val="21"/>
                      <w:szCs w:val="21"/>
                    </w:rPr>
                    <w:t>Ⅰ</w:t>
                  </w:r>
                  <w:r>
                    <w:rPr>
                      <w:snapToGrid w:val="0"/>
                      <w:kern w:val="2"/>
                      <w:sz w:val="21"/>
                      <w:szCs w:val="21"/>
                    </w:rPr>
                    <w:t>类□；</w:t>
                  </w:r>
                  <w:r>
                    <w:rPr>
                      <w:rFonts w:hint="eastAsia" w:ascii="SimSun" w:hAnsi="SimSun" w:cs="SimSun"/>
                      <w:snapToGrid w:val="0"/>
                      <w:kern w:val="2"/>
                      <w:sz w:val="21"/>
                      <w:szCs w:val="21"/>
                    </w:rPr>
                    <w:t>Ⅱ</w:t>
                  </w:r>
                  <w:r>
                    <w:rPr>
                      <w:snapToGrid w:val="0"/>
                      <w:kern w:val="2"/>
                      <w:sz w:val="21"/>
                      <w:szCs w:val="21"/>
                    </w:rPr>
                    <w:t>类□；</w:t>
                  </w:r>
                  <w:r>
                    <w:rPr>
                      <w:rFonts w:hint="eastAsia" w:ascii="SimSun" w:hAnsi="SimSun" w:cs="SimSun"/>
                      <w:snapToGrid w:val="0"/>
                      <w:kern w:val="2"/>
                      <w:sz w:val="21"/>
                      <w:szCs w:val="21"/>
                    </w:rPr>
                    <w:t>Ⅲ</w:t>
                  </w:r>
                  <w:r>
                    <w:rPr>
                      <w:snapToGrid w:val="0"/>
                      <w:kern w:val="2"/>
                      <w:sz w:val="21"/>
                      <w:szCs w:val="21"/>
                    </w:rPr>
                    <w:t>类</w:t>
                  </w:r>
                  <w:r>
                    <w:rPr>
                      <w:snapToGrid w:val="0"/>
                      <w:kern w:val="2"/>
                      <w:sz w:val="21"/>
                      <w:szCs w:val="21"/>
                    </w:rPr>
                    <w:sym w:font="Wingdings 2" w:char="0052"/>
                  </w:r>
                  <w:r>
                    <w:rPr>
                      <w:snapToGrid w:val="0"/>
                      <w:kern w:val="2"/>
                      <w:sz w:val="21"/>
                      <w:szCs w:val="21"/>
                    </w:rPr>
                    <w:t>；</w:t>
                  </w:r>
                  <w:r>
                    <w:rPr>
                      <w:rFonts w:hint="eastAsia" w:ascii="SimSun" w:hAnsi="SimSun" w:cs="SimSun"/>
                      <w:snapToGrid w:val="0"/>
                      <w:kern w:val="2"/>
                      <w:sz w:val="21"/>
                      <w:szCs w:val="21"/>
                    </w:rPr>
                    <w:t>Ⅳ</w:t>
                  </w:r>
                  <w:r>
                    <w:rPr>
                      <w:snapToGrid w:val="0"/>
                      <w:kern w:val="2"/>
                      <w:sz w:val="21"/>
                      <w:szCs w:val="21"/>
                    </w:rPr>
                    <w:t>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敏感程度</w:t>
                  </w:r>
                </w:p>
              </w:tc>
              <w:tc>
                <w:tcPr>
                  <w:tcW w:w="6363" w:type="dxa"/>
                  <w:gridSpan w:val="5"/>
                  <w:vAlign w:val="center"/>
                </w:tcPr>
                <w:p>
                  <w:pPr>
                    <w:rPr>
                      <w:snapToGrid w:val="0"/>
                      <w:kern w:val="2"/>
                      <w:sz w:val="21"/>
                      <w:szCs w:val="21"/>
                    </w:rPr>
                  </w:pPr>
                  <w:r>
                    <w:rPr>
                      <w:snapToGrid w:val="0"/>
                      <w:kern w:val="2"/>
                      <w:sz w:val="21"/>
                      <w:szCs w:val="21"/>
                    </w:rPr>
                    <w:t>敏感□；较敏感□；不敏感</w:t>
                  </w:r>
                  <w:r>
                    <w:rPr>
                      <w:snapToGrid w:val="0"/>
                      <w:kern w:val="2"/>
                      <w:sz w:val="21"/>
                      <w:szCs w:val="21"/>
                    </w:rPr>
                    <w:sym w:font="Wingdings 2" w:char="0052"/>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4" w:type="dxa"/>
                  <w:gridSpan w:val="2"/>
                  <w:vAlign w:val="center"/>
                </w:tcPr>
                <w:p>
                  <w:pPr>
                    <w:jc w:val="center"/>
                    <w:rPr>
                      <w:snapToGrid w:val="0"/>
                      <w:kern w:val="2"/>
                      <w:sz w:val="21"/>
                      <w:szCs w:val="21"/>
                    </w:rPr>
                  </w:pPr>
                  <w:r>
                    <w:rPr>
                      <w:snapToGrid w:val="0"/>
                      <w:kern w:val="2"/>
                      <w:sz w:val="21"/>
                      <w:szCs w:val="21"/>
                    </w:rPr>
                    <w:t>评价工作等级</w:t>
                  </w:r>
                </w:p>
              </w:tc>
              <w:tc>
                <w:tcPr>
                  <w:tcW w:w="6363" w:type="dxa"/>
                  <w:gridSpan w:val="5"/>
                  <w:vAlign w:val="center"/>
                </w:tcPr>
                <w:p>
                  <w:pPr>
                    <w:rPr>
                      <w:snapToGrid w:val="0"/>
                      <w:color w:val="FF0000"/>
                      <w:kern w:val="2"/>
                      <w:sz w:val="21"/>
                      <w:szCs w:val="21"/>
                    </w:rPr>
                  </w:pPr>
                  <w:r>
                    <w:rPr>
                      <w:snapToGrid w:val="0"/>
                      <w:color w:val="FF0000"/>
                      <w:kern w:val="2"/>
                      <w:sz w:val="21"/>
                      <w:szCs w:val="21"/>
                    </w:rPr>
                    <w:t>一级□；二级□；三级□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restart"/>
                  <w:vAlign w:val="center"/>
                </w:tcPr>
                <w:p>
                  <w:pPr>
                    <w:jc w:val="center"/>
                    <w:rPr>
                      <w:snapToGrid w:val="0"/>
                      <w:kern w:val="2"/>
                      <w:sz w:val="21"/>
                      <w:szCs w:val="21"/>
                    </w:rPr>
                  </w:pPr>
                  <w:r>
                    <w:rPr>
                      <w:snapToGrid w:val="0"/>
                      <w:kern w:val="2"/>
                      <w:sz w:val="21"/>
                      <w:szCs w:val="21"/>
                    </w:rPr>
                    <w:t>现</w:t>
                  </w:r>
                </w:p>
                <w:p>
                  <w:pPr>
                    <w:jc w:val="center"/>
                    <w:rPr>
                      <w:snapToGrid w:val="0"/>
                      <w:kern w:val="2"/>
                      <w:sz w:val="21"/>
                      <w:szCs w:val="21"/>
                    </w:rPr>
                  </w:pPr>
                  <w:r>
                    <w:rPr>
                      <w:snapToGrid w:val="0"/>
                      <w:kern w:val="2"/>
                      <w:sz w:val="21"/>
                      <w:szCs w:val="21"/>
                    </w:rPr>
                    <w:t>状</w:t>
                  </w:r>
                </w:p>
                <w:p>
                  <w:pPr>
                    <w:jc w:val="center"/>
                    <w:rPr>
                      <w:snapToGrid w:val="0"/>
                      <w:kern w:val="2"/>
                      <w:sz w:val="21"/>
                      <w:szCs w:val="21"/>
                    </w:rPr>
                  </w:pPr>
                  <w:r>
                    <w:rPr>
                      <w:snapToGrid w:val="0"/>
                      <w:kern w:val="2"/>
                      <w:sz w:val="21"/>
                      <w:szCs w:val="21"/>
                    </w:rPr>
                    <w:t>调</w:t>
                  </w:r>
                </w:p>
                <w:p>
                  <w:pPr>
                    <w:jc w:val="center"/>
                    <w:rPr>
                      <w:snapToGrid w:val="0"/>
                      <w:kern w:val="2"/>
                      <w:sz w:val="21"/>
                      <w:szCs w:val="21"/>
                    </w:rPr>
                  </w:pPr>
                  <w:r>
                    <w:rPr>
                      <w:snapToGrid w:val="0"/>
                      <w:kern w:val="2"/>
                      <w:sz w:val="21"/>
                      <w:szCs w:val="21"/>
                    </w:rPr>
                    <w:t>查</w:t>
                  </w:r>
                </w:p>
                <w:p>
                  <w:pPr>
                    <w:jc w:val="center"/>
                    <w:rPr>
                      <w:snapToGrid w:val="0"/>
                      <w:kern w:val="2"/>
                      <w:sz w:val="21"/>
                      <w:szCs w:val="21"/>
                    </w:rPr>
                  </w:pPr>
                  <w:r>
                    <w:rPr>
                      <w:snapToGrid w:val="0"/>
                      <w:kern w:val="2"/>
                      <w:sz w:val="21"/>
                      <w:szCs w:val="21"/>
                    </w:rPr>
                    <w:t>内</w:t>
                  </w:r>
                </w:p>
                <w:p>
                  <w:pPr>
                    <w:jc w:val="center"/>
                    <w:rPr>
                      <w:snapToGrid w:val="0"/>
                      <w:kern w:val="2"/>
                      <w:sz w:val="21"/>
                      <w:szCs w:val="21"/>
                    </w:rPr>
                  </w:pPr>
                  <w:r>
                    <w:rPr>
                      <w:snapToGrid w:val="0"/>
                      <w:kern w:val="2"/>
                      <w:sz w:val="21"/>
                      <w:szCs w:val="21"/>
                    </w:rPr>
                    <w:t>容</w:t>
                  </w:r>
                </w:p>
              </w:tc>
              <w:tc>
                <w:tcPr>
                  <w:tcW w:w="1767" w:type="dxa"/>
                  <w:vAlign w:val="center"/>
                </w:tcPr>
                <w:p>
                  <w:pPr>
                    <w:jc w:val="center"/>
                    <w:rPr>
                      <w:snapToGrid w:val="0"/>
                      <w:kern w:val="2"/>
                      <w:sz w:val="21"/>
                      <w:szCs w:val="21"/>
                    </w:rPr>
                  </w:pPr>
                  <w:r>
                    <w:rPr>
                      <w:snapToGrid w:val="0"/>
                      <w:kern w:val="2"/>
                      <w:sz w:val="21"/>
                      <w:szCs w:val="21"/>
                    </w:rPr>
                    <w:t>资料收集</w:t>
                  </w:r>
                </w:p>
              </w:tc>
              <w:tc>
                <w:tcPr>
                  <w:tcW w:w="6363" w:type="dxa"/>
                  <w:gridSpan w:val="5"/>
                  <w:vAlign w:val="center"/>
                </w:tcPr>
                <w:p>
                  <w:pPr>
                    <w:rPr>
                      <w:snapToGrid w:val="0"/>
                      <w:kern w:val="2"/>
                      <w:sz w:val="21"/>
                      <w:szCs w:val="21"/>
                    </w:rPr>
                  </w:pPr>
                  <w:r>
                    <w:rPr>
                      <w:snapToGrid w:val="0"/>
                      <w:kern w:val="2"/>
                      <w:sz w:val="21"/>
                      <w:szCs w:val="21"/>
                    </w:rPr>
                    <w:t>a）□；b）□；c）□；d）□</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理化特性</w:t>
                  </w:r>
                </w:p>
              </w:tc>
              <w:tc>
                <w:tcPr>
                  <w:tcW w:w="6363" w:type="dxa"/>
                  <w:gridSpan w:val="5"/>
                  <w:vAlign w:val="center"/>
                </w:tcPr>
                <w:p>
                  <w:pPr>
                    <w:rPr>
                      <w:snapToGrid w:val="0"/>
                      <w:kern w:val="2"/>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Merge w:val="restart"/>
                  <w:vAlign w:val="center"/>
                </w:tcPr>
                <w:p>
                  <w:pPr>
                    <w:jc w:val="center"/>
                    <w:rPr>
                      <w:snapToGrid w:val="0"/>
                      <w:kern w:val="2"/>
                      <w:sz w:val="21"/>
                      <w:szCs w:val="21"/>
                    </w:rPr>
                  </w:pPr>
                  <w:r>
                    <w:rPr>
                      <w:snapToGrid w:val="0"/>
                      <w:kern w:val="2"/>
                      <w:sz w:val="21"/>
                      <w:szCs w:val="21"/>
                    </w:rPr>
                    <w:t>现状监测点位</w:t>
                  </w:r>
                </w:p>
              </w:tc>
              <w:tc>
                <w:tcPr>
                  <w:tcW w:w="1590" w:type="dxa"/>
                  <w:gridSpan w:val="2"/>
                  <w:vAlign w:val="center"/>
                </w:tcPr>
                <w:p>
                  <w:pPr>
                    <w:jc w:val="center"/>
                    <w:rPr>
                      <w:snapToGrid w:val="0"/>
                      <w:kern w:val="2"/>
                      <w:sz w:val="21"/>
                      <w:szCs w:val="21"/>
                    </w:rPr>
                  </w:pPr>
                  <w:r>
                    <w:rPr>
                      <w:snapToGrid w:val="0"/>
                      <w:kern w:val="2"/>
                      <w:sz w:val="21"/>
                      <w:szCs w:val="21"/>
                    </w:rPr>
                    <w:t>/</w:t>
                  </w:r>
                </w:p>
              </w:tc>
              <w:tc>
                <w:tcPr>
                  <w:tcW w:w="1590" w:type="dxa"/>
                  <w:vAlign w:val="center"/>
                </w:tcPr>
                <w:p>
                  <w:pPr>
                    <w:jc w:val="center"/>
                    <w:rPr>
                      <w:snapToGrid w:val="0"/>
                      <w:kern w:val="2"/>
                      <w:sz w:val="21"/>
                      <w:szCs w:val="21"/>
                    </w:rPr>
                  </w:pPr>
                  <w:r>
                    <w:rPr>
                      <w:snapToGrid w:val="0"/>
                      <w:kern w:val="2"/>
                      <w:sz w:val="21"/>
                      <w:szCs w:val="21"/>
                    </w:rPr>
                    <w:t>占地范围内</w:t>
                  </w:r>
                </w:p>
              </w:tc>
              <w:tc>
                <w:tcPr>
                  <w:tcW w:w="1409" w:type="dxa"/>
                  <w:vAlign w:val="center"/>
                </w:tcPr>
                <w:p>
                  <w:pPr>
                    <w:jc w:val="center"/>
                    <w:rPr>
                      <w:snapToGrid w:val="0"/>
                      <w:kern w:val="2"/>
                      <w:sz w:val="21"/>
                      <w:szCs w:val="21"/>
                    </w:rPr>
                  </w:pPr>
                  <w:r>
                    <w:rPr>
                      <w:snapToGrid w:val="0"/>
                      <w:kern w:val="2"/>
                      <w:sz w:val="21"/>
                      <w:szCs w:val="21"/>
                    </w:rPr>
                    <w:t>占地范围外</w:t>
                  </w:r>
                </w:p>
              </w:tc>
              <w:tc>
                <w:tcPr>
                  <w:tcW w:w="1774" w:type="dxa"/>
                  <w:vAlign w:val="center"/>
                </w:tcPr>
                <w:p>
                  <w:pPr>
                    <w:jc w:val="center"/>
                    <w:rPr>
                      <w:snapToGrid w:val="0"/>
                      <w:kern w:val="2"/>
                      <w:sz w:val="21"/>
                      <w:szCs w:val="21"/>
                    </w:rPr>
                  </w:pPr>
                  <w:r>
                    <w:rPr>
                      <w:snapToGrid w:val="0"/>
                      <w:kern w:val="2"/>
                      <w:sz w:val="21"/>
                      <w:szCs w:val="21"/>
                    </w:rPr>
                    <w:t>深度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37" w:type="dxa"/>
                  <w:vMerge w:val="continue"/>
                  <w:vAlign w:val="center"/>
                </w:tcPr>
                <w:p>
                  <w:pPr>
                    <w:rPr>
                      <w:snapToGrid w:val="0"/>
                      <w:kern w:val="2"/>
                      <w:sz w:val="21"/>
                      <w:szCs w:val="21"/>
                    </w:rPr>
                  </w:pPr>
                </w:p>
              </w:tc>
              <w:tc>
                <w:tcPr>
                  <w:tcW w:w="1767" w:type="dxa"/>
                  <w:vMerge w:val="continue"/>
                  <w:vAlign w:val="center"/>
                </w:tcPr>
                <w:p>
                  <w:pPr>
                    <w:rPr>
                      <w:snapToGrid w:val="0"/>
                      <w:kern w:val="2"/>
                      <w:sz w:val="21"/>
                      <w:szCs w:val="21"/>
                    </w:rPr>
                  </w:pPr>
                </w:p>
              </w:tc>
              <w:tc>
                <w:tcPr>
                  <w:tcW w:w="1590" w:type="dxa"/>
                  <w:gridSpan w:val="2"/>
                  <w:vAlign w:val="center"/>
                </w:tcPr>
                <w:p>
                  <w:pPr>
                    <w:jc w:val="center"/>
                    <w:rPr>
                      <w:snapToGrid w:val="0"/>
                      <w:kern w:val="2"/>
                      <w:sz w:val="21"/>
                      <w:szCs w:val="21"/>
                    </w:rPr>
                  </w:pPr>
                  <w:r>
                    <w:rPr>
                      <w:snapToGrid w:val="0"/>
                      <w:kern w:val="2"/>
                      <w:sz w:val="21"/>
                      <w:szCs w:val="21"/>
                    </w:rPr>
                    <w:t>表层样点数</w:t>
                  </w:r>
                </w:p>
              </w:tc>
              <w:tc>
                <w:tcPr>
                  <w:tcW w:w="1590" w:type="dxa"/>
                  <w:vAlign w:val="center"/>
                </w:tcPr>
                <w:p>
                  <w:pPr>
                    <w:jc w:val="center"/>
                    <w:rPr>
                      <w:snapToGrid w:val="0"/>
                      <w:kern w:val="2"/>
                      <w:sz w:val="21"/>
                      <w:szCs w:val="21"/>
                    </w:rPr>
                  </w:pPr>
                  <w:r>
                    <w:rPr>
                      <w:snapToGrid w:val="0"/>
                      <w:kern w:val="2"/>
                      <w:sz w:val="21"/>
                      <w:szCs w:val="21"/>
                    </w:rPr>
                    <w:t>/</w:t>
                  </w:r>
                </w:p>
              </w:tc>
              <w:tc>
                <w:tcPr>
                  <w:tcW w:w="1409" w:type="dxa"/>
                  <w:vAlign w:val="center"/>
                </w:tcPr>
                <w:p>
                  <w:pPr>
                    <w:jc w:val="center"/>
                    <w:rPr>
                      <w:snapToGrid w:val="0"/>
                      <w:kern w:val="2"/>
                      <w:sz w:val="21"/>
                      <w:szCs w:val="21"/>
                    </w:rPr>
                  </w:pPr>
                  <w:r>
                    <w:rPr>
                      <w:snapToGrid w:val="0"/>
                      <w:kern w:val="2"/>
                      <w:sz w:val="21"/>
                      <w:szCs w:val="21"/>
                    </w:rPr>
                    <w:t>/</w:t>
                  </w:r>
                </w:p>
              </w:tc>
              <w:tc>
                <w:tcPr>
                  <w:tcW w:w="1774" w:type="dxa"/>
                  <w:vAlign w:val="center"/>
                </w:tcPr>
                <w:p>
                  <w:pPr>
                    <w:jc w:val="center"/>
                    <w:rPr>
                      <w:snapToGrid w:val="0"/>
                      <w:kern w:val="2"/>
                      <w:sz w:val="21"/>
                      <w:szCs w:val="21"/>
                    </w:rPr>
                  </w:pPr>
                  <w:r>
                    <w:rPr>
                      <w:snapToGrid w:val="0"/>
                      <w:kern w:val="2"/>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Merge w:val="continue"/>
                  <w:vAlign w:val="center"/>
                </w:tcPr>
                <w:p>
                  <w:pPr>
                    <w:rPr>
                      <w:snapToGrid w:val="0"/>
                      <w:kern w:val="2"/>
                      <w:sz w:val="21"/>
                      <w:szCs w:val="21"/>
                    </w:rPr>
                  </w:pPr>
                </w:p>
              </w:tc>
              <w:tc>
                <w:tcPr>
                  <w:tcW w:w="1590" w:type="dxa"/>
                  <w:gridSpan w:val="2"/>
                  <w:vAlign w:val="center"/>
                </w:tcPr>
                <w:p>
                  <w:pPr>
                    <w:jc w:val="center"/>
                    <w:rPr>
                      <w:snapToGrid w:val="0"/>
                      <w:kern w:val="2"/>
                      <w:sz w:val="21"/>
                      <w:szCs w:val="21"/>
                    </w:rPr>
                  </w:pPr>
                  <w:r>
                    <w:rPr>
                      <w:snapToGrid w:val="0"/>
                      <w:kern w:val="2"/>
                      <w:sz w:val="21"/>
                      <w:szCs w:val="21"/>
                    </w:rPr>
                    <w:t>柱状样点数</w:t>
                  </w:r>
                </w:p>
              </w:tc>
              <w:tc>
                <w:tcPr>
                  <w:tcW w:w="1590" w:type="dxa"/>
                  <w:vAlign w:val="center"/>
                </w:tcPr>
                <w:p>
                  <w:pPr>
                    <w:jc w:val="center"/>
                    <w:rPr>
                      <w:snapToGrid w:val="0"/>
                      <w:kern w:val="2"/>
                      <w:sz w:val="21"/>
                      <w:szCs w:val="21"/>
                    </w:rPr>
                  </w:pPr>
                  <w:r>
                    <w:rPr>
                      <w:snapToGrid w:val="0"/>
                      <w:kern w:val="2"/>
                      <w:sz w:val="21"/>
                      <w:szCs w:val="21"/>
                    </w:rPr>
                    <w:t>/</w:t>
                  </w:r>
                </w:p>
              </w:tc>
              <w:tc>
                <w:tcPr>
                  <w:tcW w:w="1409" w:type="dxa"/>
                  <w:vAlign w:val="center"/>
                </w:tcPr>
                <w:p>
                  <w:pPr>
                    <w:jc w:val="center"/>
                    <w:rPr>
                      <w:snapToGrid w:val="0"/>
                      <w:kern w:val="2"/>
                      <w:sz w:val="21"/>
                      <w:szCs w:val="21"/>
                    </w:rPr>
                  </w:pPr>
                  <w:r>
                    <w:rPr>
                      <w:snapToGrid w:val="0"/>
                      <w:kern w:val="2"/>
                      <w:sz w:val="21"/>
                      <w:szCs w:val="21"/>
                    </w:rPr>
                    <w:t>/</w:t>
                  </w:r>
                </w:p>
              </w:tc>
              <w:tc>
                <w:tcPr>
                  <w:tcW w:w="1774" w:type="dxa"/>
                  <w:vAlign w:val="center"/>
                </w:tcPr>
                <w:p>
                  <w:pPr>
                    <w:jc w:val="center"/>
                    <w:rPr>
                      <w:snapToGrid w:val="0"/>
                      <w:kern w:val="2"/>
                      <w:sz w:val="21"/>
                      <w:szCs w:val="21"/>
                    </w:rPr>
                  </w:pPr>
                  <w:r>
                    <w:rPr>
                      <w:snapToGrid w:val="0"/>
                      <w:kern w:val="2"/>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现状监测因子</w:t>
                  </w:r>
                </w:p>
              </w:tc>
              <w:tc>
                <w:tcPr>
                  <w:tcW w:w="6363" w:type="dxa"/>
                  <w:gridSpan w:val="5"/>
                  <w:vAlign w:val="center"/>
                </w:tcPr>
                <w:p>
                  <w:pPr>
                    <w:rPr>
                      <w:snapToGrid w:val="0"/>
                      <w:kern w:val="2"/>
                      <w:sz w:val="21"/>
                      <w:szCs w:val="21"/>
                    </w:rPr>
                  </w:pPr>
                  <w:r>
                    <w:rPr>
                      <w:rFonts w:hint="eastAsia"/>
                      <w:snapToGrid w:val="0"/>
                      <w:kern w:val="2"/>
                      <w:sz w:val="21"/>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37" w:type="dxa"/>
                  <w:vMerge w:val="restart"/>
                  <w:vAlign w:val="center"/>
                </w:tcPr>
                <w:p>
                  <w:pPr>
                    <w:jc w:val="center"/>
                    <w:rPr>
                      <w:snapToGrid w:val="0"/>
                      <w:kern w:val="2"/>
                      <w:sz w:val="21"/>
                      <w:szCs w:val="21"/>
                    </w:rPr>
                  </w:pPr>
                  <w:r>
                    <w:rPr>
                      <w:snapToGrid w:val="0"/>
                      <w:kern w:val="2"/>
                      <w:sz w:val="21"/>
                      <w:szCs w:val="21"/>
                    </w:rPr>
                    <w:t>现</w:t>
                  </w:r>
                </w:p>
                <w:p>
                  <w:pPr>
                    <w:jc w:val="center"/>
                    <w:rPr>
                      <w:snapToGrid w:val="0"/>
                      <w:kern w:val="2"/>
                      <w:sz w:val="21"/>
                      <w:szCs w:val="21"/>
                    </w:rPr>
                  </w:pPr>
                  <w:r>
                    <w:rPr>
                      <w:snapToGrid w:val="0"/>
                      <w:kern w:val="2"/>
                      <w:sz w:val="21"/>
                      <w:szCs w:val="21"/>
                    </w:rPr>
                    <w:t>状</w:t>
                  </w:r>
                </w:p>
                <w:p>
                  <w:pPr>
                    <w:jc w:val="center"/>
                    <w:rPr>
                      <w:snapToGrid w:val="0"/>
                      <w:kern w:val="2"/>
                      <w:sz w:val="21"/>
                      <w:szCs w:val="21"/>
                    </w:rPr>
                  </w:pPr>
                  <w:r>
                    <w:rPr>
                      <w:snapToGrid w:val="0"/>
                      <w:kern w:val="2"/>
                      <w:sz w:val="21"/>
                      <w:szCs w:val="21"/>
                    </w:rPr>
                    <w:t>评</w:t>
                  </w:r>
                </w:p>
                <w:p>
                  <w:pPr>
                    <w:jc w:val="center"/>
                    <w:rPr>
                      <w:snapToGrid w:val="0"/>
                      <w:kern w:val="2"/>
                      <w:sz w:val="21"/>
                      <w:szCs w:val="21"/>
                    </w:rPr>
                  </w:pPr>
                  <w:r>
                    <w:rPr>
                      <w:snapToGrid w:val="0"/>
                      <w:kern w:val="2"/>
                      <w:sz w:val="21"/>
                      <w:szCs w:val="21"/>
                    </w:rPr>
                    <w:t>价</w:t>
                  </w:r>
                </w:p>
              </w:tc>
              <w:tc>
                <w:tcPr>
                  <w:tcW w:w="1767" w:type="dxa"/>
                  <w:vAlign w:val="center"/>
                </w:tcPr>
                <w:p>
                  <w:pPr>
                    <w:jc w:val="center"/>
                    <w:rPr>
                      <w:snapToGrid w:val="0"/>
                      <w:kern w:val="2"/>
                      <w:sz w:val="21"/>
                      <w:szCs w:val="21"/>
                    </w:rPr>
                  </w:pPr>
                  <w:r>
                    <w:rPr>
                      <w:snapToGrid w:val="0"/>
                      <w:kern w:val="2"/>
                      <w:sz w:val="21"/>
                      <w:szCs w:val="21"/>
                    </w:rPr>
                    <w:t>评价因子</w:t>
                  </w:r>
                </w:p>
              </w:tc>
              <w:tc>
                <w:tcPr>
                  <w:tcW w:w="6363" w:type="dxa"/>
                  <w:gridSpan w:val="5"/>
                  <w:vAlign w:val="center"/>
                </w:tcPr>
                <w:p>
                  <w:pPr>
                    <w:rPr>
                      <w:snapToGrid w:val="0"/>
                      <w:kern w:val="2"/>
                      <w:sz w:val="21"/>
                      <w:szCs w:val="21"/>
                    </w:rPr>
                  </w:pPr>
                  <w:r>
                    <w:rPr>
                      <w:rFonts w:hint="eastAsia"/>
                      <w:snapToGrid w:val="0"/>
                      <w:kern w:val="2"/>
                      <w:sz w:val="21"/>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评价标准</w:t>
                  </w:r>
                </w:p>
              </w:tc>
              <w:tc>
                <w:tcPr>
                  <w:tcW w:w="6363" w:type="dxa"/>
                  <w:gridSpan w:val="5"/>
                  <w:vAlign w:val="center"/>
                </w:tcPr>
                <w:p>
                  <w:pPr>
                    <w:rPr>
                      <w:snapToGrid w:val="0"/>
                      <w:kern w:val="2"/>
                      <w:sz w:val="21"/>
                      <w:szCs w:val="21"/>
                    </w:rPr>
                  </w:pPr>
                  <w:r>
                    <w:rPr>
                      <w:snapToGrid w:val="0"/>
                      <w:kern w:val="2"/>
                      <w:sz w:val="21"/>
                      <w:szCs w:val="21"/>
                    </w:rPr>
                    <w:t>GB15618□；GB36600□；表D.1□；表D.2□；其他（）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现状评价结论</w:t>
                  </w:r>
                </w:p>
              </w:tc>
              <w:tc>
                <w:tcPr>
                  <w:tcW w:w="6363" w:type="dxa"/>
                  <w:gridSpan w:val="5"/>
                  <w:vAlign w:val="center"/>
                </w:tcPr>
                <w:p>
                  <w:pPr>
                    <w:rPr>
                      <w:snapToGrid w:val="0"/>
                      <w:kern w:val="2"/>
                      <w:sz w:val="21"/>
                      <w:szCs w:val="21"/>
                    </w:rPr>
                  </w:pPr>
                  <w:r>
                    <w:rPr>
                      <w:rFonts w:hint="eastAsia"/>
                      <w:snapToGrid w:val="0"/>
                      <w:kern w:val="2"/>
                      <w:sz w:val="21"/>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37" w:type="dxa"/>
                  <w:vMerge w:val="restart"/>
                  <w:vAlign w:val="center"/>
                </w:tcPr>
                <w:p>
                  <w:pPr>
                    <w:jc w:val="center"/>
                    <w:rPr>
                      <w:snapToGrid w:val="0"/>
                      <w:kern w:val="2"/>
                      <w:sz w:val="21"/>
                      <w:szCs w:val="21"/>
                    </w:rPr>
                  </w:pPr>
                  <w:r>
                    <w:rPr>
                      <w:snapToGrid w:val="0"/>
                      <w:kern w:val="2"/>
                      <w:sz w:val="21"/>
                      <w:szCs w:val="21"/>
                    </w:rPr>
                    <w:t>影</w:t>
                  </w:r>
                </w:p>
                <w:p>
                  <w:pPr>
                    <w:jc w:val="center"/>
                    <w:rPr>
                      <w:snapToGrid w:val="0"/>
                      <w:kern w:val="2"/>
                      <w:sz w:val="21"/>
                      <w:szCs w:val="21"/>
                    </w:rPr>
                  </w:pPr>
                  <w:r>
                    <w:rPr>
                      <w:snapToGrid w:val="0"/>
                      <w:kern w:val="2"/>
                      <w:sz w:val="21"/>
                      <w:szCs w:val="21"/>
                    </w:rPr>
                    <w:t>响</w:t>
                  </w:r>
                </w:p>
                <w:p>
                  <w:pPr>
                    <w:jc w:val="center"/>
                    <w:rPr>
                      <w:snapToGrid w:val="0"/>
                      <w:kern w:val="2"/>
                      <w:sz w:val="21"/>
                      <w:szCs w:val="21"/>
                    </w:rPr>
                  </w:pPr>
                  <w:r>
                    <w:rPr>
                      <w:snapToGrid w:val="0"/>
                      <w:kern w:val="2"/>
                      <w:sz w:val="21"/>
                      <w:szCs w:val="21"/>
                    </w:rPr>
                    <w:t>预</w:t>
                  </w:r>
                </w:p>
                <w:p>
                  <w:pPr>
                    <w:jc w:val="center"/>
                    <w:rPr>
                      <w:snapToGrid w:val="0"/>
                      <w:kern w:val="2"/>
                      <w:sz w:val="21"/>
                      <w:szCs w:val="21"/>
                    </w:rPr>
                  </w:pPr>
                  <w:r>
                    <w:rPr>
                      <w:snapToGrid w:val="0"/>
                      <w:kern w:val="2"/>
                      <w:sz w:val="21"/>
                      <w:szCs w:val="21"/>
                    </w:rPr>
                    <w:t>测</w:t>
                  </w:r>
                </w:p>
              </w:tc>
              <w:tc>
                <w:tcPr>
                  <w:tcW w:w="1767" w:type="dxa"/>
                  <w:vAlign w:val="center"/>
                </w:tcPr>
                <w:p>
                  <w:pPr>
                    <w:jc w:val="center"/>
                    <w:rPr>
                      <w:snapToGrid w:val="0"/>
                      <w:kern w:val="2"/>
                      <w:sz w:val="21"/>
                      <w:szCs w:val="21"/>
                    </w:rPr>
                  </w:pPr>
                  <w:r>
                    <w:rPr>
                      <w:snapToGrid w:val="0"/>
                      <w:kern w:val="2"/>
                      <w:sz w:val="21"/>
                      <w:szCs w:val="21"/>
                    </w:rPr>
                    <w:t>预测因子</w:t>
                  </w:r>
                </w:p>
              </w:tc>
              <w:tc>
                <w:tcPr>
                  <w:tcW w:w="6363" w:type="dxa"/>
                  <w:gridSpan w:val="5"/>
                  <w:vAlign w:val="center"/>
                </w:tcPr>
                <w:p>
                  <w:pPr>
                    <w:rPr>
                      <w:snapToGrid w:val="0"/>
                      <w:kern w:val="2"/>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预测方法</w:t>
                  </w:r>
                </w:p>
              </w:tc>
              <w:tc>
                <w:tcPr>
                  <w:tcW w:w="6363" w:type="dxa"/>
                  <w:gridSpan w:val="5"/>
                  <w:vAlign w:val="center"/>
                </w:tcPr>
                <w:p>
                  <w:pPr>
                    <w:rPr>
                      <w:snapToGrid w:val="0"/>
                      <w:kern w:val="2"/>
                      <w:sz w:val="21"/>
                      <w:szCs w:val="21"/>
                    </w:rPr>
                  </w:pPr>
                  <w:r>
                    <w:rPr>
                      <w:snapToGrid w:val="0"/>
                      <w:kern w:val="2"/>
                      <w:sz w:val="21"/>
                      <w:szCs w:val="21"/>
                    </w:rPr>
                    <w:t>附录E□；附录F□；其他（）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预测分析内容</w:t>
                  </w:r>
                </w:p>
              </w:tc>
              <w:tc>
                <w:tcPr>
                  <w:tcW w:w="6363" w:type="dxa"/>
                  <w:gridSpan w:val="5"/>
                  <w:vAlign w:val="center"/>
                </w:tcPr>
                <w:p>
                  <w:pPr>
                    <w:rPr>
                      <w:snapToGrid w:val="0"/>
                      <w:kern w:val="2"/>
                      <w:sz w:val="21"/>
                      <w:szCs w:val="21"/>
                    </w:rPr>
                  </w:pPr>
                  <w:r>
                    <w:rPr>
                      <w:snapToGrid w:val="0"/>
                      <w:kern w:val="2"/>
                      <w:sz w:val="21"/>
                      <w:szCs w:val="21"/>
                    </w:rPr>
                    <w:t>影响分为（）</w:t>
                  </w:r>
                </w:p>
                <w:p>
                  <w:pPr>
                    <w:rPr>
                      <w:snapToGrid w:val="0"/>
                      <w:kern w:val="2"/>
                      <w:sz w:val="21"/>
                      <w:szCs w:val="21"/>
                    </w:rPr>
                  </w:pPr>
                  <w:r>
                    <w:rPr>
                      <w:snapToGrid w:val="0"/>
                      <w:kern w:val="2"/>
                      <w:sz w:val="21"/>
                      <w:szCs w:val="21"/>
                    </w:rPr>
                    <w:t>影响程度（）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预测结论</w:t>
                  </w:r>
                </w:p>
              </w:tc>
              <w:tc>
                <w:tcPr>
                  <w:tcW w:w="6363" w:type="dxa"/>
                  <w:gridSpan w:val="5"/>
                  <w:vAlign w:val="center"/>
                </w:tcPr>
                <w:p>
                  <w:pPr>
                    <w:rPr>
                      <w:snapToGrid w:val="0"/>
                      <w:kern w:val="2"/>
                      <w:sz w:val="21"/>
                      <w:szCs w:val="21"/>
                    </w:rPr>
                  </w:pPr>
                  <w:r>
                    <w:rPr>
                      <w:snapToGrid w:val="0"/>
                      <w:kern w:val="2"/>
                      <w:sz w:val="21"/>
                      <w:szCs w:val="21"/>
                    </w:rPr>
                    <w:t>达标结论：a）□；b）</w:t>
                  </w:r>
                  <w:r>
                    <w:rPr>
                      <w:snapToGrid w:val="0"/>
                      <w:kern w:val="2"/>
                      <w:sz w:val="21"/>
                      <w:szCs w:val="21"/>
                    </w:rPr>
                    <w:sym w:font="Wingdings 2" w:char="00A3"/>
                  </w:r>
                  <w:r>
                    <w:rPr>
                      <w:snapToGrid w:val="0"/>
                      <w:kern w:val="2"/>
                      <w:sz w:val="21"/>
                      <w:szCs w:val="21"/>
                    </w:rPr>
                    <w:t>；c）□</w:t>
                  </w:r>
                </w:p>
                <w:p>
                  <w:pPr>
                    <w:rPr>
                      <w:snapToGrid w:val="0"/>
                      <w:kern w:val="2"/>
                      <w:sz w:val="21"/>
                      <w:szCs w:val="21"/>
                    </w:rPr>
                  </w:pPr>
                  <w:r>
                    <w:rPr>
                      <w:snapToGrid w:val="0"/>
                      <w:kern w:val="2"/>
                      <w:sz w:val="21"/>
                      <w:szCs w:val="21"/>
                    </w:rPr>
                    <w:t>不达标结论：a）</w:t>
                  </w:r>
                  <w:r>
                    <w:rPr>
                      <w:snapToGrid w:val="0"/>
                      <w:kern w:val="2"/>
                      <w:sz w:val="21"/>
                      <w:szCs w:val="21"/>
                    </w:rPr>
                    <w:sym w:font="Wingdings 2" w:char="00A3"/>
                  </w:r>
                  <w:r>
                    <w:rPr>
                      <w:snapToGrid w:val="0"/>
                      <w:kern w:val="2"/>
                      <w:sz w:val="21"/>
                      <w:szCs w:val="21"/>
                    </w:rPr>
                    <w:t>；b）</w:t>
                  </w:r>
                  <w:r>
                    <w:rPr>
                      <w:snapToGrid w:val="0"/>
                      <w:kern w:val="2"/>
                      <w:sz w:val="21"/>
                      <w:szCs w:val="21"/>
                    </w:rPr>
                    <w:sym w:font="Wingdings 2" w:char="00A3"/>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restart"/>
                  <w:vAlign w:val="center"/>
                </w:tcPr>
                <w:p>
                  <w:pPr>
                    <w:jc w:val="center"/>
                    <w:rPr>
                      <w:snapToGrid w:val="0"/>
                      <w:kern w:val="2"/>
                      <w:sz w:val="21"/>
                      <w:szCs w:val="21"/>
                    </w:rPr>
                  </w:pPr>
                  <w:r>
                    <w:rPr>
                      <w:snapToGrid w:val="0"/>
                      <w:kern w:val="2"/>
                      <w:sz w:val="21"/>
                      <w:szCs w:val="21"/>
                    </w:rPr>
                    <w:t>防</w:t>
                  </w:r>
                </w:p>
                <w:p>
                  <w:pPr>
                    <w:jc w:val="center"/>
                    <w:rPr>
                      <w:snapToGrid w:val="0"/>
                      <w:kern w:val="2"/>
                      <w:sz w:val="21"/>
                      <w:szCs w:val="21"/>
                    </w:rPr>
                  </w:pPr>
                  <w:r>
                    <w:rPr>
                      <w:snapToGrid w:val="0"/>
                      <w:kern w:val="2"/>
                      <w:sz w:val="21"/>
                      <w:szCs w:val="21"/>
                    </w:rPr>
                    <w:t>治</w:t>
                  </w:r>
                </w:p>
                <w:p>
                  <w:pPr>
                    <w:jc w:val="center"/>
                    <w:rPr>
                      <w:snapToGrid w:val="0"/>
                      <w:kern w:val="2"/>
                      <w:sz w:val="21"/>
                      <w:szCs w:val="21"/>
                    </w:rPr>
                  </w:pPr>
                  <w:r>
                    <w:rPr>
                      <w:snapToGrid w:val="0"/>
                      <w:kern w:val="2"/>
                      <w:sz w:val="21"/>
                      <w:szCs w:val="21"/>
                    </w:rPr>
                    <w:t>措</w:t>
                  </w:r>
                </w:p>
                <w:p>
                  <w:pPr>
                    <w:jc w:val="center"/>
                    <w:rPr>
                      <w:snapToGrid w:val="0"/>
                      <w:kern w:val="2"/>
                      <w:sz w:val="21"/>
                      <w:szCs w:val="21"/>
                    </w:rPr>
                  </w:pPr>
                  <w:r>
                    <w:rPr>
                      <w:snapToGrid w:val="0"/>
                      <w:kern w:val="2"/>
                      <w:sz w:val="21"/>
                      <w:szCs w:val="21"/>
                    </w:rPr>
                    <w:t>施</w:t>
                  </w:r>
                </w:p>
              </w:tc>
              <w:tc>
                <w:tcPr>
                  <w:tcW w:w="1767" w:type="dxa"/>
                  <w:vAlign w:val="center"/>
                </w:tcPr>
                <w:p>
                  <w:pPr>
                    <w:jc w:val="center"/>
                    <w:rPr>
                      <w:snapToGrid w:val="0"/>
                      <w:kern w:val="2"/>
                      <w:sz w:val="21"/>
                      <w:szCs w:val="21"/>
                    </w:rPr>
                  </w:pPr>
                  <w:r>
                    <w:rPr>
                      <w:snapToGrid w:val="0"/>
                      <w:kern w:val="2"/>
                      <w:sz w:val="21"/>
                      <w:szCs w:val="21"/>
                    </w:rPr>
                    <w:t>防控措施</w:t>
                  </w:r>
                </w:p>
              </w:tc>
              <w:tc>
                <w:tcPr>
                  <w:tcW w:w="6363" w:type="dxa"/>
                  <w:gridSpan w:val="5"/>
                  <w:vAlign w:val="center"/>
                </w:tcPr>
                <w:p>
                  <w:pPr>
                    <w:rPr>
                      <w:snapToGrid w:val="0"/>
                      <w:kern w:val="2"/>
                      <w:sz w:val="21"/>
                      <w:szCs w:val="21"/>
                    </w:rPr>
                  </w:pPr>
                  <w:r>
                    <w:rPr>
                      <w:snapToGrid w:val="0"/>
                      <w:kern w:val="2"/>
                      <w:sz w:val="21"/>
                      <w:szCs w:val="21"/>
                    </w:rPr>
                    <w:t>土壤环境质量现状保障</w:t>
                  </w:r>
                  <w:r>
                    <w:rPr>
                      <w:snapToGrid w:val="0"/>
                      <w:kern w:val="2"/>
                      <w:sz w:val="21"/>
                      <w:szCs w:val="21"/>
                    </w:rPr>
                    <w:sym w:font="Wingdings 2" w:char="0052"/>
                  </w:r>
                  <w:r>
                    <w:rPr>
                      <w:snapToGrid w:val="0"/>
                      <w:kern w:val="2"/>
                      <w:sz w:val="21"/>
                      <w:szCs w:val="21"/>
                    </w:rPr>
                    <w:t>；源头控制</w:t>
                  </w:r>
                  <w:r>
                    <w:rPr>
                      <w:snapToGrid w:val="0"/>
                      <w:kern w:val="2"/>
                      <w:sz w:val="21"/>
                      <w:szCs w:val="21"/>
                    </w:rPr>
                    <w:sym w:font="Wingdings 2" w:char="0052"/>
                  </w:r>
                  <w:r>
                    <w:rPr>
                      <w:snapToGrid w:val="0"/>
                      <w:kern w:val="2"/>
                      <w:sz w:val="21"/>
                      <w:szCs w:val="21"/>
                    </w:rPr>
                    <w:t>；过程防控</w:t>
                  </w:r>
                  <w:r>
                    <w:rPr>
                      <w:snapToGrid w:val="0"/>
                      <w:kern w:val="2"/>
                      <w:sz w:val="21"/>
                      <w:szCs w:val="21"/>
                    </w:rPr>
                    <w:sym w:font="Wingdings 2" w:char="0052"/>
                  </w:r>
                  <w:r>
                    <w:rPr>
                      <w:snapToGrid w:val="0"/>
                      <w:kern w:val="2"/>
                      <w:sz w:val="21"/>
                      <w:szCs w:val="21"/>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Merge w:val="restart"/>
                  <w:vAlign w:val="center"/>
                </w:tcPr>
                <w:p>
                  <w:pPr>
                    <w:jc w:val="center"/>
                    <w:rPr>
                      <w:snapToGrid w:val="0"/>
                      <w:kern w:val="2"/>
                      <w:sz w:val="21"/>
                      <w:szCs w:val="21"/>
                    </w:rPr>
                  </w:pPr>
                  <w:r>
                    <w:rPr>
                      <w:snapToGrid w:val="0"/>
                      <w:kern w:val="2"/>
                      <w:sz w:val="21"/>
                      <w:szCs w:val="21"/>
                    </w:rPr>
                    <w:t>跟踪监测</w:t>
                  </w:r>
                </w:p>
              </w:tc>
              <w:tc>
                <w:tcPr>
                  <w:tcW w:w="1097" w:type="dxa"/>
                  <w:vAlign w:val="center"/>
                </w:tcPr>
                <w:p>
                  <w:pPr>
                    <w:jc w:val="center"/>
                    <w:rPr>
                      <w:snapToGrid w:val="0"/>
                      <w:kern w:val="2"/>
                      <w:sz w:val="21"/>
                      <w:szCs w:val="21"/>
                    </w:rPr>
                  </w:pPr>
                  <w:r>
                    <w:rPr>
                      <w:snapToGrid w:val="0"/>
                      <w:kern w:val="2"/>
                      <w:sz w:val="21"/>
                      <w:szCs w:val="21"/>
                    </w:rPr>
                    <w:t>监测点数</w:t>
                  </w:r>
                </w:p>
              </w:tc>
              <w:tc>
                <w:tcPr>
                  <w:tcW w:w="3492" w:type="dxa"/>
                  <w:gridSpan w:val="3"/>
                  <w:vAlign w:val="center"/>
                </w:tcPr>
                <w:p>
                  <w:pPr>
                    <w:jc w:val="center"/>
                    <w:rPr>
                      <w:snapToGrid w:val="0"/>
                      <w:kern w:val="2"/>
                      <w:sz w:val="21"/>
                      <w:szCs w:val="21"/>
                    </w:rPr>
                  </w:pPr>
                  <w:r>
                    <w:rPr>
                      <w:snapToGrid w:val="0"/>
                      <w:kern w:val="2"/>
                      <w:sz w:val="21"/>
                      <w:szCs w:val="21"/>
                    </w:rPr>
                    <w:t>监测指标</w:t>
                  </w:r>
                </w:p>
              </w:tc>
              <w:tc>
                <w:tcPr>
                  <w:tcW w:w="1774" w:type="dxa"/>
                  <w:vAlign w:val="center"/>
                </w:tcPr>
                <w:p>
                  <w:pPr>
                    <w:jc w:val="center"/>
                    <w:rPr>
                      <w:snapToGrid w:val="0"/>
                      <w:kern w:val="2"/>
                      <w:sz w:val="21"/>
                      <w:szCs w:val="21"/>
                    </w:rPr>
                  </w:pPr>
                  <w:r>
                    <w:rPr>
                      <w:snapToGrid w:val="0"/>
                      <w:kern w:val="2"/>
                      <w:sz w:val="21"/>
                      <w:szCs w:val="21"/>
                    </w:rPr>
                    <w:t>监测频次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Merge w:val="continue"/>
                  <w:vAlign w:val="center"/>
                </w:tcPr>
                <w:p>
                  <w:pPr>
                    <w:rPr>
                      <w:snapToGrid w:val="0"/>
                      <w:kern w:val="2"/>
                      <w:sz w:val="21"/>
                      <w:szCs w:val="21"/>
                    </w:rPr>
                  </w:pPr>
                </w:p>
              </w:tc>
              <w:tc>
                <w:tcPr>
                  <w:tcW w:w="1097" w:type="dxa"/>
                  <w:vAlign w:val="center"/>
                </w:tcPr>
                <w:p>
                  <w:pPr>
                    <w:jc w:val="center"/>
                    <w:rPr>
                      <w:snapToGrid w:val="0"/>
                      <w:kern w:val="2"/>
                      <w:sz w:val="21"/>
                      <w:szCs w:val="21"/>
                    </w:rPr>
                  </w:pPr>
                  <w:r>
                    <w:rPr>
                      <w:rFonts w:hint="eastAsia"/>
                      <w:snapToGrid w:val="0"/>
                      <w:kern w:val="2"/>
                      <w:sz w:val="21"/>
                      <w:szCs w:val="21"/>
                    </w:rPr>
                    <w:t>/</w:t>
                  </w:r>
                </w:p>
              </w:tc>
              <w:tc>
                <w:tcPr>
                  <w:tcW w:w="3492" w:type="dxa"/>
                  <w:gridSpan w:val="3"/>
                  <w:vAlign w:val="center"/>
                </w:tcPr>
                <w:p>
                  <w:pPr>
                    <w:jc w:val="center"/>
                    <w:rPr>
                      <w:snapToGrid w:val="0"/>
                      <w:kern w:val="2"/>
                      <w:sz w:val="21"/>
                      <w:szCs w:val="21"/>
                    </w:rPr>
                  </w:pPr>
                  <w:r>
                    <w:rPr>
                      <w:rFonts w:hint="eastAsia"/>
                      <w:snapToGrid w:val="0"/>
                      <w:kern w:val="2"/>
                      <w:sz w:val="21"/>
                      <w:szCs w:val="21"/>
                    </w:rPr>
                    <w:t>/</w:t>
                  </w:r>
                </w:p>
              </w:tc>
              <w:tc>
                <w:tcPr>
                  <w:tcW w:w="1774" w:type="dxa"/>
                  <w:vAlign w:val="center"/>
                </w:tcPr>
                <w:p>
                  <w:pPr>
                    <w:jc w:val="center"/>
                    <w:rPr>
                      <w:snapToGrid w:val="0"/>
                      <w:kern w:val="2"/>
                      <w:sz w:val="21"/>
                      <w:szCs w:val="21"/>
                    </w:rPr>
                  </w:pPr>
                  <w:r>
                    <w:rPr>
                      <w:rFonts w:hint="eastAsia"/>
                      <w:snapToGrid w:val="0"/>
                      <w:kern w:val="2"/>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37" w:type="dxa"/>
                  <w:vMerge w:val="continue"/>
                  <w:vAlign w:val="center"/>
                </w:tcPr>
                <w:p>
                  <w:pPr>
                    <w:rPr>
                      <w:snapToGrid w:val="0"/>
                      <w:kern w:val="2"/>
                      <w:sz w:val="21"/>
                      <w:szCs w:val="21"/>
                    </w:rPr>
                  </w:pPr>
                </w:p>
              </w:tc>
              <w:tc>
                <w:tcPr>
                  <w:tcW w:w="1767" w:type="dxa"/>
                  <w:vAlign w:val="center"/>
                </w:tcPr>
                <w:p>
                  <w:pPr>
                    <w:jc w:val="center"/>
                    <w:rPr>
                      <w:snapToGrid w:val="0"/>
                      <w:kern w:val="2"/>
                      <w:sz w:val="21"/>
                      <w:szCs w:val="21"/>
                    </w:rPr>
                  </w:pPr>
                  <w:r>
                    <w:rPr>
                      <w:snapToGrid w:val="0"/>
                      <w:kern w:val="2"/>
                      <w:sz w:val="21"/>
                      <w:szCs w:val="21"/>
                    </w:rPr>
                    <w:t>信息公示指标</w:t>
                  </w:r>
                </w:p>
              </w:tc>
              <w:tc>
                <w:tcPr>
                  <w:tcW w:w="6363" w:type="dxa"/>
                  <w:gridSpan w:val="5"/>
                  <w:vAlign w:val="center"/>
                </w:tcPr>
                <w:p>
                  <w:pPr>
                    <w:rPr>
                      <w:snapToGrid w:val="0"/>
                      <w:kern w:val="2"/>
                      <w:sz w:val="21"/>
                      <w:szCs w:val="21"/>
                    </w:rPr>
                  </w:pPr>
                  <w:r>
                    <w:rPr>
                      <w:rFonts w:hint="eastAsia" w:ascii="SimSun" w:hAnsi="SimSun" w:cs="SimSun"/>
                      <w:snapToGrid w:val="0"/>
                      <w:kern w:val="2"/>
                      <w:sz w:val="21"/>
                      <w:szCs w:val="21"/>
                    </w:rPr>
                    <w:t>①</w:t>
                  </w:r>
                  <w:r>
                    <w:rPr>
                      <w:snapToGrid w:val="0"/>
                      <w:kern w:val="2"/>
                      <w:sz w:val="21"/>
                      <w:szCs w:val="21"/>
                    </w:rPr>
                    <w:t>基础信息，包括单位名称、法定代表人、生产地址、联系方式以及生产经营和管理服务的主要内容、产品及规模；</w:t>
                  </w:r>
                  <w:r>
                    <w:rPr>
                      <w:rFonts w:hint="eastAsia" w:ascii="SimSun" w:hAnsi="SimSun" w:cs="SimSun"/>
                      <w:snapToGrid w:val="0"/>
                      <w:kern w:val="2"/>
                      <w:sz w:val="21"/>
                      <w:szCs w:val="21"/>
                    </w:rPr>
                    <w:t>②</w:t>
                  </w:r>
                  <w:r>
                    <w:rPr>
                      <w:snapToGrid w:val="0"/>
                      <w:kern w:val="2"/>
                      <w:sz w:val="21"/>
                      <w:szCs w:val="21"/>
                    </w:rPr>
                    <w:t>排污信息，包括主要污染物及特征污染物的名称、排放方式、排放口数量和分布情况、排放浓度和总量、超标情况以及执行的污染物排放标准、核定的排放总量；</w:t>
                  </w:r>
                  <w:r>
                    <w:rPr>
                      <w:rFonts w:hint="eastAsia" w:ascii="SimSun" w:hAnsi="SimSun" w:cs="SimSun"/>
                      <w:snapToGrid w:val="0"/>
                      <w:kern w:val="2"/>
                      <w:sz w:val="21"/>
                      <w:szCs w:val="21"/>
                    </w:rPr>
                    <w:t>③</w:t>
                  </w:r>
                  <w:r>
                    <w:rPr>
                      <w:snapToGrid w:val="0"/>
                      <w:kern w:val="2"/>
                      <w:sz w:val="21"/>
                      <w:szCs w:val="21"/>
                    </w:rPr>
                    <w:t>污染防治设施的建设和运行情况；</w:t>
                  </w:r>
                  <w:r>
                    <w:rPr>
                      <w:rFonts w:hint="eastAsia" w:ascii="SimSun" w:hAnsi="SimSun" w:cs="SimSun"/>
                      <w:snapToGrid w:val="0"/>
                      <w:kern w:val="2"/>
                      <w:sz w:val="21"/>
                      <w:szCs w:val="21"/>
                    </w:rPr>
                    <w:t>④</w:t>
                  </w:r>
                  <w:r>
                    <w:rPr>
                      <w:snapToGrid w:val="0"/>
                      <w:kern w:val="2"/>
                      <w:sz w:val="21"/>
                      <w:szCs w:val="21"/>
                    </w:rPr>
                    <w:t>建设项目环境影响评价及其他环境保护行政许可情况；</w:t>
                  </w:r>
                  <w:r>
                    <w:rPr>
                      <w:rFonts w:hint="eastAsia" w:ascii="SimSun" w:hAnsi="SimSun" w:cs="SimSun"/>
                      <w:snapToGrid w:val="0"/>
                      <w:kern w:val="2"/>
                      <w:sz w:val="21"/>
                      <w:szCs w:val="21"/>
                    </w:rPr>
                    <w:t>⑤</w:t>
                  </w:r>
                  <w:r>
                    <w:rPr>
                      <w:snapToGrid w:val="0"/>
                      <w:kern w:val="2"/>
                      <w:sz w:val="21"/>
                      <w:szCs w:val="21"/>
                    </w:rPr>
                    <w:t>其他应当公开的环境信息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504" w:type="dxa"/>
                  <w:gridSpan w:val="2"/>
                  <w:vAlign w:val="center"/>
                </w:tcPr>
                <w:p>
                  <w:pPr>
                    <w:jc w:val="center"/>
                    <w:rPr>
                      <w:snapToGrid w:val="0"/>
                      <w:kern w:val="2"/>
                      <w:sz w:val="21"/>
                      <w:szCs w:val="21"/>
                    </w:rPr>
                  </w:pPr>
                  <w:r>
                    <w:rPr>
                      <w:snapToGrid w:val="0"/>
                      <w:kern w:val="2"/>
                      <w:sz w:val="21"/>
                      <w:szCs w:val="21"/>
                    </w:rPr>
                    <w:t>评价结论</w:t>
                  </w:r>
                </w:p>
              </w:tc>
              <w:tc>
                <w:tcPr>
                  <w:tcW w:w="6363" w:type="dxa"/>
                  <w:gridSpan w:val="5"/>
                  <w:vAlign w:val="center"/>
                </w:tcPr>
                <w:p>
                  <w:pPr>
                    <w:rPr>
                      <w:snapToGrid w:val="0"/>
                      <w:kern w:val="2"/>
                      <w:sz w:val="21"/>
                      <w:szCs w:val="21"/>
                    </w:rPr>
                  </w:pPr>
                  <w:r>
                    <w:rPr>
                      <w:rFonts w:hint="eastAsia"/>
                      <w:snapToGrid w:val="0"/>
                      <w:kern w:val="2"/>
                      <w:sz w:val="21"/>
                      <w:szCs w:val="21"/>
                    </w:rPr>
                    <w:t>年产5万吨高端电磁选钾长石生产线建设项目</w:t>
                  </w:r>
                  <w:r>
                    <w:rPr>
                      <w:snapToGrid w:val="0"/>
                      <w:kern w:val="2"/>
                      <w:sz w:val="21"/>
                      <w:szCs w:val="21"/>
                    </w:rPr>
                    <w:t>土壤环境影响可接受</w:t>
                  </w:r>
                </w:p>
              </w:tc>
            </w:tr>
          </w:tbl>
          <w:p>
            <w:pPr>
              <w:pStyle w:val="4"/>
              <w:ind w:firstLine="482"/>
            </w:pPr>
            <w:r>
              <w:rPr>
                <w:rFonts w:hint="eastAsia"/>
              </w:rPr>
              <w:t>三、环境风险分析</w:t>
            </w:r>
          </w:p>
          <w:p>
            <w:pPr>
              <w:pStyle w:val="37"/>
              <w:ind w:firstLine="480"/>
            </w:pPr>
            <w:r>
              <w:rPr>
                <w:rFonts w:hint="eastAsia"/>
              </w:rPr>
              <w:t>本项目建成后，主要从事钾长石加工作业，项目生产运营过程中柴油的使用，不涉及废水外排。根据《建设项目环境风险评价技术导则》（HJ169-2018），本项目环境风险分析如下：</w:t>
            </w:r>
          </w:p>
          <w:p>
            <w:pPr>
              <w:pStyle w:val="37"/>
              <w:ind w:firstLine="480"/>
            </w:pPr>
            <w:r>
              <w:rPr>
                <w:rFonts w:hint="eastAsia"/>
              </w:rPr>
              <w:t>1、评价依据</w:t>
            </w:r>
          </w:p>
          <w:p>
            <w:pPr>
              <w:pStyle w:val="37"/>
              <w:ind w:firstLine="480"/>
            </w:pPr>
            <w:r>
              <w:rPr>
                <w:rFonts w:hint="eastAsia"/>
              </w:rPr>
              <w:t>（1）风险源调查</w:t>
            </w:r>
          </w:p>
          <w:p>
            <w:pPr>
              <w:pStyle w:val="37"/>
              <w:ind w:firstLine="480"/>
            </w:pPr>
            <w:r>
              <w:rPr>
                <w:rFonts w:hint="eastAsia"/>
              </w:rPr>
              <w:t>1）物质风险调查</w:t>
            </w:r>
          </w:p>
          <w:p>
            <w:pPr>
              <w:pStyle w:val="37"/>
              <w:ind w:firstLine="480"/>
            </w:pPr>
            <w:r>
              <w:rPr>
                <w:rFonts w:hint="eastAsia"/>
              </w:rPr>
              <w:t>本项目在运营过程中涉及柴油使用，根据其主要成分，结合《建设项目环境风险评价技术导则》（HJ169-2018），本项目涉及到风险物质主要为柴油，其理化性质及危险特性如下：</w:t>
            </w:r>
          </w:p>
          <w:p>
            <w:pPr>
              <w:pStyle w:val="54"/>
            </w:pPr>
            <w:r>
              <w:rPr>
                <w:rFonts w:hint="eastAsia"/>
              </w:rPr>
              <w:t>表7-</w:t>
            </w:r>
            <w:r>
              <w:t>1</w:t>
            </w:r>
            <w:r>
              <w:rPr>
                <w:rFonts w:hint="eastAsia"/>
              </w:rPr>
              <w:t>3柴油理化性质及危险特性表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3548"/>
              <w:gridCol w:w="2682"/>
              <w:gridCol w:w="2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356" w:type="pct"/>
                  <w:vMerge w:val="restart"/>
                  <w:vAlign w:val="center"/>
                </w:tcPr>
                <w:p>
                  <w:pPr>
                    <w:pStyle w:val="47"/>
                  </w:pPr>
                  <w:r>
                    <w:t>标识</w:t>
                  </w:r>
                </w:p>
              </w:tc>
              <w:tc>
                <w:tcPr>
                  <w:tcW w:w="1958" w:type="pct"/>
                  <w:vAlign w:val="center"/>
                </w:tcPr>
                <w:p>
                  <w:pPr>
                    <w:pStyle w:val="47"/>
                  </w:pPr>
                  <w:r>
                    <w:t>中文名：柴油</w:t>
                  </w:r>
                </w:p>
              </w:tc>
              <w:tc>
                <w:tcPr>
                  <w:tcW w:w="1480" w:type="pct"/>
                  <w:vAlign w:val="center"/>
                </w:tcPr>
                <w:p>
                  <w:pPr>
                    <w:pStyle w:val="47"/>
                    <w:rPr>
                      <w:lang w:val="de-DE"/>
                    </w:rPr>
                  </w:pPr>
                  <w:r>
                    <w:t>英文名</w:t>
                  </w:r>
                  <w:r>
                    <w:rPr>
                      <w:lang w:val="de-DE"/>
                    </w:rPr>
                    <w:t>：Diesel oil; Diesel fuel</w:t>
                  </w:r>
                </w:p>
              </w:tc>
              <w:tc>
                <w:tcPr>
                  <w:tcW w:w="1206" w:type="pct"/>
                  <w:vAlign w:val="center"/>
                </w:tcPr>
                <w:p>
                  <w:pPr>
                    <w:pStyle w:val="47"/>
                  </w:pPr>
                  <w:r>
                    <w:t>CAS号：86290-81-5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1958" w:type="pct"/>
                  <w:vAlign w:val="center"/>
                </w:tcPr>
                <w:p>
                  <w:pPr>
                    <w:pStyle w:val="47"/>
                    <w:rPr>
                      <w:vertAlign w:val="subscript"/>
                    </w:rPr>
                  </w:pPr>
                  <w:r>
                    <w:t>分子式：C</w:t>
                  </w:r>
                  <w:r>
                    <w:rPr>
                      <w:vertAlign w:val="subscript"/>
                    </w:rPr>
                    <w:t>4</w:t>
                  </w:r>
                  <w:r>
                    <w:t xml:space="preserve"> C</w:t>
                  </w:r>
                  <w:r>
                    <w:rPr>
                      <w:vertAlign w:val="subscript"/>
                    </w:rPr>
                    <w:t>12</w:t>
                  </w:r>
                  <w:r>
                    <w:t>(</w:t>
                  </w:r>
                  <w:r>
                    <w:rPr>
                      <w:spacing w:val="-4"/>
                    </w:rPr>
                    <w:t>脂肪烃和环烃</w:t>
                  </w:r>
                  <w:r>
                    <w:t>)</w:t>
                  </w:r>
                </w:p>
              </w:tc>
              <w:tc>
                <w:tcPr>
                  <w:tcW w:w="2687" w:type="pct"/>
                  <w:gridSpan w:val="2"/>
                  <w:vAlign w:val="center"/>
                </w:tcPr>
                <w:p>
                  <w:pPr>
                    <w:pStyle w:val="47"/>
                  </w:pPr>
                  <w:r>
                    <w:t>危险性类别：第3.3类中闪点易燃液体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356" w:type="pct"/>
                  <w:vMerge w:val="restart"/>
                  <w:vAlign w:val="center"/>
                </w:tcPr>
                <w:p>
                  <w:pPr>
                    <w:pStyle w:val="47"/>
                  </w:pPr>
                  <w:r>
                    <w:t>理化性质</w:t>
                  </w:r>
                </w:p>
              </w:tc>
              <w:tc>
                <w:tcPr>
                  <w:tcW w:w="4644" w:type="pct"/>
                  <w:gridSpan w:val="3"/>
                  <w:vAlign w:val="center"/>
                </w:tcPr>
                <w:p>
                  <w:pPr>
                    <w:pStyle w:val="47"/>
                  </w:pPr>
                  <w:r>
                    <w:t>外观及性状：稍有粘性的棕色液体。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1958" w:type="pct"/>
                  <w:vAlign w:val="center"/>
                </w:tcPr>
                <w:p>
                  <w:pPr>
                    <w:pStyle w:val="47"/>
                  </w:pPr>
                  <w:r>
                    <w:t>熔点（</w:t>
                  </w:r>
                  <w:r>
                    <w:rPr>
                      <w:rFonts w:hint="eastAsia" w:ascii="SimSun" w:hAnsi="SimSun" w:cs="SimSun"/>
                    </w:rPr>
                    <w:t>℃</w:t>
                  </w:r>
                  <w:r>
                    <w:t>）：-18</w:t>
                  </w:r>
                </w:p>
              </w:tc>
              <w:tc>
                <w:tcPr>
                  <w:tcW w:w="2687" w:type="pct"/>
                  <w:gridSpan w:val="2"/>
                  <w:vAlign w:val="center"/>
                </w:tcPr>
                <w:p>
                  <w:pPr>
                    <w:pStyle w:val="47"/>
                  </w:pPr>
                  <w:r>
                    <w:t>溶解性：不溶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1958" w:type="pct"/>
                  <w:vAlign w:val="center"/>
                </w:tcPr>
                <w:p>
                  <w:pPr>
                    <w:pStyle w:val="47"/>
                  </w:pPr>
                  <w:r>
                    <w:t>沸点（</w:t>
                  </w:r>
                  <w:r>
                    <w:rPr>
                      <w:rFonts w:hint="eastAsia" w:ascii="SimSun" w:hAnsi="SimSun" w:cs="SimSun"/>
                    </w:rPr>
                    <w:t>℃</w:t>
                  </w:r>
                  <w:r>
                    <w:t>）：282~338</w:t>
                  </w:r>
                </w:p>
              </w:tc>
              <w:tc>
                <w:tcPr>
                  <w:tcW w:w="2687" w:type="pct"/>
                  <w:gridSpan w:val="2"/>
                  <w:vAlign w:val="center"/>
                </w:tcPr>
                <w:p>
                  <w:pPr>
                    <w:pStyle w:val="47"/>
                  </w:pPr>
                  <w:r>
                    <w:t>相对密度(水=1)：0.87~0.9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356" w:type="pct"/>
                  <w:vMerge w:val="restart"/>
                  <w:vAlign w:val="center"/>
                </w:tcPr>
                <w:p>
                  <w:pPr>
                    <w:pStyle w:val="47"/>
                  </w:pPr>
                  <w:r>
                    <w:t>燃烧</w:t>
                  </w:r>
                </w:p>
                <w:p>
                  <w:pPr>
                    <w:pStyle w:val="47"/>
                  </w:pPr>
                  <w:r>
                    <w:t>爆炸</w:t>
                  </w:r>
                </w:p>
                <w:p>
                  <w:pPr>
                    <w:pStyle w:val="47"/>
                  </w:pPr>
                  <w:r>
                    <w:t>危险性</w:t>
                  </w:r>
                </w:p>
              </w:tc>
              <w:tc>
                <w:tcPr>
                  <w:tcW w:w="1958" w:type="pct"/>
                  <w:vAlign w:val="center"/>
                </w:tcPr>
                <w:p>
                  <w:pPr>
                    <w:pStyle w:val="47"/>
                  </w:pPr>
                  <w:r>
                    <w:t>燃烧性：易燃，具有刺激性</w:t>
                  </w:r>
                </w:p>
              </w:tc>
              <w:tc>
                <w:tcPr>
                  <w:tcW w:w="2687" w:type="pct"/>
                  <w:gridSpan w:val="2"/>
                  <w:vAlign w:val="center"/>
                </w:tcPr>
                <w:p>
                  <w:pPr>
                    <w:pStyle w:val="47"/>
                    <w:rPr>
                      <w:vertAlign w:val="subscript"/>
                    </w:rPr>
                  </w:pPr>
                  <w:r>
                    <w:t>燃烧分解产物：CO、CO</w:t>
                  </w:r>
                  <w:r>
                    <w:rPr>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1958" w:type="pct"/>
                  <w:vAlign w:val="center"/>
                </w:tcPr>
                <w:p>
                  <w:pPr>
                    <w:pStyle w:val="47"/>
                  </w:pPr>
                  <w:r>
                    <w:t>闪点</w:t>
                  </w:r>
                  <w:r>
                    <w:rPr>
                      <w:rFonts w:hint="eastAsia" w:ascii="SimSun" w:hAnsi="SimSun" w:cs="SimSun"/>
                    </w:rPr>
                    <w:t>℃</w:t>
                  </w:r>
                  <w:r>
                    <w:t>：55</w:t>
                  </w:r>
                </w:p>
              </w:tc>
              <w:tc>
                <w:tcPr>
                  <w:tcW w:w="2687" w:type="pct"/>
                  <w:gridSpan w:val="2"/>
                  <w:vAlign w:val="center"/>
                </w:tcPr>
                <w:p>
                  <w:pPr>
                    <w:pStyle w:val="47"/>
                  </w:pPr>
                  <w:r>
                    <w:t>稳定性：稳定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4644" w:type="pct"/>
                  <w:gridSpan w:val="3"/>
                  <w:vAlign w:val="center"/>
                </w:tcPr>
                <w:p>
                  <w:pPr>
                    <w:pStyle w:val="47"/>
                  </w:pPr>
                  <w:r>
                    <w:t>危险特性：遇明火、高热或与氧化剂接触，有引起燃烧爆炸的危险。若遇高热，容器内压增大，有开裂和爆炸的危险。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4644" w:type="pct"/>
                  <w:gridSpan w:val="3"/>
                  <w:vAlign w:val="center"/>
                </w:tcPr>
                <w:p>
                  <w:pPr>
                    <w:pStyle w:val="47"/>
                  </w:pPr>
                  <w:r>
                    <w:t>火灾危险分类：乙类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jc w:val="center"/>
              </w:trPr>
              <w:tc>
                <w:tcPr>
                  <w:tcW w:w="356" w:type="pct"/>
                  <w:vMerge w:val="continue"/>
                  <w:vAlign w:val="center"/>
                </w:tcPr>
                <w:p>
                  <w:pPr>
                    <w:pStyle w:val="47"/>
                  </w:pPr>
                </w:p>
              </w:tc>
              <w:tc>
                <w:tcPr>
                  <w:tcW w:w="4644" w:type="pct"/>
                  <w:gridSpan w:val="3"/>
                  <w:vAlign w:val="center"/>
                </w:tcPr>
                <w:p>
                  <w:pPr>
                    <w:pStyle w:val="47"/>
                  </w:pPr>
                  <w:r>
                    <w:t>灭火方法：喷水冷却容器，可能的话将容器从火场移至空旷处。灭火剂：泡沫、干粉、二氧化碳、1211灭火剂、砂土。用水灭火无效。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 w:hRule="atLeast"/>
                <w:jc w:val="center"/>
              </w:trPr>
              <w:tc>
                <w:tcPr>
                  <w:tcW w:w="356" w:type="pct"/>
                  <w:vAlign w:val="center"/>
                </w:tcPr>
                <w:p>
                  <w:pPr>
                    <w:pStyle w:val="47"/>
                  </w:pPr>
                  <w:r>
                    <w:rPr>
                      <w:rFonts w:hint="eastAsia"/>
                    </w:rPr>
                    <w:t>毒性</w:t>
                  </w:r>
                </w:p>
              </w:tc>
              <w:tc>
                <w:tcPr>
                  <w:tcW w:w="4644" w:type="pct"/>
                  <w:gridSpan w:val="3"/>
                  <w:vAlign w:val="center"/>
                </w:tcPr>
                <w:p>
                  <w:pPr>
                    <w:pStyle w:val="47"/>
                  </w:pPr>
                  <w:r>
                    <w:t>毒性：属低毒类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2" w:hRule="atLeast"/>
                <w:jc w:val="center"/>
              </w:trPr>
              <w:tc>
                <w:tcPr>
                  <w:tcW w:w="356" w:type="pct"/>
                  <w:vAlign w:val="center"/>
                </w:tcPr>
                <w:p>
                  <w:pPr>
                    <w:pStyle w:val="47"/>
                  </w:pPr>
                  <w:r>
                    <w:t>健康</w:t>
                  </w:r>
                </w:p>
                <w:p>
                  <w:pPr>
                    <w:pStyle w:val="47"/>
                  </w:pPr>
                  <w:r>
                    <w:t>危害</w:t>
                  </w:r>
                </w:p>
              </w:tc>
              <w:tc>
                <w:tcPr>
                  <w:tcW w:w="4644" w:type="pct"/>
                  <w:gridSpan w:val="3"/>
                  <w:vAlign w:val="center"/>
                </w:tcPr>
                <w:p>
                  <w:pPr>
                    <w:pStyle w:val="47"/>
                  </w:pPr>
                  <w:r>
                    <w:t>侵入途径：吸入、食入、经皮吸收。健康危害：皮肤接触柴油可引起接触性皮炎、油性痤疮，吸入可引起吸入性肺炎。能经胎盘进入胎儿血中。柴油废气可引起眼、鼻刺激症状，头晕及头痛。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356" w:type="pct"/>
                  <w:vAlign w:val="center"/>
                </w:tcPr>
                <w:p>
                  <w:pPr>
                    <w:pStyle w:val="47"/>
                  </w:pPr>
                  <w:r>
                    <w:t>急救</w:t>
                  </w:r>
                </w:p>
              </w:tc>
              <w:tc>
                <w:tcPr>
                  <w:tcW w:w="4644" w:type="pct"/>
                  <w:gridSpan w:val="3"/>
                  <w:vAlign w:val="center"/>
                </w:tcPr>
                <w:p>
                  <w:pPr>
                    <w:pStyle w:val="47"/>
                  </w:pPr>
                  <w:r>
                    <w:t>皮肤接触：脱去污染的衣着，用肥皂和大量清水清洗污染皮肤。眼睛接触：提起眼睑，用流动清水或生理盐水冲洗。就医。吸入：迅速脱离现场至空气新鲜处。保持呼吸道通畅。如呼吸困难</w:t>
                  </w:r>
                  <w:r>
                    <w:rPr>
                      <w:rFonts w:hint="eastAsia"/>
                    </w:rPr>
                    <w:t>，</w:t>
                  </w:r>
                  <w:r>
                    <w:t>给输氧。如呼吸停止，立即进行人工呼吸。就医。食入：尽快彻底洗胃。就医。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jc w:val="center"/>
              </w:trPr>
              <w:tc>
                <w:tcPr>
                  <w:tcW w:w="356" w:type="pct"/>
                  <w:vAlign w:val="center"/>
                </w:tcPr>
                <w:p>
                  <w:pPr>
                    <w:pStyle w:val="47"/>
                  </w:pPr>
                  <w:r>
                    <w:t>防护</w:t>
                  </w:r>
                </w:p>
              </w:tc>
              <w:tc>
                <w:tcPr>
                  <w:tcW w:w="4644" w:type="pct"/>
                  <w:gridSpan w:val="3"/>
                  <w:vAlign w:val="center"/>
                </w:tcPr>
                <w:p>
                  <w:pPr>
                    <w:pStyle w:val="47"/>
                  </w:pPr>
                  <w:r>
                    <w:t>呼吸系统防护：一般不需要特殊防护，但建议特殊情况下，佩戴供气式呼吸器。眼睛防护：必要时戴安全防护眼镜。身体防护：穿防静电工作服。必要时戴安全防护手套。手防护：必要时戴防护手套。其它：工作现场严禁吸烟。避免长期反复接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jc w:val="center"/>
              </w:trPr>
              <w:tc>
                <w:tcPr>
                  <w:tcW w:w="356" w:type="pct"/>
                  <w:vAlign w:val="center"/>
                </w:tcPr>
                <w:p>
                  <w:pPr>
                    <w:pStyle w:val="47"/>
                  </w:pPr>
                  <w:r>
                    <w:rPr>
                      <w:rFonts w:hint="eastAsia"/>
                    </w:rPr>
                    <w:t>泄露</w:t>
                  </w:r>
                </w:p>
                <w:p>
                  <w:pPr>
                    <w:pStyle w:val="47"/>
                  </w:pPr>
                  <w:r>
                    <w:rPr>
                      <w:rFonts w:hint="eastAsia"/>
                    </w:rPr>
                    <w:t>处理</w:t>
                  </w:r>
                </w:p>
              </w:tc>
              <w:tc>
                <w:tcPr>
                  <w:tcW w:w="4644" w:type="pct"/>
                  <w:gridSpan w:val="3"/>
                  <w:vAlign w:val="center"/>
                </w:tcPr>
                <w:p>
                  <w:pPr>
                    <w:pStyle w:val="47"/>
                  </w:pPr>
                  <w:r>
                    <w:t>迅速撤离泄漏污染区人员至安全区，并进行隔离，严格限制出入。切断火源。应急处理人员戴好防毒面具，空化学防护服。在确保安全情况下堵漏。用活性炭或其它惰性材料吸收，然后收集运到空旷处焚烧。如大量泄漏，利用围堤收容，然后收集、转移、回收或无害处理后废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2" w:hRule="atLeast"/>
                <w:jc w:val="center"/>
              </w:trPr>
              <w:tc>
                <w:tcPr>
                  <w:tcW w:w="356" w:type="pct"/>
                  <w:vAlign w:val="center"/>
                </w:tcPr>
                <w:p>
                  <w:pPr>
                    <w:pStyle w:val="47"/>
                  </w:pPr>
                  <w:r>
                    <w:t>储运</w:t>
                  </w:r>
                </w:p>
              </w:tc>
              <w:tc>
                <w:tcPr>
                  <w:tcW w:w="4644" w:type="pct"/>
                  <w:gridSpan w:val="3"/>
                  <w:vAlign w:val="center"/>
                </w:tcPr>
                <w:p>
                  <w:pPr>
                    <w:pStyle w:val="47"/>
                  </w:pPr>
                  <w:r>
                    <w:t>储存于阴凉、通风仓间内。远离火种、热源。防止阳光直射。保持容器密封。桶装堆垛不可过大，应留墙距、顶距、柱距及必要的防火检查走道。罐储时要有防火防爆技术措施。禁止使用易产生火花的机械设备和工具。充装要控制流速，注意防止静电积聚。搬运时要轻装轻卸，防止包装及容器损坏。</w:t>
                  </w:r>
                </w:p>
              </w:tc>
            </w:tr>
          </w:tbl>
          <w:p>
            <w:pPr>
              <w:pStyle w:val="37"/>
              <w:ind w:firstLine="480"/>
            </w:pPr>
            <w:r>
              <w:rPr>
                <w:rFonts w:hint="eastAsia"/>
              </w:rPr>
              <w:t>本项目现有工程内设置有2个1</w:t>
            </w:r>
            <w:r>
              <w:t>5m</w:t>
            </w:r>
            <w:r>
              <w:rPr>
                <w:vertAlign w:val="superscript"/>
              </w:rPr>
              <w:t>3</w:t>
            </w:r>
            <w:r>
              <w:rPr>
                <w:rFonts w:hint="eastAsia"/>
              </w:rPr>
              <w:t>的柴油储罐，柴油储存量为2</w:t>
            </w:r>
            <w:r>
              <w:t>5.05t</w:t>
            </w:r>
            <w:r>
              <w:rPr>
                <w:rFonts w:hint="eastAsia"/>
              </w:rPr>
              <w:t>。</w:t>
            </w:r>
          </w:p>
          <w:p>
            <w:pPr>
              <w:pStyle w:val="37"/>
              <w:ind w:firstLine="480"/>
            </w:pPr>
            <w:r>
              <w:rPr>
                <w:rFonts w:hint="eastAsia"/>
              </w:rPr>
              <w:t>2）生产过程风险源调查</w:t>
            </w:r>
          </w:p>
          <w:p>
            <w:pPr>
              <w:pStyle w:val="37"/>
              <w:ind w:firstLine="480"/>
            </w:pPr>
            <w:r>
              <w:rPr>
                <w:rFonts w:hint="eastAsia"/>
              </w:rPr>
              <w:t>根据工程分析，本项目运营期主要从事钾长石加工作业，若柴油发生泄漏、火灾、爆炸及其伴生/次生污染物排放，将对周边空气产生影响，风险源主要为柴油储罐区。</w:t>
            </w:r>
          </w:p>
          <w:p>
            <w:pPr>
              <w:pStyle w:val="37"/>
              <w:ind w:firstLine="480"/>
            </w:pPr>
            <w:r>
              <w:rPr>
                <w:rFonts w:hint="eastAsia"/>
              </w:rPr>
              <w:t>（2）风险潜势初判</w:t>
            </w:r>
          </w:p>
          <w:p>
            <w:pPr>
              <w:pStyle w:val="37"/>
              <w:ind w:firstLine="480"/>
            </w:pPr>
            <w:r>
              <w:rPr>
                <w:rFonts w:hint="eastAsia"/>
              </w:rPr>
              <w:t>根据建设项目涉及的物质和工艺系统的危险性及其所在地的环境敏感程度，结合事故情形下环境影响途径，对建设项目潜在环境危害程度进行概化分析，项目环境风险潜势划分如下：</w:t>
            </w:r>
          </w:p>
          <w:p>
            <w:pPr>
              <w:pStyle w:val="36"/>
            </w:pPr>
            <w:r>
              <w:rPr>
                <w:rFonts w:hint="eastAsia"/>
              </w:rPr>
              <w:t>表7-</w:t>
            </w:r>
            <w:r>
              <w:t>1</w:t>
            </w:r>
            <w:r>
              <w:rPr>
                <w:rFonts w:hint="eastAsia"/>
              </w:rPr>
              <w:t>4建设项目环境风险潜势划分表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1685"/>
              <w:gridCol w:w="1685"/>
              <w:gridCol w:w="1685"/>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280" w:type="pct"/>
                  <w:vMerge w:val="restart"/>
                  <w:shd w:val="clear" w:color="auto" w:fill="auto"/>
                  <w:vAlign w:val="center"/>
                </w:tcPr>
                <w:p>
                  <w:pPr>
                    <w:pStyle w:val="47"/>
                  </w:pPr>
                  <w:r>
                    <w:rPr>
                      <w:rFonts w:hint="eastAsia"/>
                    </w:rPr>
                    <w:t>环境敏感程度（E）</w:t>
                  </w:r>
                </w:p>
              </w:tc>
              <w:tc>
                <w:tcPr>
                  <w:tcW w:w="3720" w:type="pct"/>
                  <w:gridSpan w:val="4"/>
                  <w:shd w:val="clear" w:color="auto" w:fill="auto"/>
                  <w:vAlign w:val="center"/>
                </w:tcPr>
                <w:p>
                  <w:pPr>
                    <w:pStyle w:val="47"/>
                  </w:pPr>
                  <w:r>
                    <w:rPr>
                      <w:rFonts w:hint="eastAsia"/>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80" w:type="pct"/>
                  <w:vMerge w:val="continue"/>
                  <w:shd w:val="clear" w:color="auto" w:fill="auto"/>
                  <w:vAlign w:val="center"/>
                </w:tcPr>
                <w:p>
                  <w:pPr>
                    <w:pStyle w:val="47"/>
                  </w:pPr>
                </w:p>
              </w:tc>
              <w:tc>
                <w:tcPr>
                  <w:tcW w:w="930" w:type="pct"/>
                  <w:tcBorders>
                    <w:bottom w:val="single" w:color="auto" w:sz="4" w:space="0"/>
                  </w:tcBorders>
                  <w:shd w:val="clear" w:color="auto" w:fill="auto"/>
                  <w:vAlign w:val="center"/>
                </w:tcPr>
                <w:p>
                  <w:pPr>
                    <w:pStyle w:val="47"/>
                  </w:pPr>
                  <w:r>
                    <w:rPr>
                      <w:rFonts w:hint="eastAsia"/>
                    </w:rPr>
                    <w:t>极高危害（P1）</w:t>
                  </w:r>
                </w:p>
              </w:tc>
              <w:tc>
                <w:tcPr>
                  <w:tcW w:w="930" w:type="pct"/>
                  <w:tcBorders>
                    <w:bottom w:val="single" w:color="auto" w:sz="4" w:space="0"/>
                  </w:tcBorders>
                  <w:shd w:val="clear" w:color="auto" w:fill="auto"/>
                  <w:vAlign w:val="center"/>
                </w:tcPr>
                <w:p>
                  <w:pPr>
                    <w:pStyle w:val="47"/>
                  </w:pPr>
                  <w:r>
                    <w:rPr>
                      <w:rFonts w:hint="eastAsia"/>
                    </w:rPr>
                    <w:t>高度危害（P2）</w:t>
                  </w:r>
                </w:p>
              </w:tc>
              <w:tc>
                <w:tcPr>
                  <w:tcW w:w="930" w:type="pct"/>
                  <w:tcBorders>
                    <w:bottom w:val="single" w:color="auto" w:sz="4" w:space="0"/>
                  </w:tcBorders>
                  <w:shd w:val="clear" w:color="auto" w:fill="auto"/>
                  <w:vAlign w:val="center"/>
                </w:tcPr>
                <w:p>
                  <w:pPr>
                    <w:pStyle w:val="47"/>
                  </w:pPr>
                  <w:r>
                    <w:rPr>
                      <w:rFonts w:hint="eastAsia"/>
                    </w:rPr>
                    <w:t>中度危害（P3）</w:t>
                  </w:r>
                </w:p>
              </w:tc>
              <w:tc>
                <w:tcPr>
                  <w:tcW w:w="930" w:type="pct"/>
                  <w:tcBorders>
                    <w:bottom w:val="single" w:color="auto" w:sz="4" w:space="0"/>
                  </w:tcBorders>
                  <w:shd w:val="clear" w:color="auto" w:fill="auto"/>
                  <w:vAlign w:val="center"/>
                </w:tcPr>
                <w:p>
                  <w:pPr>
                    <w:pStyle w:val="47"/>
                  </w:pPr>
                  <w:r>
                    <w:rPr>
                      <w:rFonts w:hint="eastAsia"/>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pStyle w:val="47"/>
                  </w:pPr>
                  <w:r>
                    <w:rPr>
                      <w:rFonts w:hint="eastAsia"/>
                    </w:rPr>
                    <w:t>环境高度敏感区（E1）</w:t>
                  </w:r>
                </w:p>
              </w:tc>
              <w:tc>
                <w:tcPr>
                  <w:tcW w:w="930" w:type="pct"/>
                  <w:shd w:val="clear" w:color="auto" w:fill="auto"/>
                  <w:vAlign w:val="center"/>
                </w:tcPr>
                <w:p>
                  <w:pPr>
                    <w:pStyle w:val="47"/>
                  </w:pPr>
                  <w:r>
                    <w:rPr>
                      <w:rFonts w:hint="eastAsia"/>
                    </w:rPr>
                    <w:t>Ⅳ</w:t>
                  </w:r>
                  <w:r>
                    <w:rPr>
                      <w:rStyle w:val="49"/>
                      <w:rFonts w:hint="eastAsia"/>
                    </w:rPr>
                    <w:t>+</w:t>
                  </w:r>
                </w:p>
              </w:tc>
              <w:tc>
                <w:tcPr>
                  <w:tcW w:w="930" w:type="pct"/>
                  <w:shd w:val="clear" w:color="auto" w:fill="auto"/>
                  <w:vAlign w:val="center"/>
                </w:tcPr>
                <w:p>
                  <w:pPr>
                    <w:pStyle w:val="47"/>
                  </w:pPr>
                  <w:r>
                    <w:rPr>
                      <w:rFonts w:hint="eastAsia"/>
                    </w:rPr>
                    <w:t>Ⅳ</w:t>
                  </w:r>
                </w:p>
              </w:tc>
              <w:tc>
                <w:tcPr>
                  <w:tcW w:w="930" w:type="pct"/>
                  <w:shd w:val="clear" w:color="auto" w:fill="auto"/>
                  <w:vAlign w:val="center"/>
                </w:tcPr>
                <w:p>
                  <w:pPr>
                    <w:pStyle w:val="47"/>
                  </w:pPr>
                  <w:r>
                    <w:rPr>
                      <w:rFonts w:hint="eastAsia"/>
                    </w:rPr>
                    <w:t>Ⅲ</w:t>
                  </w:r>
                </w:p>
              </w:tc>
              <w:tc>
                <w:tcPr>
                  <w:tcW w:w="930" w:type="pct"/>
                  <w:shd w:val="clear" w:color="auto" w:fill="auto"/>
                  <w:vAlign w:val="center"/>
                </w:tcPr>
                <w:p>
                  <w:pPr>
                    <w:pStyle w:val="47"/>
                  </w:pPr>
                  <w:r>
                    <w:rPr>
                      <w:rFonts w:hint="eastAsia"/>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pStyle w:val="47"/>
                  </w:pPr>
                  <w:r>
                    <w:rPr>
                      <w:rFonts w:hint="eastAsia"/>
                    </w:rPr>
                    <w:t>环境中度敏感区（E2）</w:t>
                  </w:r>
                </w:p>
              </w:tc>
              <w:tc>
                <w:tcPr>
                  <w:tcW w:w="930" w:type="pct"/>
                  <w:shd w:val="clear" w:color="auto" w:fill="auto"/>
                  <w:vAlign w:val="center"/>
                </w:tcPr>
                <w:p>
                  <w:pPr>
                    <w:pStyle w:val="47"/>
                  </w:pPr>
                  <w:r>
                    <w:rPr>
                      <w:rFonts w:hint="eastAsia"/>
                    </w:rPr>
                    <w:t>Ⅳ</w:t>
                  </w:r>
                </w:p>
              </w:tc>
              <w:tc>
                <w:tcPr>
                  <w:tcW w:w="930" w:type="pct"/>
                  <w:shd w:val="clear" w:color="auto" w:fill="auto"/>
                  <w:vAlign w:val="center"/>
                </w:tcPr>
                <w:p>
                  <w:pPr>
                    <w:pStyle w:val="47"/>
                  </w:pPr>
                  <w:r>
                    <w:rPr>
                      <w:rFonts w:hint="eastAsia"/>
                    </w:rPr>
                    <w:t>Ⅲ</w:t>
                  </w:r>
                </w:p>
              </w:tc>
              <w:tc>
                <w:tcPr>
                  <w:tcW w:w="930" w:type="pct"/>
                  <w:shd w:val="clear" w:color="auto" w:fill="auto"/>
                  <w:vAlign w:val="center"/>
                </w:tcPr>
                <w:p>
                  <w:pPr>
                    <w:pStyle w:val="47"/>
                  </w:pPr>
                  <w:r>
                    <w:rPr>
                      <w:rFonts w:hint="eastAsia"/>
                    </w:rPr>
                    <w:t>Ⅲ</w:t>
                  </w:r>
                </w:p>
              </w:tc>
              <w:tc>
                <w:tcPr>
                  <w:tcW w:w="930" w:type="pct"/>
                  <w:tcBorders>
                    <w:bottom w:val="single" w:color="auto" w:sz="4" w:space="0"/>
                  </w:tcBorders>
                  <w:shd w:val="clear" w:color="auto" w:fill="auto"/>
                  <w:vAlign w:val="center"/>
                </w:tcPr>
                <w:p>
                  <w:pPr>
                    <w:pStyle w:val="47"/>
                  </w:pPr>
                  <w:r>
                    <w:rPr>
                      <w:rFonts w:hint="eastAsia"/>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 w:type="pct"/>
                  <w:shd w:val="clear" w:color="auto" w:fill="auto"/>
                  <w:vAlign w:val="center"/>
                </w:tcPr>
                <w:p>
                  <w:pPr>
                    <w:pStyle w:val="47"/>
                  </w:pPr>
                  <w:r>
                    <w:rPr>
                      <w:rFonts w:hint="eastAsia"/>
                    </w:rPr>
                    <w:t>环境低度敏感区（E3）</w:t>
                  </w:r>
                </w:p>
              </w:tc>
              <w:tc>
                <w:tcPr>
                  <w:tcW w:w="930" w:type="pct"/>
                  <w:shd w:val="clear" w:color="auto" w:fill="auto"/>
                  <w:vAlign w:val="center"/>
                </w:tcPr>
                <w:p>
                  <w:pPr>
                    <w:pStyle w:val="47"/>
                  </w:pPr>
                  <w:r>
                    <w:rPr>
                      <w:rFonts w:hint="eastAsia"/>
                    </w:rPr>
                    <w:t>Ⅲ</w:t>
                  </w:r>
                </w:p>
              </w:tc>
              <w:tc>
                <w:tcPr>
                  <w:tcW w:w="930" w:type="pct"/>
                  <w:shd w:val="clear" w:color="auto" w:fill="auto"/>
                  <w:vAlign w:val="center"/>
                </w:tcPr>
                <w:p>
                  <w:pPr>
                    <w:pStyle w:val="47"/>
                  </w:pPr>
                  <w:r>
                    <w:rPr>
                      <w:rFonts w:hint="eastAsia"/>
                    </w:rPr>
                    <w:t>Ⅲ</w:t>
                  </w:r>
                </w:p>
              </w:tc>
              <w:tc>
                <w:tcPr>
                  <w:tcW w:w="930" w:type="pct"/>
                  <w:shd w:val="clear" w:color="auto" w:fill="auto"/>
                  <w:vAlign w:val="center"/>
                </w:tcPr>
                <w:p>
                  <w:pPr>
                    <w:pStyle w:val="47"/>
                  </w:pPr>
                  <w:r>
                    <w:rPr>
                      <w:rFonts w:hint="eastAsia"/>
                    </w:rPr>
                    <w:t>Ⅱ</w:t>
                  </w:r>
                </w:p>
              </w:tc>
              <w:tc>
                <w:tcPr>
                  <w:tcW w:w="930" w:type="pct"/>
                  <w:shd w:val="clear" w:color="auto" w:fill="auto"/>
                  <w:vAlign w:val="center"/>
                </w:tcPr>
                <w:p>
                  <w:pPr>
                    <w:pStyle w:val="47"/>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pPr>
                    <w:pStyle w:val="47"/>
                  </w:pPr>
                  <w:r>
                    <w:rPr>
                      <w:rFonts w:hint="eastAsia"/>
                    </w:rPr>
                    <w:t>注：Ⅳ</w:t>
                  </w:r>
                  <w:r>
                    <w:rPr>
                      <w:rStyle w:val="49"/>
                      <w:rFonts w:hint="eastAsia"/>
                    </w:rPr>
                    <w:t>+</w:t>
                  </w:r>
                  <w:r>
                    <w:rPr>
                      <w:rFonts w:hint="eastAsia"/>
                    </w:rPr>
                    <w:t>为极高环境风险</w:t>
                  </w:r>
                </w:p>
              </w:tc>
            </w:tr>
          </w:tbl>
          <w:p>
            <w:pPr>
              <w:pStyle w:val="37"/>
              <w:ind w:firstLine="480"/>
            </w:pPr>
            <w:r>
              <w:rPr>
                <w:rFonts w:hint="eastAsia"/>
              </w:rPr>
              <w:t>P分级确定：</w:t>
            </w:r>
          </w:p>
          <w:p>
            <w:pPr>
              <w:pStyle w:val="37"/>
              <w:ind w:firstLine="480"/>
            </w:pPr>
            <w:r>
              <w:rPr>
                <w:rFonts w:hint="eastAsia"/>
              </w:rPr>
              <w:t>根据《建设项目环境风险评价技术导则》（HJ169-2018）附录B中对应临界量的比值Q，当存在多种危险物质时，按照下式计算物质总量与其临界量的比值Q：</w:t>
            </w:r>
          </w:p>
          <w:p>
            <w:pPr>
              <w:pStyle w:val="50"/>
              <w:rPr>
                <w:rFonts w:cs="SimSun"/>
              </w:rPr>
            </w:pPr>
            <w:r>
              <w:rPr>
                <w:rFonts w:cs="SimSun"/>
                <w:position w:val="-30"/>
              </w:rPr>
              <w:object>
                <v:shape id="_x0000_i1028" o:spt="75" type="#_x0000_t75" style="height:36pt;width:123.5pt;" o:ole="t" filled="f" o:preferrelative="t" stroked="f" coordsize="21600,21600">
                  <v:path/>
                  <v:fill on="f" focussize="0,0"/>
                  <v:stroke on="f" joinstyle="miter"/>
                  <v:imagedata r:id="rId22" o:title=""/>
                  <o:lock v:ext="edit" aspectratio="t"/>
                  <w10:wrap type="none"/>
                  <w10:anchorlock/>
                </v:shape>
                <o:OLEObject Type="Embed" ProgID="Equation.3" ShapeID="_x0000_i1028" DrawAspect="Content" ObjectID="_1468075728" r:id="rId21">
                  <o:LockedField>false</o:LockedField>
                </o:OLEObject>
              </w:object>
            </w:r>
          </w:p>
          <w:p>
            <w:pPr>
              <w:pStyle w:val="37"/>
              <w:ind w:firstLine="480"/>
            </w:pPr>
            <w:r>
              <w:rPr>
                <w:rFonts w:hint="eastAsia"/>
              </w:rPr>
              <w:t>式中：q</w:t>
            </w:r>
            <w:r>
              <w:rPr>
                <w:rFonts w:hint="eastAsia"/>
                <w:vertAlign w:val="subscript"/>
              </w:rPr>
              <w:t>1</w:t>
            </w:r>
            <w:r>
              <w:rPr>
                <w:rFonts w:hint="eastAsia"/>
              </w:rPr>
              <w:t>，q</w:t>
            </w:r>
            <w:r>
              <w:rPr>
                <w:rFonts w:hint="eastAsia"/>
                <w:vertAlign w:val="subscript"/>
              </w:rPr>
              <w:t>2</w:t>
            </w:r>
            <w:r>
              <w:rPr>
                <w:rFonts w:hint="eastAsia"/>
              </w:rPr>
              <w:t>、……q</w:t>
            </w:r>
            <w:r>
              <w:rPr>
                <w:rFonts w:hint="eastAsia"/>
                <w:vertAlign w:val="subscript"/>
              </w:rPr>
              <w:t>n</w:t>
            </w:r>
            <w:r>
              <w:rPr>
                <w:rFonts w:hint="eastAsia"/>
              </w:rPr>
              <w:t>——每种危险物质的最大存在总量，t；</w:t>
            </w:r>
          </w:p>
          <w:p>
            <w:pPr>
              <w:pStyle w:val="37"/>
              <w:ind w:firstLine="480"/>
            </w:pPr>
            <w:r>
              <w:rPr>
                <w:rFonts w:hint="eastAsia"/>
              </w:rPr>
              <w:t>Q</w:t>
            </w:r>
            <w:r>
              <w:rPr>
                <w:rFonts w:hint="eastAsia"/>
                <w:vertAlign w:val="subscript"/>
              </w:rPr>
              <w:t>1</w:t>
            </w:r>
            <w:r>
              <w:rPr>
                <w:rFonts w:hint="eastAsia"/>
              </w:rPr>
              <w:t>、Q</w:t>
            </w:r>
            <w:r>
              <w:rPr>
                <w:rFonts w:hint="eastAsia"/>
                <w:vertAlign w:val="subscript"/>
              </w:rPr>
              <w:t>2</w:t>
            </w:r>
            <w:r>
              <w:rPr>
                <w:rFonts w:hint="eastAsia"/>
              </w:rPr>
              <w:t>、……Q</w:t>
            </w:r>
            <w:r>
              <w:rPr>
                <w:rFonts w:hint="eastAsia"/>
                <w:vertAlign w:val="subscript"/>
              </w:rPr>
              <w:t>n</w:t>
            </w:r>
            <w:r>
              <w:softHyphen/>
            </w:r>
            <w:r>
              <w:rPr>
                <w:rFonts w:hint="eastAsia"/>
              </w:rPr>
              <w:t>——每种危险物质的临界量，t；</w:t>
            </w:r>
          </w:p>
          <w:p>
            <w:pPr>
              <w:pStyle w:val="37"/>
              <w:ind w:firstLine="480"/>
            </w:pPr>
            <w:r>
              <w:rPr>
                <w:rFonts w:hint="eastAsia"/>
              </w:rPr>
              <w:t>当Q＜1时，该项目环境风险潜势为Ⅰ；</w:t>
            </w:r>
          </w:p>
          <w:p>
            <w:pPr>
              <w:pStyle w:val="37"/>
              <w:ind w:firstLine="480"/>
            </w:pPr>
            <w:r>
              <w:rPr>
                <w:rFonts w:hint="eastAsia"/>
              </w:rPr>
              <w:t>当Q≥1时，将Q值划分为：1≤Q＜10；10≤Q＜100；Q≥100。</w:t>
            </w:r>
          </w:p>
          <w:p>
            <w:pPr>
              <w:pStyle w:val="37"/>
              <w:ind w:firstLine="480"/>
            </w:pPr>
            <w:r>
              <w:rPr>
                <w:rFonts w:hint="eastAsia"/>
              </w:rPr>
              <w:t>本项目所涉及的风险物质主要为柴油，根据其主要成分，结合《建设项目环境风险评价技术导则》（HJ169-2018），本项目涉及到重点关注的危险物质主要为柴油，项目Q值计算如下：</w:t>
            </w:r>
          </w:p>
          <w:p>
            <w:pPr>
              <w:pStyle w:val="36"/>
            </w:pPr>
            <w:r>
              <w:rPr>
                <w:rFonts w:hint="eastAsia"/>
              </w:rPr>
              <w:t>表7-</w:t>
            </w:r>
            <w:r>
              <w:t>1</w:t>
            </w:r>
            <w:r>
              <w:rPr>
                <w:rFonts w:hint="eastAsia"/>
              </w:rPr>
              <w:t>5项目物料存储情况</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636"/>
              <w:gridCol w:w="1660"/>
              <w:gridCol w:w="2711"/>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 w:type="pct"/>
                  <w:shd w:val="clear" w:color="auto" w:fill="auto"/>
                </w:tcPr>
                <w:p>
                  <w:pPr>
                    <w:pStyle w:val="47"/>
                  </w:pPr>
                  <w:r>
                    <w:rPr>
                      <w:rFonts w:hint="eastAsia"/>
                    </w:rPr>
                    <w:t>序号</w:t>
                  </w:r>
                </w:p>
              </w:tc>
              <w:tc>
                <w:tcPr>
                  <w:tcW w:w="1455" w:type="pct"/>
                  <w:shd w:val="clear" w:color="auto" w:fill="auto"/>
                </w:tcPr>
                <w:p>
                  <w:pPr>
                    <w:pStyle w:val="47"/>
                  </w:pPr>
                  <w:r>
                    <w:rPr>
                      <w:rFonts w:hint="eastAsia"/>
                    </w:rPr>
                    <w:t>物质名称</w:t>
                  </w:r>
                </w:p>
              </w:tc>
              <w:tc>
                <w:tcPr>
                  <w:tcW w:w="916" w:type="pct"/>
                  <w:shd w:val="clear" w:color="auto" w:fill="auto"/>
                </w:tcPr>
                <w:p>
                  <w:pPr>
                    <w:pStyle w:val="47"/>
                  </w:pPr>
                  <w:r>
                    <w:rPr>
                      <w:rFonts w:hint="eastAsia"/>
                    </w:rPr>
                    <w:t>临界量（t）</w:t>
                  </w:r>
                </w:p>
              </w:tc>
              <w:tc>
                <w:tcPr>
                  <w:tcW w:w="1496" w:type="pct"/>
                  <w:shd w:val="clear" w:color="auto" w:fill="auto"/>
                </w:tcPr>
                <w:p>
                  <w:pPr>
                    <w:pStyle w:val="47"/>
                  </w:pPr>
                  <w:r>
                    <w:rPr>
                      <w:rFonts w:hint="eastAsia"/>
                    </w:rPr>
                    <w:t>单元实际存储量（t）</w:t>
                  </w:r>
                </w:p>
              </w:tc>
              <w:tc>
                <w:tcPr>
                  <w:tcW w:w="694" w:type="pct"/>
                  <w:shd w:val="clear" w:color="auto" w:fill="auto"/>
                </w:tcPr>
                <w:p>
                  <w:pPr>
                    <w:pStyle w:val="47"/>
                  </w:pPr>
                  <w:r>
                    <w:rPr>
                      <w:rFonts w:hint="eastAsia"/>
                    </w:rPr>
                    <w:t>q/</w:t>
                  </w:r>
                  <w: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 w:type="pct"/>
                  <w:shd w:val="clear" w:color="auto" w:fill="auto"/>
                </w:tcPr>
                <w:p>
                  <w:pPr>
                    <w:pStyle w:val="47"/>
                  </w:pPr>
                  <w:r>
                    <w:rPr>
                      <w:rFonts w:hint="eastAsia"/>
                    </w:rPr>
                    <w:t>1</w:t>
                  </w:r>
                </w:p>
              </w:tc>
              <w:tc>
                <w:tcPr>
                  <w:tcW w:w="1455" w:type="pct"/>
                  <w:shd w:val="clear" w:color="auto" w:fill="auto"/>
                </w:tcPr>
                <w:p>
                  <w:pPr>
                    <w:pStyle w:val="47"/>
                  </w:pPr>
                  <w:r>
                    <w:rPr>
                      <w:rFonts w:hint="eastAsia"/>
                    </w:rPr>
                    <w:t>柴油</w:t>
                  </w:r>
                </w:p>
              </w:tc>
              <w:tc>
                <w:tcPr>
                  <w:tcW w:w="916" w:type="pct"/>
                  <w:shd w:val="clear" w:color="auto" w:fill="auto"/>
                </w:tcPr>
                <w:p>
                  <w:pPr>
                    <w:pStyle w:val="47"/>
                  </w:pPr>
                  <w:r>
                    <w:t>2500</w:t>
                  </w:r>
                </w:p>
              </w:tc>
              <w:tc>
                <w:tcPr>
                  <w:tcW w:w="1496" w:type="pct"/>
                  <w:shd w:val="clear" w:color="auto" w:fill="auto"/>
                </w:tcPr>
                <w:p>
                  <w:pPr>
                    <w:pStyle w:val="47"/>
                  </w:pPr>
                  <w:r>
                    <w:t>25.05</w:t>
                  </w:r>
                </w:p>
              </w:tc>
              <w:tc>
                <w:tcPr>
                  <w:tcW w:w="694" w:type="pct"/>
                  <w:shd w:val="clear" w:color="auto" w:fill="auto"/>
                </w:tcPr>
                <w:p>
                  <w:pPr>
                    <w:pStyle w:val="47"/>
                  </w:pPr>
                  <w:r>
                    <w:t>0.01002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6" w:type="pct"/>
                  <w:gridSpan w:val="4"/>
                  <w:shd w:val="clear" w:color="auto" w:fill="auto"/>
                </w:tcPr>
                <w:p>
                  <w:pPr>
                    <w:pStyle w:val="47"/>
                  </w:pPr>
                  <w:r>
                    <w:rPr>
                      <w:rFonts w:hint="eastAsia"/>
                    </w:rPr>
                    <w:t>合计（Q）</w:t>
                  </w:r>
                </w:p>
              </w:tc>
              <w:tc>
                <w:tcPr>
                  <w:tcW w:w="694" w:type="pct"/>
                  <w:shd w:val="clear" w:color="auto" w:fill="auto"/>
                </w:tcPr>
                <w:p>
                  <w:pPr>
                    <w:pStyle w:val="47"/>
                  </w:pPr>
                  <w:r>
                    <w:t>0.01002</w:t>
                  </w:r>
                </w:p>
              </w:tc>
            </w:tr>
          </w:tbl>
          <w:p>
            <w:pPr>
              <w:pStyle w:val="37"/>
              <w:ind w:firstLine="480"/>
            </w:pPr>
            <w:r>
              <w:rPr>
                <w:rFonts w:hint="eastAsia"/>
              </w:rPr>
              <w:t>由上表可知，本项目危险物质与《建设项目环境风险评价技术导则》（HJ169-2018）附录D中给出的临界量比值Q之和为</w:t>
            </w:r>
            <w:r>
              <w:t>0.01002</w:t>
            </w:r>
            <w:r>
              <w:rPr>
                <w:rFonts w:hint="eastAsia"/>
              </w:rPr>
              <w:t>，属于Q＜1，，故环境风险潜势为Ⅰ</w:t>
            </w:r>
          </w:p>
          <w:p>
            <w:pPr>
              <w:pStyle w:val="37"/>
              <w:ind w:firstLine="480"/>
            </w:pPr>
            <w:r>
              <w:rPr>
                <w:rFonts w:hint="eastAsia"/>
              </w:rPr>
              <w:t>（3）风险评价等级</w:t>
            </w:r>
          </w:p>
          <w:p>
            <w:pPr>
              <w:pStyle w:val="37"/>
              <w:ind w:firstLine="480"/>
            </w:pPr>
            <w:r>
              <w:rPr>
                <w:rFonts w:hint="eastAsia"/>
              </w:rPr>
              <w:t>根据《建设项目环境风险评价技术导则》（HJ169-2018），评价工作等级划分如下表：</w:t>
            </w:r>
          </w:p>
          <w:p>
            <w:pPr>
              <w:pStyle w:val="36"/>
            </w:pPr>
            <w:r>
              <w:rPr>
                <w:rFonts w:hint="eastAsia"/>
              </w:rPr>
              <w:t>表7-</w:t>
            </w:r>
            <w:r>
              <w:t>1</w:t>
            </w:r>
            <w:r>
              <w:rPr>
                <w:rFonts w:hint="eastAsia"/>
              </w:rPr>
              <w:t>6评价工作等级划分表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2"/>
              <w:gridCol w:w="1868"/>
              <w:gridCol w:w="928"/>
              <w:gridCol w:w="928"/>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shd w:val="clear" w:color="auto" w:fill="auto"/>
                </w:tcPr>
                <w:p>
                  <w:pPr>
                    <w:pStyle w:val="47"/>
                  </w:pPr>
                  <w:r>
                    <w:rPr>
                      <w:rFonts w:hint="eastAsia"/>
                    </w:rPr>
                    <w:t>环境风险潜势</w:t>
                  </w:r>
                </w:p>
              </w:tc>
              <w:tc>
                <w:tcPr>
                  <w:tcW w:w="1031" w:type="pct"/>
                  <w:shd w:val="clear" w:color="auto" w:fill="auto"/>
                </w:tcPr>
                <w:p>
                  <w:pPr>
                    <w:pStyle w:val="47"/>
                  </w:pPr>
                  <w:r>
                    <w:rPr>
                      <w:rFonts w:hint="eastAsia"/>
                    </w:rPr>
                    <w:t>Ⅳ</w:t>
                  </w:r>
                  <w:r>
                    <w:rPr>
                      <w:rStyle w:val="49"/>
                      <w:rFonts w:hint="eastAsia"/>
                    </w:rPr>
                    <w:t>+</w:t>
                  </w:r>
                  <w:r>
                    <w:rPr>
                      <w:rFonts w:hint="eastAsia"/>
                    </w:rPr>
                    <w:t>、Ⅳ</w:t>
                  </w:r>
                </w:p>
              </w:tc>
              <w:tc>
                <w:tcPr>
                  <w:tcW w:w="512" w:type="pct"/>
                  <w:tcBorders>
                    <w:bottom w:val="single" w:color="auto" w:sz="4" w:space="0"/>
                  </w:tcBorders>
                  <w:shd w:val="clear" w:color="auto" w:fill="auto"/>
                </w:tcPr>
                <w:p>
                  <w:pPr>
                    <w:pStyle w:val="47"/>
                  </w:pPr>
                  <w:r>
                    <w:rPr>
                      <w:rFonts w:hint="eastAsia"/>
                    </w:rPr>
                    <w:t>Ⅲ</w:t>
                  </w:r>
                </w:p>
              </w:tc>
              <w:tc>
                <w:tcPr>
                  <w:tcW w:w="512" w:type="pct"/>
                  <w:shd w:val="clear" w:color="auto" w:fill="auto"/>
                </w:tcPr>
                <w:p>
                  <w:pPr>
                    <w:pStyle w:val="47"/>
                  </w:pPr>
                  <w:r>
                    <w:rPr>
                      <w:rFonts w:hint="eastAsia"/>
                    </w:rPr>
                    <w:t>Ⅱ</w:t>
                  </w:r>
                </w:p>
              </w:tc>
              <w:tc>
                <w:tcPr>
                  <w:tcW w:w="1265" w:type="pct"/>
                  <w:tcBorders>
                    <w:bottom w:val="single" w:color="auto" w:sz="4" w:space="0"/>
                  </w:tcBorders>
                  <w:shd w:val="clear" w:color="auto" w:fill="80C588" w:themeFill="background1" w:themeFillShade="BF"/>
                </w:tcPr>
                <w:p>
                  <w:pPr>
                    <w:pStyle w:val="47"/>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9" w:type="pct"/>
                  <w:shd w:val="clear" w:color="auto" w:fill="auto"/>
                </w:tcPr>
                <w:p>
                  <w:pPr>
                    <w:pStyle w:val="47"/>
                  </w:pPr>
                  <w:r>
                    <w:rPr>
                      <w:rFonts w:hint="eastAsia"/>
                    </w:rPr>
                    <w:t>评价工作等级</w:t>
                  </w:r>
                </w:p>
              </w:tc>
              <w:tc>
                <w:tcPr>
                  <w:tcW w:w="1031" w:type="pct"/>
                  <w:shd w:val="clear" w:color="auto" w:fill="auto"/>
                </w:tcPr>
                <w:p>
                  <w:pPr>
                    <w:pStyle w:val="47"/>
                  </w:pPr>
                  <w:r>
                    <w:rPr>
                      <w:rFonts w:hint="eastAsia"/>
                    </w:rPr>
                    <w:t>一</w:t>
                  </w:r>
                </w:p>
              </w:tc>
              <w:tc>
                <w:tcPr>
                  <w:tcW w:w="512" w:type="pct"/>
                  <w:shd w:val="clear" w:color="auto" w:fill="auto"/>
                </w:tcPr>
                <w:p>
                  <w:pPr>
                    <w:pStyle w:val="47"/>
                  </w:pPr>
                  <w:r>
                    <w:rPr>
                      <w:rFonts w:hint="eastAsia"/>
                    </w:rPr>
                    <w:t>二</w:t>
                  </w:r>
                </w:p>
              </w:tc>
              <w:tc>
                <w:tcPr>
                  <w:tcW w:w="512" w:type="pct"/>
                  <w:shd w:val="clear" w:color="auto" w:fill="auto"/>
                </w:tcPr>
                <w:p>
                  <w:pPr>
                    <w:pStyle w:val="47"/>
                  </w:pPr>
                  <w:r>
                    <w:rPr>
                      <w:rFonts w:hint="eastAsia"/>
                    </w:rPr>
                    <w:t>三</w:t>
                  </w:r>
                </w:p>
              </w:tc>
              <w:tc>
                <w:tcPr>
                  <w:tcW w:w="1265" w:type="pct"/>
                  <w:shd w:val="clear" w:color="auto" w:fill="80C588" w:themeFill="background1" w:themeFillShade="BF"/>
                </w:tcPr>
                <w:p>
                  <w:pPr>
                    <w:pStyle w:val="47"/>
                  </w:pPr>
                  <w:r>
                    <w:rPr>
                      <w:rFonts w:hint="eastAsia"/>
                    </w:rPr>
                    <w:t>简单分析</w:t>
                  </w:r>
                  <w:r>
                    <w:rPr>
                      <w:rStyle w:val="49"/>
                      <w:rFonts w:hint="eastAsia"/>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5000" w:type="pct"/>
                  <w:gridSpan w:val="5"/>
                  <w:shd w:val="clear" w:color="auto" w:fill="auto"/>
                </w:tcPr>
                <w:p>
                  <w:pPr>
                    <w:pStyle w:val="47"/>
                  </w:pPr>
                  <w:r>
                    <w:rPr>
                      <w:rStyle w:val="49"/>
                      <w:rFonts w:hint="eastAsia"/>
                      <w:vertAlign w:val="superscript"/>
                    </w:rPr>
                    <w:t>a</w:t>
                  </w:r>
                  <w:r>
                    <w:rPr>
                      <w:rFonts w:hint="eastAsia"/>
                    </w:rPr>
                    <w:t>是相对于详细评价工作内容而言，在描述危险物质、环境影响途径、环境危害后果、风险防范措施等方面给出定性的说明。见附录A。</w:t>
                  </w:r>
                </w:p>
              </w:tc>
            </w:tr>
          </w:tbl>
          <w:p>
            <w:pPr>
              <w:pStyle w:val="37"/>
              <w:ind w:firstLine="480"/>
            </w:pPr>
            <w:r>
              <w:rPr>
                <w:rFonts w:hint="eastAsia"/>
              </w:rPr>
              <w:t>综上所述，本项目环境风险潜势为I，为简单分析。</w:t>
            </w:r>
          </w:p>
          <w:p>
            <w:pPr>
              <w:pStyle w:val="37"/>
              <w:ind w:firstLine="480"/>
            </w:pPr>
            <w:r>
              <w:t>2</w:t>
            </w:r>
            <w:r>
              <w:rPr>
                <w:rFonts w:hint="eastAsia"/>
              </w:rPr>
              <w:t>、环境敏感目标概况</w:t>
            </w:r>
          </w:p>
          <w:p>
            <w:pPr>
              <w:pStyle w:val="37"/>
              <w:ind w:firstLine="480"/>
            </w:pPr>
            <w:r>
              <w:rPr>
                <w:rFonts w:hint="eastAsia"/>
              </w:rPr>
              <w:t>项目主要环境敏感目标分布情况如下表：</w:t>
            </w:r>
          </w:p>
          <w:p>
            <w:pPr>
              <w:pStyle w:val="54"/>
            </w:pPr>
            <w:r>
              <w:rPr>
                <w:rFonts w:hint="eastAsia"/>
              </w:rPr>
              <w:t>表7-</w:t>
            </w:r>
            <w:r>
              <w:t>1</w:t>
            </w:r>
            <w:r>
              <w:rPr>
                <w:rFonts w:hint="eastAsia"/>
              </w:rPr>
              <w:t>7主要环境保护目标一览表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61"/>
              <w:gridCol w:w="3838"/>
              <w:gridCol w:w="1638"/>
              <w:gridCol w:w="1160"/>
              <w:gridCol w:w="126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61" w:hRule="atLeast"/>
                <w:jc w:val="center"/>
              </w:trPr>
              <w:tc>
                <w:tcPr>
                  <w:tcW w:w="641" w:type="pct"/>
                  <w:tcBorders>
                    <w:right w:val="single" w:color="auto" w:sz="4" w:space="0"/>
                  </w:tcBorders>
                  <w:vAlign w:val="center"/>
                </w:tcPr>
                <w:p>
                  <w:pPr>
                    <w:pStyle w:val="50"/>
                  </w:pPr>
                  <w:r>
                    <w:rPr>
                      <w:rFonts w:hint="eastAsia"/>
                    </w:rPr>
                    <w:t>序号</w:t>
                  </w:r>
                </w:p>
              </w:tc>
              <w:tc>
                <w:tcPr>
                  <w:tcW w:w="2118" w:type="pct"/>
                  <w:tcBorders>
                    <w:left w:val="single" w:color="auto" w:sz="4" w:space="0"/>
                    <w:right w:val="single" w:color="auto" w:sz="4" w:space="0"/>
                  </w:tcBorders>
                  <w:vAlign w:val="center"/>
                </w:tcPr>
                <w:p>
                  <w:pPr>
                    <w:pStyle w:val="50"/>
                  </w:pPr>
                  <w:r>
                    <w:rPr>
                      <w:rFonts w:hint="eastAsia"/>
                    </w:rPr>
                    <w:t>敏感目标</w:t>
                  </w:r>
                </w:p>
              </w:tc>
              <w:tc>
                <w:tcPr>
                  <w:tcW w:w="904" w:type="pct"/>
                  <w:tcBorders>
                    <w:left w:val="single" w:color="auto" w:sz="4" w:space="0"/>
                  </w:tcBorders>
                  <w:vAlign w:val="center"/>
                </w:tcPr>
                <w:p>
                  <w:pPr>
                    <w:pStyle w:val="50"/>
                  </w:pPr>
                  <w:r>
                    <w:rPr>
                      <w:rFonts w:hint="eastAsia"/>
                    </w:rPr>
                    <w:t>数量</w:t>
                  </w:r>
                </w:p>
              </w:tc>
              <w:tc>
                <w:tcPr>
                  <w:tcW w:w="640" w:type="pct"/>
                  <w:tcBorders>
                    <w:right w:val="single" w:color="auto" w:sz="4" w:space="0"/>
                  </w:tcBorders>
                  <w:vAlign w:val="center"/>
                </w:tcPr>
                <w:p>
                  <w:pPr>
                    <w:pStyle w:val="50"/>
                  </w:pPr>
                  <w:r>
                    <w:rPr>
                      <w:rFonts w:hint="eastAsia"/>
                    </w:rPr>
                    <w:t>位置</w:t>
                  </w:r>
                </w:p>
              </w:tc>
              <w:tc>
                <w:tcPr>
                  <w:tcW w:w="697" w:type="pct"/>
                  <w:tcBorders>
                    <w:left w:val="single" w:color="auto" w:sz="4" w:space="0"/>
                  </w:tcBorders>
                  <w:vAlign w:val="center"/>
                </w:tcPr>
                <w:p>
                  <w:pPr>
                    <w:pStyle w:val="50"/>
                  </w:pPr>
                  <w:r>
                    <w:rPr>
                      <w:rFonts w:hint="eastAsia"/>
                    </w:rPr>
                    <w:t>距离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641" w:type="pct"/>
                  <w:tcBorders>
                    <w:right w:val="single" w:color="auto" w:sz="4" w:space="0"/>
                  </w:tcBorders>
                  <w:vAlign w:val="center"/>
                </w:tcPr>
                <w:p>
                  <w:pPr>
                    <w:pStyle w:val="50"/>
                  </w:pPr>
                  <w:r>
                    <w:rPr>
                      <w:rFonts w:hint="eastAsia"/>
                    </w:rPr>
                    <w:t>1</w:t>
                  </w:r>
                </w:p>
              </w:tc>
              <w:tc>
                <w:tcPr>
                  <w:tcW w:w="2118" w:type="pct"/>
                  <w:tcBorders>
                    <w:left w:val="single" w:color="auto" w:sz="4" w:space="0"/>
                    <w:right w:val="single" w:color="auto" w:sz="4" w:space="0"/>
                  </w:tcBorders>
                  <w:vAlign w:val="center"/>
                </w:tcPr>
                <w:p>
                  <w:pPr>
                    <w:pStyle w:val="50"/>
                  </w:pPr>
                  <w:r>
                    <w:rPr>
                      <w:rFonts w:hint="eastAsia"/>
                    </w:rPr>
                    <w:t>五渡镇场镇住户</w:t>
                  </w:r>
                </w:p>
              </w:tc>
              <w:tc>
                <w:tcPr>
                  <w:tcW w:w="904" w:type="pct"/>
                  <w:tcBorders>
                    <w:left w:val="single" w:color="auto" w:sz="4" w:space="0"/>
                  </w:tcBorders>
                  <w:vAlign w:val="center"/>
                </w:tcPr>
                <w:p>
                  <w:pPr>
                    <w:pStyle w:val="50"/>
                  </w:pPr>
                  <w:r>
                    <w:rPr>
                      <w:rFonts w:hint="eastAsia"/>
                    </w:rPr>
                    <w:t>500人</w:t>
                  </w:r>
                </w:p>
              </w:tc>
              <w:tc>
                <w:tcPr>
                  <w:tcW w:w="640" w:type="pct"/>
                  <w:tcBorders>
                    <w:right w:val="single" w:color="auto" w:sz="4" w:space="0"/>
                  </w:tcBorders>
                  <w:shd w:val="clear" w:color="auto" w:fill="auto"/>
                  <w:vAlign w:val="center"/>
                </w:tcPr>
                <w:p>
                  <w:pPr>
                    <w:pStyle w:val="50"/>
                  </w:pPr>
                  <w:r>
                    <w:rPr>
                      <w:rFonts w:hint="eastAsia"/>
                    </w:rPr>
                    <w:t>西北面</w:t>
                  </w:r>
                </w:p>
              </w:tc>
              <w:tc>
                <w:tcPr>
                  <w:tcW w:w="697" w:type="pct"/>
                  <w:tcBorders>
                    <w:left w:val="single" w:color="auto" w:sz="4" w:space="0"/>
                  </w:tcBorders>
                  <w:shd w:val="clear" w:color="auto" w:fill="auto"/>
                  <w:vAlign w:val="center"/>
                </w:tcPr>
                <w:p>
                  <w:pPr>
                    <w:pStyle w:val="50"/>
                  </w:pPr>
                  <w:r>
                    <w:rPr>
                      <w:rFonts w:hint="eastAsia"/>
                    </w:rPr>
                    <w:t>60m</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641" w:type="pct"/>
                  <w:tcBorders>
                    <w:right w:val="single" w:color="auto" w:sz="4" w:space="0"/>
                  </w:tcBorders>
                  <w:vAlign w:val="center"/>
                </w:tcPr>
                <w:p>
                  <w:pPr>
                    <w:pStyle w:val="50"/>
                  </w:pPr>
                  <w:r>
                    <w:rPr>
                      <w:rFonts w:hint="eastAsia"/>
                    </w:rPr>
                    <w:t>2</w:t>
                  </w:r>
                </w:p>
              </w:tc>
              <w:tc>
                <w:tcPr>
                  <w:tcW w:w="2118" w:type="pct"/>
                  <w:tcBorders>
                    <w:left w:val="single" w:color="auto" w:sz="4" w:space="0"/>
                    <w:right w:val="single" w:color="auto" w:sz="4" w:space="0"/>
                  </w:tcBorders>
                  <w:vAlign w:val="center"/>
                </w:tcPr>
                <w:p>
                  <w:pPr>
                    <w:pStyle w:val="50"/>
                  </w:pPr>
                  <w:r>
                    <w:rPr>
                      <w:rFonts w:hint="eastAsia"/>
                    </w:rPr>
                    <w:t>刘沟村住户</w:t>
                  </w:r>
                </w:p>
              </w:tc>
              <w:tc>
                <w:tcPr>
                  <w:tcW w:w="904" w:type="pct"/>
                  <w:tcBorders>
                    <w:left w:val="single" w:color="auto" w:sz="4" w:space="0"/>
                  </w:tcBorders>
                  <w:vAlign w:val="center"/>
                </w:tcPr>
                <w:p>
                  <w:pPr>
                    <w:pStyle w:val="50"/>
                  </w:pPr>
                  <w:r>
                    <w:rPr>
                      <w:rFonts w:hint="eastAsia"/>
                    </w:rPr>
                    <w:t>50人</w:t>
                  </w:r>
                </w:p>
              </w:tc>
              <w:tc>
                <w:tcPr>
                  <w:tcW w:w="640" w:type="pct"/>
                  <w:tcBorders>
                    <w:right w:val="single" w:color="auto" w:sz="4" w:space="0"/>
                  </w:tcBorders>
                  <w:shd w:val="clear" w:color="auto" w:fill="auto"/>
                  <w:vAlign w:val="center"/>
                </w:tcPr>
                <w:p>
                  <w:pPr>
                    <w:pStyle w:val="50"/>
                  </w:pPr>
                  <w:r>
                    <w:rPr>
                      <w:rFonts w:hint="eastAsia"/>
                    </w:rPr>
                    <w:t>北面</w:t>
                  </w:r>
                </w:p>
              </w:tc>
              <w:tc>
                <w:tcPr>
                  <w:tcW w:w="697" w:type="pct"/>
                  <w:tcBorders>
                    <w:left w:val="single" w:color="auto" w:sz="4" w:space="0"/>
                  </w:tcBorders>
                  <w:shd w:val="clear" w:color="auto" w:fill="auto"/>
                  <w:vAlign w:val="center"/>
                </w:tcPr>
                <w:p>
                  <w:pPr>
                    <w:pStyle w:val="50"/>
                  </w:pPr>
                  <w:r>
                    <w:rPr>
                      <w:rFonts w:hint="eastAsia"/>
                    </w:rPr>
                    <w:t>200m</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59" w:hRule="atLeast"/>
                <w:jc w:val="center"/>
              </w:trPr>
              <w:tc>
                <w:tcPr>
                  <w:tcW w:w="641" w:type="pct"/>
                  <w:tcBorders>
                    <w:right w:val="single" w:color="auto" w:sz="4" w:space="0"/>
                  </w:tcBorders>
                  <w:vAlign w:val="center"/>
                </w:tcPr>
                <w:p>
                  <w:pPr>
                    <w:pStyle w:val="50"/>
                  </w:pPr>
                  <w:r>
                    <w:rPr>
                      <w:rFonts w:hint="eastAsia"/>
                    </w:rPr>
                    <w:t>3</w:t>
                  </w:r>
                </w:p>
              </w:tc>
              <w:tc>
                <w:tcPr>
                  <w:tcW w:w="2118" w:type="pct"/>
                  <w:tcBorders>
                    <w:left w:val="single" w:color="auto" w:sz="4" w:space="0"/>
                    <w:right w:val="single" w:color="auto" w:sz="4" w:space="0"/>
                  </w:tcBorders>
                  <w:vAlign w:val="center"/>
                </w:tcPr>
                <w:p>
                  <w:pPr>
                    <w:pStyle w:val="50"/>
                  </w:pPr>
                  <w:r>
                    <w:rPr>
                      <w:rFonts w:hint="eastAsia"/>
                    </w:rPr>
                    <w:t>散居住户</w:t>
                  </w:r>
                </w:p>
              </w:tc>
              <w:tc>
                <w:tcPr>
                  <w:tcW w:w="904" w:type="pct"/>
                  <w:tcBorders>
                    <w:left w:val="single" w:color="auto" w:sz="4" w:space="0"/>
                  </w:tcBorders>
                  <w:vAlign w:val="center"/>
                </w:tcPr>
                <w:p>
                  <w:pPr>
                    <w:pStyle w:val="50"/>
                  </w:pPr>
                  <w:r>
                    <w:rPr>
                      <w:rFonts w:hint="eastAsia"/>
                    </w:rPr>
                    <w:t>18人</w:t>
                  </w:r>
                </w:p>
              </w:tc>
              <w:tc>
                <w:tcPr>
                  <w:tcW w:w="640" w:type="pct"/>
                  <w:tcBorders>
                    <w:right w:val="single" w:color="auto" w:sz="4" w:space="0"/>
                  </w:tcBorders>
                  <w:shd w:val="clear" w:color="auto" w:fill="auto"/>
                  <w:vAlign w:val="center"/>
                </w:tcPr>
                <w:p>
                  <w:pPr>
                    <w:pStyle w:val="50"/>
                  </w:pPr>
                  <w:r>
                    <w:rPr>
                      <w:rFonts w:hint="eastAsia"/>
                    </w:rPr>
                    <w:t>西面</w:t>
                  </w:r>
                </w:p>
              </w:tc>
              <w:tc>
                <w:tcPr>
                  <w:tcW w:w="697" w:type="pct"/>
                  <w:tcBorders>
                    <w:left w:val="single" w:color="auto" w:sz="4" w:space="0"/>
                  </w:tcBorders>
                  <w:shd w:val="clear" w:color="auto" w:fill="auto"/>
                  <w:vAlign w:val="center"/>
                </w:tcPr>
                <w:p>
                  <w:pPr>
                    <w:pStyle w:val="50"/>
                  </w:pPr>
                  <w:r>
                    <w:rPr>
                      <w:rFonts w:hint="eastAsia"/>
                    </w:rPr>
                    <w:t>15m</w:t>
                  </w:r>
                </w:p>
              </w:tc>
            </w:tr>
          </w:tbl>
          <w:p>
            <w:pPr>
              <w:pStyle w:val="37"/>
              <w:ind w:firstLine="480"/>
            </w:pPr>
            <w:r>
              <w:t>3</w:t>
            </w:r>
            <w:r>
              <w:rPr>
                <w:rFonts w:hint="eastAsia"/>
              </w:rPr>
              <w:t>、环境风险识别</w:t>
            </w:r>
          </w:p>
          <w:p>
            <w:pPr>
              <w:pStyle w:val="37"/>
              <w:ind w:firstLine="480"/>
            </w:pPr>
            <w:r>
              <w:rPr>
                <w:rFonts w:hint="eastAsia"/>
              </w:rPr>
              <w:t>根据《建设项目环境风险评价技术导则》（HJ169-2018），风险识别主要包括物质危险性识别、生产系统危险性识别、危险物质向环境转移的途径识别等。</w:t>
            </w:r>
          </w:p>
          <w:p>
            <w:pPr>
              <w:pStyle w:val="37"/>
              <w:ind w:firstLine="480"/>
            </w:pPr>
            <w:r>
              <w:rPr>
                <w:rFonts w:hint="eastAsia"/>
              </w:rPr>
              <w:t>（1）物质危险性识别</w:t>
            </w:r>
          </w:p>
          <w:p>
            <w:pPr>
              <w:pStyle w:val="37"/>
              <w:ind w:firstLine="480"/>
            </w:pPr>
            <w:r>
              <w:rPr>
                <w:rFonts w:hint="eastAsia"/>
              </w:rPr>
              <w:t>本项目在运营过程中所涉及的风险物质主要为柴油。</w:t>
            </w:r>
          </w:p>
          <w:p>
            <w:pPr>
              <w:pStyle w:val="37"/>
              <w:ind w:firstLine="480"/>
            </w:pPr>
            <w:r>
              <w:rPr>
                <w:rFonts w:hint="eastAsia"/>
              </w:rPr>
              <w:t>（2）生产系统危险性识别</w:t>
            </w:r>
          </w:p>
          <w:p>
            <w:pPr>
              <w:pStyle w:val="37"/>
              <w:ind w:firstLine="480"/>
            </w:pPr>
            <w:r>
              <w:rPr>
                <w:rFonts w:hint="eastAsia"/>
              </w:rPr>
              <w:t>根据工程分析，本项目在运营过程中涉及柴油的使用，存在柴油泄漏的风险，若柴油发生泄漏、火灾、爆炸及其伴生/次生污染物排放，将对周边空气产生影响。泄露源主要为柴油储罐区等。</w:t>
            </w:r>
          </w:p>
          <w:p>
            <w:pPr>
              <w:pStyle w:val="37"/>
              <w:ind w:firstLine="480"/>
            </w:pPr>
            <w:r>
              <w:rPr>
                <w:rFonts w:hint="eastAsia"/>
              </w:rPr>
              <w:t>（3）危险物质向环境转移的途径识别</w:t>
            </w:r>
          </w:p>
          <w:p>
            <w:pPr>
              <w:pStyle w:val="37"/>
              <w:ind w:firstLine="480"/>
            </w:pPr>
            <w:r>
              <w:rPr>
                <w:rFonts w:hint="eastAsia"/>
              </w:rPr>
              <w:t>本项目涉及的危险物质主要为柴油，其向环境转移的途径主要为泄露，其环境风险类型主要为泄露、火灾、爆炸等引发的伴生/次生污染物排放。</w:t>
            </w:r>
          </w:p>
          <w:p>
            <w:pPr>
              <w:pStyle w:val="37"/>
              <w:ind w:firstLine="480"/>
            </w:pPr>
            <w:r>
              <w:rPr>
                <w:rFonts w:hint="eastAsia"/>
              </w:rPr>
              <w:t>4、风险分析</w:t>
            </w:r>
          </w:p>
          <w:p>
            <w:pPr>
              <w:pStyle w:val="37"/>
              <w:ind w:firstLine="480"/>
            </w:pPr>
            <w:r>
              <w:rPr>
                <w:rFonts w:hint="eastAsia"/>
              </w:rPr>
              <w:t>项目运营过程涉及柴油的使用，会产生医疗废物。在生产过程中环境风险类型主要为泄露、火灾，将对环境产生一定程度的影响，环境风险危害后果分析如下：</w:t>
            </w:r>
          </w:p>
          <w:p>
            <w:pPr>
              <w:pStyle w:val="54"/>
            </w:pPr>
            <w:r>
              <w:rPr>
                <w:rFonts w:hint="eastAsia"/>
              </w:rPr>
              <w:t>表7-18环境风险危害后果</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1142"/>
              <w:gridCol w:w="6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shd w:val="clear" w:color="auto" w:fill="auto"/>
                  <w:vAlign w:val="center"/>
                </w:tcPr>
                <w:p>
                  <w:pPr>
                    <w:pStyle w:val="47"/>
                  </w:pPr>
                  <w:r>
                    <w:rPr>
                      <w:rFonts w:hint="eastAsia"/>
                    </w:rPr>
                    <w:t>风险类型</w:t>
                  </w:r>
                </w:p>
              </w:tc>
              <w:tc>
                <w:tcPr>
                  <w:tcW w:w="630" w:type="pct"/>
                  <w:shd w:val="clear" w:color="auto" w:fill="auto"/>
                  <w:vAlign w:val="center"/>
                </w:tcPr>
                <w:p>
                  <w:pPr>
                    <w:pStyle w:val="47"/>
                  </w:pPr>
                  <w:r>
                    <w:rPr>
                      <w:rFonts w:hint="eastAsia"/>
                    </w:rPr>
                    <w:t>环境要素</w:t>
                  </w:r>
                </w:p>
              </w:tc>
              <w:tc>
                <w:tcPr>
                  <w:tcW w:w="3743" w:type="pct"/>
                  <w:shd w:val="clear" w:color="auto" w:fill="auto"/>
                  <w:vAlign w:val="center"/>
                </w:tcPr>
                <w:p>
                  <w:pPr>
                    <w:pStyle w:val="47"/>
                  </w:pPr>
                  <w:r>
                    <w:rPr>
                      <w:rFonts w:hint="eastAsia"/>
                    </w:rPr>
                    <w:t>影响分析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vMerge w:val="restart"/>
                  <w:shd w:val="clear" w:color="auto" w:fill="auto"/>
                  <w:vAlign w:val="center"/>
                </w:tcPr>
                <w:p>
                  <w:pPr>
                    <w:pStyle w:val="47"/>
                  </w:pPr>
                  <w:r>
                    <w:rPr>
                      <w:rFonts w:hint="eastAsia"/>
                    </w:rPr>
                    <w:t>泄露</w:t>
                  </w:r>
                </w:p>
              </w:tc>
              <w:tc>
                <w:tcPr>
                  <w:tcW w:w="630" w:type="pct"/>
                  <w:shd w:val="clear" w:color="auto" w:fill="auto"/>
                  <w:vAlign w:val="center"/>
                </w:tcPr>
                <w:p>
                  <w:pPr>
                    <w:pStyle w:val="47"/>
                  </w:pPr>
                  <w:r>
                    <w:rPr>
                      <w:rFonts w:hint="eastAsia"/>
                    </w:rPr>
                    <w:t>地表水</w:t>
                  </w:r>
                </w:p>
              </w:tc>
              <w:tc>
                <w:tcPr>
                  <w:tcW w:w="3743" w:type="pct"/>
                  <w:shd w:val="clear" w:color="auto" w:fill="auto"/>
                  <w:vAlign w:val="center"/>
                </w:tcPr>
                <w:p>
                  <w:pPr>
                    <w:pStyle w:val="47"/>
                  </w:pPr>
                  <w:r>
                    <w:rPr>
                      <w:rFonts w:hint="eastAsia"/>
                    </w:rPr>
                    <w:t>柴油泄露将会随着雨水冲刷进入周边地表水体，导致地表水水质矿物油升高，从而影响地表水水质；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vMerge w:val="continue"/>
                  <w:shd w:val="clear" w:color="auto" w:fill="auto"/>
                  <w:vAlign w:val="center"/>
                </w:tcPr>
                <w:p>
                  <w:pPr>
                    <w:pStyle w:val="47"/>
                  </w:pPr>
                </w:p>
              </w:tc>
              <w:tc>
                <w:tcPr>
                  <w:tcW w:w="630" w:type="pct"/>
                  <w:shd w:val="clear" w:color="auto" w:fill="auto"/>
                  <w:vAlign w:val="center"/>
                </w:tcPr>
                <w:p>
                  <w:pPr>
                    <w:pStyle w:val="47"/>
                  </w:pPr>
                  <w:r>
                    <w:rPr>
                      <w:rFonts w:hint="eastAsia"/>
                    </w:rPr>
                    <w:t>地下水</w:t>
                  </w:r>
                </w:p>
              </w:tc>
              <w:tc>
                <w:tcPr>
                  <w:tcW w:w="3743" w:type="pct"/>
                  <w:shd w:val="clear" w:color="auto" w:fill="auto"/>
                  <w:vAlign w:val="center"/>
                </w:tcPr>
                <w:p>
                  <w:pPr>
                    <w:pStyle w:val="47"/>
                  </w:pPr>
                  <w:r>
                    <w:rPr>
                      <w:rFonts w:hint="eastAsia"/>
                    </w:rPr>
                    <w:t>柴油泄露将会随着雨水等下渗，从而影响地下水水质，导致地下水水质矿物油升高。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vMerge w:val="restart"/>
                  <w:shd w:val="clear" w:color="auto" w:fill="auto"/>
                  <w:vAlign w:val="center"/>
                </w:tcPr>
                <w:p>
                  <w:pPr>
                    <w:pStyle w:val="47"/>
                  </w:pPr>
                  <w:r>
                    <w:rPr>
                      <w:rFonts w:hint="eastAsia"/>
                    </w:rPr>
                    <w:t>火灾</w:t>
                  </w:r>
                </w:p>
              </w:tc>
              <w:tc>
                <w:tcPr>
                  <w:tcW w:w="630" w:type="pct"/>
                  <w:shd w:val="clear" w:color="auto" w:fill="auto"/>
                  <w:vAlign w:val="center"/>
                </w:tcPr>
                <w:p>
                  <w:pPr>
                    <w:pStyle w:val="47"/>
                  </w:pPr>
                  <w:r>
                    <w:rPr>
                      <w:rFonts w:hint="eastAsia"/>
                    </w:rPr>
                    <w:t>热辐射</w:t>
                  </w:r>
                </w:p>
              </w:tc>
              <w:tc>
                <w:tcPr>
                  <w:tcW w:w="3743" w:type="pct"/>
                  <w:shd w:val="clear" w:color="auto" w:fill="auto"/>
                  <w:vAlign w:val="center"/>
                </w:tcPr>
                <w:p>
                  <w:pPr>
                    <w:pStyle w:val="47"/>
                  </w:pPr>
                  <w:r>
                    <w:rPr>
                      <w:rFonts w:hint="eastAsia"/>
                    </w:rPr>
                    <w:t>柴油燃烧速度快，燃烧过程中将释放大量的热，对周边生态环境产生一定影响。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vMerge w:val="continue"/>
                  <w:shd w:val="clear" w:color="auto" w:fill="auto"/>
                  <w:vAlign w:val="center"/>
                </w:tcPr>
                <w:p>
                  <w:pPr>
                    <w:pStyle w:val="47"/>
                  </w:pPr>
                </w:p>
              </w:tc>
              <w:tc>
                <w:tcPr>
                  <w:tcW w:w="630" w:type="pct"/>
                  <w:shd w:val="clear" w:color="auto" w:fill="auto"/>
                  <w:vAlign w:val="center"/>
                </w:tcPr>
                <w:p>
                  <w:pPr>
                    <w:pStyle w:val="47"/>
                  </w:pPr>
                  <w:r>
                    <w:rPr>
                      <w:rFonts w:hint="eastAsia"/>
                    </w:rPr>
                    <w:t>环境空气</w:t>
                  </w:r>
                </w:p>
              </w:tc>
              <w:tc>
                <w:tcPr>
                  <w:tcW w:w="3743" w:type="pct"/>
                  <w:shd w:val="clear" w:color="auto" w:fill="auto"/>
                  <w:vAlign w:val="center"/>
                </w:tcPr>
                <w:p>
                  <w:pPr>
                    <w:pStyle w:val="47"/>
                  </w:pPr>
                  <w:r>
                    <w:rPr>
                      <w:rFonts w:hint="eastAsia"/>
                    </w:rPr>
                    <w:t>柴油燃烧将产生NO</w:t>
                  </w:r>
                  <w:r>
                    <w:rPr>
                      <w:rFonts w:hint="eastAsia"/>
                      <w:vertAlign w:val="subscript"/>
                    </w:rPr>
                    <w:t>X</w:t>
                  </w:r>
                  <w:r>
                    <w:rPr>
                      <w:rFonts w:hint="eastAsia"/>
                    </w:rPr>
                    <w:t>、CO</w:t>
                  </w:r>
                  <w:r>
                    <w:rPr>
                      <w:rFonts w:hint="eastAsia"/>
                      <w:vertAlign w:val="subscript"/>
                    </w:rPr>
                    <w:t>2</w:t>
                  </w:r>
                  <w:r>
                    <w:rPr>
                      <w:rFonts w:hint="eastAsia"/>
                    </w:rPr>
                    <w:t>等污染物，对区域大气环境产生一定影响。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pct"/>
                  <w:shd w:val="clear" w:color="auto" w:fill="auto"/>
                  <w:vAlign w:val="center"/>
                </w:tcPr>
                <w:p>
                  <w:pPr>
                    <w:pStyle w:val="47"/>
                  </w:pPr>
                  <w:r>
                    <w:t>爆炸</w:t>
                  </w:r>
                </w:p>
              </w:tc>
              <w:tc>
                <w:tcPr>
                  <w:tcW w:w="630" w:type="pct"/>
                  <w:shd w:val="clear" w:color="auto" w:fill="auto"/>
                  <w:vAlign w:val="center"/>
                </w:tcPr>
                <w:p>
                  <w:pPr>
                    <w:pStyle w:val="47"/>
                  </w:pPr>
                  <w:r>
                    <w:rPr>
                      <w:rFonts w:hint="eastAsia"/>
                    </w:rPr>
                    <w:t>冲击波</w:t>
                  </w:r>
                </w:p>
              </w:tc>
              <w:tc>
                <w:tcPr>
                  <w:tcW w:w="3743" w:type="pct"/>
                  <w:shd w:val="clear" w:color="auto" w:fill="auto"/>
                  <w:vAlign w:val="center"/>
                </w:tcPr>
                <w:p>
                  <w:pPr>
                    <w:pStyle w:val="47"/>
                  </w:pPr>
                  <w:r>
                    <w:rPr>
                      <w:rFonts w:hint="eastAsia"/>
                    </w:rPr>
                    <w:t>柴油储罐发生爆炸将产生冲击波，从而对周边建构筑物造成破坏。</w:t>
                  </w:r>
                </w:p>
              </w:tc>
            </w:tr>
          </w:tbl>
          <w:p>
            <w:pPr>
              <w:pStyle w:val="37"/>
              <w:numPr>
                <w:ilvl w:val="0"/>
                <w:numId w:val="2"/>
              </w:numPr>
              <w:ind w:firstLineChars="0"/>
            </w:pPr>
            <w:r>
              <w:rPr>
                <w:rFonts w:hint="eastAsia"/>
              </w:rPr>
              <w:t>环境风险防范措施</w:t>
            </w:r>
          </w:p>
          <w:p>
            <w:pPr>
              <w:pStyle w:val="37"/>
              <w:ind w:firstLine="480"/>
            </w:pPr>
            <w:r>
              <w:rPr>
                <w:rFonts w:hint="eastAsia"/>
              </w:rPr>
              <w:t>在柴油储罐区设防火安全设施，并严格按照《危险化学品安全管理条例》的规定进行运输、储存和使用，在储罐区按有关规定要求配置干粉或泡沫灭火器，并对储罐区地面作防渗处理，并设置防火墙，设置围堰、截流渠等。</w:t>
            </w:r>
          </w:p>
          <w:p>
            <w:pPr>
              <w:pStyle w:val="37"/>
              <w:ind w:firstLine="480"/>
            </w:pPr>
            <w:r>
              <w:rPr>
                <w:rFonts w:hint="eastAsia"/>
              </w:rPr>
              <w:t>6、风险事故应急预案</w:t>
            </w:r>
          </w:p>
          <w:p>
            <w:pPr>
              <w:pStyle w:val="37"/>
              <w:ind w:firstLine="480"/>
            </w:pPr>
            <w:r>
              <w:rPr>
                <w:rFonts w:hint="eastAsia"/>
              </w:rPr>
              <w:t>（1）基本原则</w:t>
            </w:r>
          </w:p>
          <w:p>
            <w:pPr>
              <w:pStyle w:val="37"/>
              <w:ind w:firstLine="480"/>
            </w:pPr>
            <w:r>
              <w:t>制定预案的目的是要迅速而有效地将事故损失降低至最小</w:t>
            </w:r>
            <w:r>
              <w:rPr>
                <w:rFonts w:hint="eastAsia"/>
              </w:rPr>
              <w:t>，</w:t>
            </w:r>
            <w:r>
              <w:t>应急预案制定原则如下</w:t>
            </w:r>
            <w:r>
              <w:rPr>
                <w:rFonts w:hint="eastAsia"/>
              </w:rPr>
              <w:t>：</w:t>
            </w:r>
          </w:p>
          <w:p>
            <w:pPr>
              <w:pStyle w:val="37"/>
              <w:ind w:firstLine="480"/>
            </w:pPr>
            <w:r>
              <w:rPr>
                <w:rFonts w:hint="eastAsia"/>
              </w:rPr>
              <w:t>1）按照《建设项目环境风险评价技术导则》相应要求设置应急预案，必须落实其提出的各项要求；</w:t>
            </w:r>
          </w:p>
          <w:p>
            <w:pPr>
              <w:pStyle w:val="37"/>
              <w:ind w:firstLine="480"/>
            </w:pPr>
            <w:r>
              <w:t>2</w:t>
            </w:r>
            <w:r>
              <w:rPr>
                <w:rFonts w:hint="eastAsia"/>
              </w:rPr>
              <w:t>）</w:t>
            </w:r>
            <w:r>
              <w:t>与当地生态环境部门保持畅通的联络渠道</w:t>
            </w:r>
            <w:r>
              <w:rPr>
                <w:rFonts w:hint="eastAsia"/>
              </w:rPr>
              <w:t>，</w:t>
            </w:r>
            <w:r>
              <w:t>随时可获得相关指导</w:t>
            </w:r>
            <w:r>
              <w:rPr>
                <w:rFonts w:hint="eastAsia"/>
              </w:rPr>
              <w:t>、</w:t>
            </w:r>
            <w:r>
              <w:t>监督</w:t>
            </w:r>
            <w:r>
              <w:rPr>
                <w:rFonts w:hint="eastAsia"/>
              </w:rPr>
              <w:t>，</w:t>
            </w:r>
            <w:r>
              <w:t>出现险情时可随时取得支持</w:t>
            </w:r>
            <w:r>
              <w:rPr>
                <w:rFonts w:hint="eastAsia"/>
              </w:rPr>
              <w:t>；</w:t>
            </w:r>
          </w:p>
          <w:p>
            <w:pPr>
              <w:pStyle w:val="37"/>
              <w:ind w:firstLine="480"/>
            </w:pPr>
            <w:r>
              <w:t>3</w:t>
            </w:r>
            <w:r>
              <w:rPr>
                <w:rFonts w:hint="eastAsia"/>
              </w:rPr>
              <w:t>）</w:t>
            </w:r>
            <w:r>
              <w:t>确定救援组织</w:t>
            </w:r>
            <w:r>
              <w:rPr>
                <w:rFonts w:hint="eastAsia"/>
              </w:rPr>
              <w:t>，</w:t>
            </w:r>
            <w:r>
              <w:t>队伍和联络方式</w:t>
            </w:r>
            <w:r>
              <w:rPr>
                <w:rFonts w:hint="eastAsia"/>
              </w:rPr>
              <w:t>；</w:t>
            </w:r>
          </w:p>
          <w:p>
            <w:pPr>
              <w:pStyle w:val="37"/>
              <w:ind w:firstLine="480"/>
            </w:pPr>
            <w:r>
              <w:t>4</w:t>
            </w:r>
            <w:r>
              <w:rPr>
                <w:rFonts w:hint="eastAsia"/>
              </w:rPr>
              <w:t>）</w:t>
            </w:r>
            <w:r>
              <w:t>制定事故类型</w:t>
            </w:r>
            <w:r>
              <w:rPr>
                <w:rFonts w:hint="eastAsia"/>
              </w:rPr>
              <w:t>、等级和相应的应急相应程序；</w:t>
            </w:r>
          </w:p>
          <w:p>
            <w:pPr>
              <w:pStyle w:val="37"/>
              <w:ind w:firstLine="480"/>
            </w:pPr>
            <w:r>
              <w:rPr>
                <w:rFonts w:hint="eastAsia"/>
              </w:rPr>
              <w:t>5）配备必要的救援防毒器具及防护用品；</w:t>
            </w:r>
          </w:p>
          <w:p>
            <w:pPr>
              <w:pStyle w:val="37"/>
              <w:ind w:firstLine="480"/>
            </w:pPr>
            <w:r>
              <w:rPr>
                <w:rFonts w:hint="eastAsia"/>
              </w:rPr>
              <w:t>6）对生产系统制定应急状态切断及自动报警保护程序；</w:t>
            </w:r>
          </w:p>
          <w:p>
            <w:pPr>
              <w:pStyle w:val="37"/>
              <w:ind w:firstLine="480"/>
            </w:pPr>
            <w:r>
              <w:rPr>
                <w:rFonts w:hint="eastAsia"/>
              </w:rPr>
              <w:t>7）岗位培训和演习，设置事故应急学习手册及报告；</w:t>
            </w:r>
          </w:p>
          <w:p>
            <w:pPr>
              <w:pStyle w:val="37"/>
              <w:ind w:firstLine="480"/>
            </w:pPr>
            <w:r>
              <w:rPr>
                <w:rFonts w:hint="eastAsia"/>
              </w:rPr>
              <w:t>8）制定区域联防救援方案，站场外受影响人群的疏散、撤离方案，建立与当地政府、消防、环保和医疗救助等部门的有效联系途径，以便风险事故发生时得到及时救援；</w:t>
            </w:r>
          </w:p>
          <w:p>
            <w:pPr>
              <w:pStyle w:val="37"/>
              <w:ind w:firstLine="480"/>
            </w:pPr>
            <w:r>
              <w:rPr>
                <w:rFonts w:hint="eastAsia"/>
              </w:rPr>
              <w:t>9）明确企业、区域、地方政府环境风险应急体系，体现分级响应、区域联动的原则，与地方政府突发环境事件应急预案相衔接，明确分级响应程序。</w:t>
            </w:r>
          </w:p>
          <w:p>
            <w:pPr>
              <w:pStyle w:val="37"/>
              <w:ind w:firstLine="480"/>
            </w:pPr>
            <w:r>
              <w:rPr>
                <w:rFonts w:hint="eastAsia"/>
              </w:rPr>
              <w:t>（2）应急要求</w:t>
            </w:r>
          </w:p>
          <w:p>
            <w:pPr>
              <w:pStyle w:val="37"/>
              <w:ind w:firstLine="480"/>
            </w:pPr>
            <w:r>
              <w:rPr>
                <w:rFonts w:hint="eastAsia"/>
              </w:rPr>
              <w:t>针对工程可能发生的风险事故，制定风险事故应急预案，宣贯全体员工，并进行必要的演练，以保证应急预案有效可行。应急预案主要内容应根据下表详细编制，经修订完善，由企业法人批准公布实施。</w:t>
            </w:r>
          </w:p>
          <w:p>
            <w:pPr>
              <w:pStyle w:val="36"/>
            </w:pPr>
          </w:p>
          <w:p>
            <w:pPr>
              <w:pStyle w:val="36"/>
            </w:pPr>
          </w:p>
          <w:p>
            <w:pPr>
              <w:pStyle w:val="36"/>
            </w:pPr>
            <w:r>
              <w:rPr>
                <w:rFonts w:hint="eastAsia"/>
              </w:rPr>
              <w:t>表7-19</w:t>
            </w:r>
            <w:r>
              <w:t>应急预案内容</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2326"/>
              <w:gridCol w:w="5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序号</w:t>
                  </w:r>
                </w:p>
              </w:tc>
              <w:tc>
                <w:tcPr>
                  <w:tcW w:w="2442" w:type="dxa"/>
                  <w:vAlign w:val="center"/>
                </w:tcPr>
                <w:p>
                  <w:pPr>
                    <w:pStyle w:val="47"/>
                  </w:pPr>
                  <w:r>
                    <w:t>项目</w:t>
                  </w:r>
                </w:p>
              </w:tc>
              <w:tc>
                <w:tcPr>
                  <w:tcW w:w="6332" w:type="dxa"/>
                  <w:vAlign w:val="center"/>
                </w:tcPr>
                <w:p>
                  <w:pPr>
                    <w:pStyle w:val="47"/>
                  </w:pPr>
                  <w: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92" w:type="dxa"/>
                  <w:vAlign w:val="center"/>
                </w:tcPr>
                <w:p>
                  <w:pPr>
                    <w:pStyle w:val="47"/>
                  </w:pPr>
                  <w:r>
                    <w:t>1</w:t>
                  </w:r>
                </w:p>
              </w:tc>
              <w:tc>
                <w:tcPr>
                  <w:tcW w:w="2442" w:type="dxa"/>
                  <w:vAlign w:val="center"/>
                </w:tcPr>
                <w:p>
                  <w:pPr>
                    <w:pStyle w:val="47"/>
                  </w:pPr>
                  <w:r>
                    <w:t>应急计划区</w:t>
                  </w:r>
                </w:p>
              </w:tc>
              <w:tc>
                <w:tcPr>
                  <w:tcW w:w="6332" w:type="dxa"/>
                  <w:vAlign w:val="center"/>
                </w:tcPr>
                <w:p>
                  <w:pPr>
                    <w:pStyle w:val="47"/>
                  </w:pPr>
                  <w:r>
                    <w:t>危险目标：</w:t>
                  </w:r>
                  <w:r>
                    <w:rPr>
                      <w:rFonts w:hint="eastAsia"/>
                    </w:rPr>
                    <w:t>项目周围</w:t>
                  </w:r>
                  <w:r>
                    <w:t>3</w:t>
                  </w:r>
                  <w:r>
                    <w:rPr>
                      <w:rFonts w:hint="eastAsia"/>
                    </w:rPr>
                    <w:t>km范围内的人群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2</w:t>
                  </w:r>
                </w:p>
              </w:tc>
              <w:tc>
                <w:tcPr>
                  <w:tcW w:w="2442" w:type="dxa"/>
                  <w:vAlign w:val="center"/>
                </w:tcPr>
                <w:p>
                  <w:pPr>
                    <w:pStyle w:val="47"/>
                  </w:pPr>
                  <w:r>
                    <w:t>应急组织机构、人员</w:t>
                  </w:r>
                </w:p>
              </w:tc>
              <w:tc>
                <w:tcPr>
                  <w:tcW w:w="6332" w:type="dxa"/>
                  <w:vAlign w:val="center"/>
                </w:tcPr>
                <w:p>
                  <w:pPr>
                    <w:pStyle w:val="47"/>
                  </w:pPr>
                  <w:r>
                    <w:rPr>
                      <w:rFonts w:hint="eastAsia"/>
                    </w:rPr>
                    <w:t>建立厂区</w:t>
                  </w:r>
                  <w:r>
                    <w:t>应急组织机构、人员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3</w:t>
                  </w:r>
                </w:p>
              </w:tc>
              <w:tc>
                <w:tcPr>
                  <w:tcW w:w="2442" w:type="dxa"/>
                  <w:vAlign w:val="center"/>
                </w:tcPr>
                <w:p>
                  <w:pPr>
                    <w:pStyle w:val="47"/>
                  </w:pPr>
                  <w:r>
                    <w:t>预案分级影响条件</w:t>
                  </w:r>
                </w:p>
              </w:tc>
              <w:tc>
                <w:tcPr>
                  <w:tcW w:w="6332" w:type="dxa"/>
                  <w:vAlign w:val="center"/>
                </w:tcPr>
                <w:p>
                  <w:pPr>
                    <w:pStyle w:val="47"/>
                  </w:pPr>
                  <w:r>
                    <w:t>规定预案的级别和分级影响程序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4</w:t>
                  </w:r>
                </w:p>
              </w:tc>
              <w:tc>
                <w:tcPr>
                  <w:tcW w:w="2442" w:type="dxa"/>
                  <w:vAlign w:val="center"/>
                </w:tcPr>
                <w:p>
                  <w:pPr>
                    <w:pStyle w:val="47"/>
                  </w:pPr>
                  <w:r>
                    <w:t>应急救援保障</w:t>
                  </w:r>
                </w:p>
              </w:tc>
              <w:tc>
                <w:tcPr>
                  <w:tcW w:w="6332" w:type="dxa"/>
                  <w:vAlign w:val="center"/>
                </w:tcPr>
                <w:p>
                  <w:pPr>
                    <w:pStyle w:val="47"/>
                  </w:pPr>
                  <w:r>
                    <w:t>应急设施、设备与器材等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92" w:type="dxa"/>
                  <w:vAlign w:val="center"/>
                </w:tcPr>
                <w:p>
                  <w:pPr>
                    <w:pStyle w:val="47"/>
                  </w:pPr>
                  <w:r>
                    <w:t>5</w:t>
                  </w:r>
                </w:p>
              </w:tc>
              <w:tc>
                <w:tcPr>
                  <w:tcW w:w="2442" w:type="dxa"/>
                  <w:vAlign w:val="center"/>
                </w:tcPr>
                <w:p>
                  <w:pPr>
                    <w:pStyle w:val="47"/>
                  </w:pPr>
                  <w:r>
                    <w:t>报警、通讯联络方式</w:t>
                  </w:r>
                </w:p>
              </w:tc>
              <w:tc>
                <w:tcPr>
                  <w:tcW w:w="6332" w:type="dxa"/>
                  <w:vAlign w:val="center"/>
                </w:tcPr>
                <w:p>
                  <w:pPr>
                    <w:pStyle w:val="47"/>
                  </w:pPr>
                  <w:r>
                    <w:t>规定应急状态下的报警通讯方式、通知方式和交通保障、管制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6</w:t>
                  </w:r>
                </w:p>
              </w:tc>
              <w:tc>
                <w:tcPr>
                  <w:tcW w:w="2442" w:type="dxa"/>
                  <w:vAlign w:val="center"/>
                </w:tcPr>
                <w:p>
                  <w:pPr>
                    <w:pStyle w:val="47"/>
                  </w:pPr>
                  <w:r>
                    <w:t>应急环境监测、抢救、救援及控制措施</w:t>
                  </w:r>
                </w:p>
              </w:tc>
              <w:tc>
                <w:tcPr>
                  <w:tcW w:w="6332" w:type="dxa"/>
                  <w:vAlign w:val="center"/>
                </w:tcPr>
                <w:p>
                  <w:pPr>
                    <w:pStyle w:val="47"/>
                  </w:pPr>
                  <w:r>
                    <w:t>有专业队伍负责对事故现场进行侦察监测，对事故性质、参数后果进行评估，为指挥部门提供决策依据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7</w:t>
                  </w:r>
                </w:p>
              </w:tc>
              <w:tc>
                <w:tcPr>
                  <w:tcW w:w="2442" w:type="dxa"/>
                  <w:vAlign w:val="center"/>
                </w:tcPr>
                <w:p>
                  <w:pPr>
                    <w:pStyle w:val="47"/>
                  </w:pPr>
                  <w:r>
                    <w:t>应急监测、防护措施器材</w:t>
                  </w:r>
                </w:p>
              </w:tc>
              <w:tc>
                <w:tcPr>
                  <w:tcW w:w="6332" w:type="dxa"/>
                  <w:vAlign w:val="center"/>
                </w:tcPr>
                <w:p>
                  <w:pPr>
                    <w:pStyle w:val="47"/>
                  </w:pPr>
                  <w:r>
                    <w:t>事故现场、临近区域、控制防爆区域、控制清除污染措施及相应设施。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8</w:t>
                  </w:r>
                </w:p>
              </w:tc>
              <w:tc>
                <w:tcPr>
                  <w:tcW w:w="2442" w:type="dxa"/>
                  <w:vAlign w:val="center"/>
                </w:tcPr>
                <w:p>
                  <w:pPr>
                    <w:pStyle w:val="47"/>
                  </w:pPr>
                  <w:r>
                    <w:t>人员紧急撤离、疏散、撤离组织计划</w:t>
                  </w:r>
                </w:p>
              </w:tc>
              <w:tc>
                <w:tcPr>
                  <w:tcW w:w="6332" w:type="dxa"/>
                  <w:vAlign w:val="center"/>
                </w:tcPr>
                <w:p>
                  <w:pPr>
                    <w:pStyle w:val="47"/>
                  </w:pPr>
                  <w:r>
                    <w:t>事故现场、临近区、受事故影响的区域人员及公众对受损程度控制规定，撤离组织计划及救护，医疗救护与公众健康。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9</w:t>
                  </w:r>
                </w:p>
              </w:tc>
              <w:tc>
                <w:tcPr>
                  <w:tcW w:w="2442" w:type="dxa"/>
                  <w:vAlign w:val="center"/>
                </w:tcPr>
                <w:p>
                  <w:pPr>
                    <w:pStyle w:val="47"/>
                  </w:pPr>
                  <w:r>
                    <w:t>事故应急救援关闭程序与恢复措施</w:t>
                  </w:r>
                </w:p>
              </w:tc>
              <w:tc>
                <w:tcPr>
                  <w:tcW w:w="6332" w:type="dxa"/>
                  <w:vAlign w:val="center"/>
                </w:tcPr>
                <w:p>
                  <w:pPr>
                    <w:pStyle w:val="47"/>
                  </w:pPr>
                  <w:r>
                    <w:t>规定应急状态终止程序。事故现场善后处理，恢复措施。临近区域解除事故警戒及善后恢复措施。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10</w:t>
                  </w:r>
                </w:p>
              </w:tc>
              <w:tc>
                <w:tcPr>
                  <w:tcW w:w="2442" w:type="dxa"/>
                  <w:vAlign w:val="center"/>
                </w:tcPr>
                <w:p>
                  <w:pPr>
                    <w:pStyle w:val="47"/>
                  </w:pPr>
                  <w:r>
                    <w:t>应急培训计划</w:t>
                  </w:r>
                </w:p>
              </w:tc>
              <w:tc>
                <w:tcPr>
                  <w:tcW w:w="6332" w:type="dxa"/>
                  <w:vAlign w:val="center"/>
                </w:tcPr>
                <w:p>
                  <w:pPr>
                    <w:pStyle w:val="47"/>
                  </w:pPr>
                  <w:r>
                    <w:t>应急计划制定后，平时安排人员培训与演练。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t>11</w:t>
                  </w:r>
                </w:p>
              </w:tc>
              <w:tc>
                <w:tcPr>
                  <w:tcW w:w="2442" w:type="dxa"/>
                  <w:vAlign w:val="center"/>
                </w:tcPr>
                <w:p>
                  <w:pPr>
                    <w:pStyle w:val="47"/>
                  </w:pPr>
                  <w:r>
                    <w:t>公众教育和信息</w:t>
                  </w:r>
                </w:p>
              </w:tc>
              <w:tc>
                <w:tcPr>
                  <w:tcW w:w="6332" w:type="dxa"/>
                  <w:vAlign w:val="center"/>
                </w:tcPr>
                <w:p>
                  <w:pPr>
                    <w:pStyle w:val="47"/>
                  </w:pPr>
                  <w:r>
                    <w:t>对临近地区开展公众教育，培训和发布有关信息。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rPr>
                      <w:rFonts w:hint="eastAsia"/>
                    </w:rPr>
                    <w:t>1</w:t>
                  </w:r>
                  <w:r>
                    <w:t>2</w:t>
                  </w:r>
                </w:p>
              </w:tc>
              <w:tc>
                <w:tcPr>
                  <w:tcW w:w="2442" w:type="dxa"/>
                  <w:vAlign w:val="center"/>
                </w:tcPr>
                <w:p>
                  <w:pPr>
                    <w:pStyle w:val="47"/>
                  </w:pPr>
                  <w:r>
                    <w:t>记录和报告</w:t>
                  </w:r>
                </w:p>
              </w:tc>
              <w:tc>
                <w:tcPr>
                  <w:tcW w:w="6332" w:type="dxa"/>
                  <w:vAlign w:val="center"/>
                </w:tcPr>
                <w:p>
                  <w:pPr>
                    <w:pStyle w:val="47"/>
                  </w:pPr>
                  <w:r>
                    <w:t>设置应急事故专门记录</w:t>
                  </w:r>
                  <w:r>
                    <w:rPr>
                      <w:rFonts w:hint="eastAsia"/>
                    </w:rPr>
                    <w:t>，</w:t>
                  </w:r>
                  <w:r>
                    <w:t>建立档案盒专门报告制度</w:t>
                  </w:r>
                  <w:r>
                    <w:rPr>
                      <w:rFonts w:hint="eastAsia"/>
                    </w:rPr>
                    <w:t>，</w:t>
                  </w:r>
                  <w:r>
                    <w:t>设置专门部门负责管理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vAlign w:val="center"/>
                </w:tcPr>
                <w:p>
                  <w:pPr>
                    <w:pStyle w:val="47"/>
                  </w:pPr>
                  <w:r>
                    <w:rPr>
                      <w:rFonts w:hint="eastAsia"/>
                    </w:rPr>
                    <w:t>1</w:t>
                  </w:r>
                  <w:r>
                    <w:t>3</w:t>
                  </w:r>
                </w:p>
              </w:tc>
              <w:tc>
                <w:tcPr>
                  <w:tcW w:w="2442" w:type="dxa"/>
                  <w:vAlign w:val="center"/>
                </w:tcPr>
                <w:p>
                  <w:pPr>
                    <w:pStyle w:val="47"/>
                  </w:pPr>
                  <w:r>
                    <w:t>附件</w:t>
                  </w:r>
                </w:p>
              </w:tc>
              <w:tc>
                <w:tcPr>
                  <w:tcW w:w="6332" w:type="dxa"/>
                  <w:vAlign w:val="center"/>
                </w:tcPr>
                <w:p>
                  <w:pPr>
                    <w:pStyle w:val="47"/>
                  </w:pPr>
                  <w:r>
                    <w:t>与应急事故有关的多种附件材料的准备和形成</w:t>
                  </w:r>
                </w:p>
              </w:tc>
            </w:tr>
          </w:tbl>
          <w:p>
            <w:pPr>
              <w:pStyle w:val="37"/>
              <w:ind w:firstLine="480"/>
            </w:pPr>
            <w:r>
              <w:rPr>
                <w:rFonts w:hint="eastAsia"/>
              </w:rPr>
              <w:t>6、环境风险分析结论</w:t>
            </w:r>
          </w:p>
          <w:p>
            <w:pPr>
              <w:pStyle w:val="37"/>
              <w:ind w:firstLine="480"/>
            </w:pPr>
            <w:r>
              <w:rPr>
                <w:rFonts w:hint="eastAsia"/>
              </w:rPr>
              <w:t>本项目环境风险事故主要为柴油在使用过程中发生泄漏、火灾。通过制定风险防范措施，制定安全管理规范，加强员工的安全、环保知识和风险事故安全教育，提高员工的风险防范意识，掌握本职工作所需的环保知识和技能，严格遵守环保规章制度和操作规程，了解其作业场所和工作中存在的环境风险以及企业所采取的防范措施和环境突发事故应急措施，以减少环境风险发生的概率。因此，本项目通过落实上述环境风险防范措施，其环境风险发生概率可进一步降低，其环境风险可控制在可接受范围。</w:t>
            </w:r>
          </w:p>
          <w:p>
            <w:pPr>
              <w:pStyle w:val="37"/>
              <w:ind w:firstLine="480"/>
            </w:pPr>
            <w:r>
              <w:rPr>
                <w:rFonts w:hint="eastAsia"/>
              </w:rPr>
              <w:t>建设项目环境风险简单分析内容表如下：</w:t>
            </w:r>
          </w:p>
          <w:p>
            <w:pPr>
              <w:pStyle w:val="54"/>
            </w:pPr>
            <w:r>
              <w:rPr>
                <w:rFonts w:hint="eastAsia"/>
              </w:rPr>
              <w:t>表7-20建设项目环境风险简单分析内容表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1143"/>
              <w:gridCol w:w="1599"/>
              <w:gridCol w:w="1491"/>
              <w:gridCol w:w="1495"/>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建设项目名称</w:t>
                  </w:r>
                </w:p>
              </w:tc>
              <w:tc>
                <w:tcPr>
                  <w:tcW w:w="3986" w:type="pct"/>
                  <w:gridSpan w:val="5"/>
                  <w:shd w:val="clear" w:color="auto" w:fill="auto"/>
                  <w:vAlign w:val="center"/>
                </w:tcPr>
                <w:p>
                  <w:pPr>
                    <w:pStyle w:val="47"/>
                  </w:pPr>
                  <w:r>
                    <w:rPr>
                      <w:rFonts w:hint="eastAsia"/>
                    </w:rPr>
                    <w:t>年产</w:t>
                  </w:r>
                  <w:r>
                    <w:t>5万吨高端电磁选钾长石生产线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建设地点</w:t>
                  </w:r>
                </w:p>
              </w:tc>
              <w:tc>
                <w:tcPr>
                  <w:tcW w:w="631" w:type="pct"/>
                  <w:shd w:val="clear" w:color="auto" w:fill="auto"/>
                  <w:vAlign w:val="center"/>
                </w:tcPr>
                <w:p>
                  <w:pPr>
                    <w:pStyle w:val="47"/>
                  </w:pPr>
                  <w:r>
                    <w:rPr>
                      <w:rFonts w:hint="eastAsia"/>
                    </w:rPr>
                    <w:t>（四川省）省</w:t>
                  </w:r>
                </w:p>
              </w:tc>
              <w:tc>
                <w:tcPr>
                  <w:tcW w:w="882" w:type="pct"/>
                  <w:shd w:val="clear" w:color="auto" w:fill="auto"/>
                  <w:vAlign w:val="center"/>
                </w:tcPr>
                <w:p>
                  <w:pPr>
                    <w:pStyle w:val="47"/>
                  </w:pPr>
                  <w:r>
                    <w:rPr>
                      <w:rFonts w:hint="eastAsia"/>
                    </w:rPr>
                    <w:t>（乐山市）市</w:t>
                  </w:r>
                </w:p>
              </w:tc>
              <w:tc>
                <w:tcPr>
                  <w:tcW w:w="823" w:type="pct"/>
                  <w:shd w:val="clear" w:color="auto" w:fill="auto"/>
                  <w:vAlign w:val="center"/>
                </w:tcPr>
                <w:p>
                  <w:pPr>
                    <w:pStyle w:val="47"/>
                  </w:pPr>
                  <w:r>
                    <w:rPr>
                      <w:rFonts w:hint="eastAsia"/>
                    </w:rPr>
                    <w:t>（/）区</w:t>
                  </w:r>
                </w:p>
              </w:tc>
              <w:tc>
                <w:tcPr>
                  <w:tcW w:w="825" w:type="pct"/>
                  <w:shd w:val="clear" w:color="auto" w:fill="auto"/>
                  <w:vAlign w:val="center"/>
                </w:tcPr>
                <w:p>
                  <w:pPr>
                    <w:pStyle w:val="47"/>
                  </w:pPr>
                  <w:r>
                    <w:rPr>
                      <w:rFonts w:hint="eastAsia"/>
                    </w:rPr>
                    <w:t>（峨边彝族自治）县</w:t>
                  </w:r>
                </w:p>
              </w:tc>
              <w:tc>
                <w:tcPr>
                  <w:tcW w:w="825" w:type="pct"/>
                  <w:shd w:val="clear" w:color="auto" w:fill="auto"/>
                  <w:vAlign w:val="center"/>
                </w:tcPr>
                <w:p>
                  <w:pPr>
                    <w:pStyle w:val="47"/>
                  </w:pPr>
                  <w:r>
                    <w:rPr>
                      <w:rFonts w:hint="eastAsia"/>
                    </w:rPr>
                    <w:t>（峨边工业集中区）园区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地理坐标</w:t>
                  </w:r>
                </w:p>
              </w:tc>
              <w:tc>
                <w:tcPr>
                  <w:tcW w:w="631" w:type="pct"/>
                  <w:shd w:val="clear" w:color="auto" w:fill="auto"/>
                  <w:vAlign w:val="center"/>
                </w:tcPr>
                <w:p>
                  <w:pPr>
                    <w:pStyle w:val="47"/>
                  </w:pPr>
                  <w:r>
                    <w:rPr>
                      <w:rFonts w:hint="eastAsia"/>
                    </w:rPr>
                    <w:t>经度</w:t>
                  </w:r>
                </w:p>
              </w:tc>
              <w:tc>
                <w:tcPr>
                  <w:tcW w:w="882" w:type="pct"/>
                  <w:shd w:val="clear" w:color="auto" w:fill="auto"/>
                  <w:vAlign w:val="center"/>
                </w:tcPr>
                <w:p>
                  <w:pPr>
                    <w:pStyle w:val="47"/>
                  </w:pPr>
                  <w:r>
                    <w:rPr>
                      <w:sz w:val="24"/>
                    </w:rPr>
                    <w:t>103.490109°E</w:t>
                  </w:r>
                </w:p>
              </w:tc>
              <w:tc>
                <w:tcPr>
                  <w:tcW w:w="823" w:type="pct"/>
                  <w:shd w:val="clear" w:color="auto" w:fill="auto"/>
                  <w:vAlign w:val="center"/>
                </w:tcPr>
                <w:p>
                  <w:pPr>
                    <w:pStyle w:val="47"/>
                  </w:pPr>
                  <w:r>
                    <w:rPr>
                      <w:rFonts w:hint="eastAsia"/>
                    </w:rPr>
                    <w:t>纬度</w:t>
                  </w:r>
                </w:p>
              </w:tc>
              <w:tc>
                <w:tcPr>
                  <w:tcW w:w="1650" w:type="pct"/>
                  <w:gridSpan w:val="2"/>
                  <w:shd w:val="clear" w:color="auto" w:fill="auto"/>
                  <w:vAlign w:val="center"/>
                </w:tcPr>
                <w:p>
                  <w:pPr>
                    <w:pStyle w:val="47"/>
                  </w:pPr>
                  <w:r>
                    <w:rPr>
                      <w:sz w:val="24"/>
                    </w:rPr>
                    <w:t>29.279235°N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4" w:type="pct"/>
                  <w:shd w:val="clear" w:color="auto" w:fill="auto"/>
                  <w:vAlign w:val="center"/>
                </w:tcPr>
                <w:p>
                  <w:pPr>
                    <w:pStyle w:val="47"/>
                  </w:pPr>
                  <w:r>
                    <w:rPr>
                      <w:rFonts w:hint="eastAsia"/>
                    </w:rPr>
                    <w:t>主要危险物质及分布</w:t>
                  </w:r>
                </w:p>
              </w:tc>
              <w:tc>
                <w:tcPr>
                  <w:tcW w:w="3986" w:type="pct"/>
                  <w:gridSpan w:val="5"/>
                  <w:shd w:val="clear" w:color="auto" w:fill="auto"/>
                  <w:vAlign w:val="center"/>
                </w:tcPr>
                <w:p>
                  <w:pPr>
                    <w:pStyle w:val="47"/>
                  </w:pPr>
                  <w:r>
                    <w:rPr>
                      <w:rFonts w:hint="eastAsia"/>
                    </w:rPr>
                    <w:t>柴油储罐区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环境影响途径及危害后果（大气、地表水、地下水等）</w:t>
                  </w:r>
                </w:p>
              </w:tc>
              <w:tc>
                <w:tcPr>
                  <w:tcW w:w="3986" w:type="pct"/>
                  <w:gridSpan w:val="5"/>
                  <w:shd w:val="clear" w:color="auto" w:fill="auto"/>
                  <w:vAlign w:val="center"/>
                </w:tcPr>
                <w:p>
                  <w:pPr>
                    <w:pStyle w:val="47"/>
                  </w:pPr>
                  <w:r>
                    <w:rPr>
                      <w:rFonts w:hint="eastAsia"/>
                    </w:rPr>
                    <w:t>大气、地表水、地下水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风险防范措施要求</w:t>
                  </w:r>
                </w:p>
              </w:tc>
              <w:tc>
                <w:tcPr>
                  <w:tcW w:w="3986" w:type="pct"/>
                  <w:gridSpan w:val="5"/>
                  <w:shd w:val="clear" w:color="auto" w:fill="auto"/>
                  <w:vAlign w:val="center"/>
                </w:tcPr>
                <w:p>
                  <w:pPr>
                    <w:pStyle w:val="47"/>
                  </w:pPr>
                  <w:r>
                    <w:rPr>
                      <w:rFonts w:hint="eastAsia"/>
                    </w:rPr>
                    <w:t>在柴油储罐区设防火安全设施，并严格按照《危险化学品安全管理条例》的规定进行运输、储存和使用，在储罐区按有关规定要求配置干粉或泡沫灭火器，并对储罐区地面作防渗处理，并设置防火墙，设置围堰、截流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4" w:type="pct"/>
                  <w:shd w:val="clear" w:color="auto" w:fill="auto"/>
                  <w:vAlign w:val="center"/>
                </w:tcPr>
                <w:p>
                  <w:pPr>
                    <w:pStyle w:val="47"/>
                  </w:pPr>
                  <w:r>
                    <w:rPr>
                      <w:rFonts w:hint="eastAsia"/>
                    </w:rPr>
                    <w:t>填表说明（列出项目相关信息及评价说明）</w:t>
                  </w:r>
                </w:p>
              </w:tc>
              <w:tc>
                <w:tcPr>
                  <w:tcW w:w="3986" w:type="pct"/>
                  <w:gridSpan w:val="5"/>
                  <w:shd w:val="clear" w:color="auto" w:fill="auto"/>
                  <w:vAlign w:val="center"/>
                </w:tcPr>
                <w:p>
                  <w:pPr>
                    <w:pStyle w:val="47"/>
                  </w:pPr>
                  <w:r>
                    <w:rPr>
                      <w:rFonts w:hint="eastAsia"/>
                    </w:rPr>
                    <w:t>无</w:t>
                  </w:r>
                </w:p>
              </w:tc>
            </w:tr>
          </w:tbl>
          <w:p>
            <w:pPr>
              <w:pStyle w:val="4"/>
              <w:ind w:firstLine="422"/>
              <w:jc w:val="center"/>
              <w:rPr>
                <w:bCs w:val="0"/>
                <w:kern w:val="2"/>
                <w:sz w:val="21"/>
                <w:szCs w:val="24"/>
              </w:rPr>
            </w:pPr>
            <w:r>
              <w:rPr>
                <w:rFonts w:hint="eastAsia"/>
                <w:bCs w:val="0"/>
                <w:kern w:val="2"/>
                <w:sz w:val="21"/>
                <w:szCs w:val="24"/>
              </w:rPr>
              <w:t>表7-21  建设项目环境风险影响评价自查表</w:t>
            </w:r>
          </w:p>
          <w:tbl>
            <w:tblPr>
              <w:tblStyle w:val="26"/>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1114"/>
              <w:gridCol w:w="1344"/>
              <w:gridCol w:w="824"/>
              <w:gridCol w:w="820"/>
              <w:gridCol w:w="50"/>
              <w:gridCol w:w="772"/>
              <w:gridCol w:w="152"/>
              <w:gridCol w:w="670"/>
              <w:gridCol w:w="40"/>
              <w:gridCol w:w="629"/>
              <w:gridCol w:w="707"/>
              <w:gridCol w:w="706"/>
              <w:gridCol w:w="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2835" w:type="dxa"/>
                  <w:gridSpan w:val="3"/>
                  <w:vAlign w:val="center"/>
                </w:tcPr>
                <w:p>
                  <w:pPr>
                    <w:jc w:val="center"/>
                    <w:rPr>
                      <w:sz w:val="18"/>
                      <w:szCs w:val="18"/>
                    </w:rPr>
                  </w:pPr>
                  <w:r>
                    <w:rPr>
                      <w:rFonts w:hint="eastAsia"/>
                      <w:sz w:val="18"/>
                      <w:szCs w:val="18"/>
                    </w:rPr>
                    <w:t>工作内容</w:t>
                  </w:r>
                </w:p>
              </w:tc>
              <w:tc>
                <w:tcPr>
                  <w:tcW w:w="5954" w:type="dxa"/>
                  <w:gridSpan w:val="11"/>
                  <w:vAlign w:val="center"/>
                </w:tcPr>
                <w:p>
                  <w:pPr>
                    <w:jc w:val="center"/>
                    <w:rPr>
                      <w:sz w:val="18"/>
                      <w:szCs w:val="18"/>
                    </w:rPr>
                  </w:pPr>
                  <w:r>
                    <w:rPr>
                      <w:rFonts w:hint="eastAsia"/>
                      <w:sz w:val="18"/>
                      <w:szCs w:val="18"/>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65" w:type="dxa"/>
                  <w:vMerge w:val="restart"/>
                  <w:vAlign w:val="center"/>
                </w:tcPr>
                <w:p>
                  <w:pPr>
                    <w:jc w:val="center"/>
                    <w:rPr>
                      <w:sz w:val="18"/>
                      <w:szCs w:val="18"/>
                    </w:rPr>
                  </w:pPr>
                  <w:r>
                    <w:rPr>
                      <w:rFonts w:hint="eastAsia"/>
                      <w:sz w:val="18"/>
                      <w:szCs w:val="18"/>
                    </w:rPr>
                    <w:t>风险调查</w:t>
                  </w:r>
                </w:p>
              </w:tc>
              <w:tc>
                <w:tcPr>
                  <w:tcW w:w="1120" w:type="dxa"/>
                  <w:vMerge w:val="restart"/>
                  <w:vAlign w:val="center"/>
                </w:tcPr>
                <w:p>
                  <w:pPr>
                    <w:jc w:val="center"/>
                    <w:rPr>
                      <w:sz w:val="18"/>
                      <w:szCs w:val="18"/>
                    </w:rPr>
                  </w:pPr>
                  <w:r>
                    <w:rPr>
                      <w:rFonts w:hint="eastAsia"/>
                      <w:sz w:val="18"/>
                      <w:szCs w:val="18"/>
                    </w:rPr>
                    <w:t>危险物质</w:t>
                  </w:r>
                </w:p>
              </w:tc>
              <w:tc>
                <w:tcPr>
                  <w:tcW w:w="1350" w:type="dxa"/>
                  <w:vAlign w:val="center"/>
                </w:tcPr>
                <w:p>
                  <w:pPr>
                    <w:jc w:val="center"/>
                    <w:rPr>
                      <w:sz w:val="18"/>
                      <w:szCs w:val="18"/>
                    </w:rPr>
                  </w:pPr>
                  <w:r>
                    <w:rPr>
                      <w:rFonts w:hint="eastAsia"/>
                      <w:sz w:val="18"/>
                      <w:szCs w:val="18"/>
                    </w:rPr>
                    <w:t>名称</w:t>
                  </w:r>
                </w:p>
              </w:tc>
              <w:tc>
                <w:tcPr>
                  <w:tcW w:w="825" w:type="dxa"/>
                  <w:vAlign w:val="center"/>
                </w:tcPr>
                <w:p>
                  <w:pPr>
                    <w:jc w:val="center"/>
                    <w:rPr>
                      <w:sz w:val="18"/>
                      <w:szCs w:val="18"/>
                    </w:rPr>
                  </w:pPr>
                  <w:r>
                    <w:rPr>
                      <w:rFonts w:hint="eastAsia"/>
                      <w:sz w:val="18"/>
                      <w:szCs w:val="18"/>
                    </w:rPr>
                    <w:t>柴油</w:t>
                  </w:r>
                </w:p>
              </w:tc>
              <w:tc>
                <w:tcPr>
                  <w:tcW w:w="825" w:type="dxa"/>
                  <w:vAlign w:val="center"/>
                </w:tcPr>
                <w:p>
                  <w:pPr>
                    <w:jc w:val="center"/>
                    <w:rPr>
                      <w:sz w:val="18"/>
                      <w:szCs w:val="18"/>
                    </w:rPr>
                  </w:pPr>
                </w:p>
              </w:tc>
              <w:tc>
                <w:tcPr>
                  <w:tcW w:w="825" w:type="dxa"/>
                  <w:gridSpan w:val="2"/>
                  <w:vAlign w:val="center"/>
                </w:tcPr>
                <w:p>
                  <w:pPr>
                    <w:jc w:val="center"/>
                    <w:rPr>
                      <w:sz w:val="18"/>
                      <w:szCs w:val="18"/>
                    </w:rPr>
                  </w:pPr>
                </w:p>
              </w:tc>
              <w:tc>
                <w:tcPr>
                  <w:tcW w:w="825" w:type="dxa"/>
                  <w:gridSpan w:val="2"/>
                  <w:vAlign w:val="center"/>
                </w:tcPr>
                <w:p>
                  <w:pPr>
                    <w:jc w:val="center"/>
                    <w:rPr>
                      <w:sz w:val="18"/>
                      <w:szCs w:val="18"/>
                    </w:rPr>
                  </w:pPr>
                </w:p>
              </w:tc>
              <w:tc>
                <w:tcPr>
                  <w:tcW w:w="669" w:type="dxa"/>
                  <w:gridSpan w:val="2"/>
                  <w:vAlign w:val="center"/>
                </w:tcPr>
                <w:p>
                  <w:pPr>
                    <w:jc w:val="center"/>
                    <w:rPr>
                      <w:sz w:val="18"/>
                      <w:szCs w:val="18"/>
                    </w:rPr>
                  </w:pPr>
                </w:p>
              </w:tc>
              <w:tc>
                <w:tcPr>
                  <w:tcW w:w="709" w:type="dxa"/>
                  <w:vAlign w:val="center"/>
                </w:tcPr>
                <w:p>
                  <w:pPr>
                    <w:jc w:val="center"/>
                    <w:rPr>
                      <w:sz w:val="18"/>
                      <w:szCs w:val="18"/>
                    </w:rPr>
                  </w:pPr>
                </w:p>
              </w:tc>
              <w:tc>
                <w:tcPr>
                  <w:tcW w:w="709" w:type="dxa"/>
                  <w:vAlign w:val="center"/>
                </w:tcPr>
                <w:p>
                  <w:pPr>
                    <w:jc w:val="center"/>
                    <w:rPr>
                      <w:sz w:val="18"/>
                      <w:szCs w:val="18"/>
                    </w:rPr>
                  </w:pPr>
                </w:p>
              </w:tc>
              <w:tc>
                <w:tcPr>
                  <w:tcW w:w="56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Align w:val="center"/>
                </w:tcPr>
                <w:p>
                  <w:pPr>
                    <w:jc w:val="center"/>
                    <w:rPr>
                      <w:sz w:val="18"/>
                      <w:szCs w:val="18"/>
                    </w:rPr>
                  </w:pPr>
                  <w:r>
                    <w:rPr>
                      <w:rFonts w:hint="eastAsia"/>
                      <w:sz w:val="18"/>
                      <w:szCs w:val="18"/>
                    </w:rPr>
                    <w:t>存在总量/t</w:t>
                  </w:r>
                </w:p>
              </w:tc>
              <w:tc>
                <w:tcPr>
                  <w:tcW w:w="825" w:type="dxa"/>
                  <w:vAlign w:val="center"/>
                </w:tcPr>
                <w:p>
                  <w:pPr>
                    <w:jc w:val="center"/>
                    <w:rPr>
                      <w:sz w:val="18"/>
                      <w:szCs w:val="18"/>
                    </w:rPr>
                  </w:pPr>
                  <w:r>
                    <w:t>25.05</w:t>
                  </w:r>
                </w:p>
              </w:tc>
              <w:tc>
                <w:tcPr>
                  <w:tcW w:w="825" w:type="dxa"/>
                  <w:vAlign w:val="center"/>
                </w:tcPr>
                <w:p>
                  <w:pPr>
                    <w:jc w:val="center"/>
                    <w:rPr>
                      <w:sz w:val="18"/>
                      <w:szCs w:val="18"/>
                    </w:rPr>
                  </w:pPr>
                </w:p>
              </w:tc>
              <w:tc>
                <w:tcPr>
                  <w:tcW w:w="825" w:type="dxa"/>
                  <w:gridSpan w:val="2"/>
                  <w:vAlign w:val="center"/>
                </w:tcPr>
                <w:p>
                  <w:pPr>
                    <w:jc w:val="center"/>
                    <w:rPr>
                      <w:sz w:val="18"/>
                      <w:szCs w:val="18"/>
                    </w:rPr>
                  </w:pPr>
                </w:p>
              </w:tc>
              <w:tc>
                <w:tcPr>
                  <w:tcW w:w="825" w:type="dxa"/>
                  <w:gridSpan w:val="2"/>
                  <w:vAlign w:val="center"/>
                </w:tcPr>
                <w:p>
                  <w:pPr>
                    <w:jc w:val="center"/>
                    <w:rPr>
                      <w:sz w:val="18"/>
                      <w:szCs w:val="18"/>
                    </w:rPr>
                  </w:pPr>
                </w:p>
              </w:tc>
              <w:tc>
                <w:tcPr>
                  <w:tcW w:w="669" w:type="dxa"/>
                  <w:gridSpan w:val="2"/>
                  <w:vAlign w:val="center"/>
                </w:tcPr>
                <w:p>
                  <w:pPr>
                    <w:jc w:val="center"/>
                    <w:rPr>
                      <w:sz w:val="18"/>
                      <w:szCs w:val="18"/>
                    </w:rPr>
                  </w:pPr>
                </w:p>
              </w:tc>
              <w:tc>
                <w:tcPr>
                  <w:tcW w:w="709" w:type="dxa"/>
                  <w:vAlign w:val="center"/>
                </w:tcPr>
                <w:p>
                  <w:pPr>
                    <w:jc w:val="center"/>
                    <w:rPr>
                      <w:sz w:val="18"/>
                      <w:szCs w:val="18"/>
                    </w:rPr>
                  </w:pPr>
                </w:p>
              </w:tc>
              <w:tc>
                <w:tcPr>
                  <w:tcW w:w="709" w:type="dxa"/>
                  <w:vAlign w:val="center"/>
                </w:tcPr>
                <w:p>
                  <w:pPr>
                    <w:jc w:val="center"/>
                    <w:rPr>
                      <w:sz w:val="18"/>
                      <w:szCs w:val="18"/>
                    </w:rPr>
                  </w:pPr>
                </w:p>
              </w:tc>
              <w:tc>
                <w:tcPr>
                  <w:tcW w:w="56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 w:hRule="atLeast"/>
                <w:jc w:val="center"/>
              </w:trPr>
              <w:tc>
                <w:tcPr>
                  <w:tcW w:w="365" w:type="dxa"/>
                  <w:vMerge w:val="continue"/>
                  <w:vAlign w:val="center"/>
                </w:tcPr>
                <w:p>
                  <w:pPr>
                    <w:jc w:val="center"/>
                    <w:rPr>
                      <w:sz w:val="18"/>
                      <w:szCs w:val="18"/>
                    </w:rPr>
                  </w:pPr>
                </w:p>
              </w:tc>
              <w:tc>
                <w:tcPr>
                  <w:tcW w:w="1120" w:type="dxa"/>
                  <w:vMerge w:val="restart"/>
                  <w:vAlign w:val="center"/>
                </w:tcPr>
                <w:p>
                  <w:pPr>
                    <w:jc w:val="center"/>
                    <w:rPr>
                      <w:sz w:val="18"/>
                      <w:szCs w:val="18"/>
                    </w:rPr>
                  </w:pPr>
                  <w:r>
                    <w:rPr>
                      <w:rFonts w:hint="eastAsia"/>
                      <w:sz w:val="18"/>
                      <w:szCs w:val="18"/>
                    </w:rPr>
                    <w:t>环境敏感性</w:t>
                  </w:r>
                </w:p>
              </w:tc>
              <w:tc>
                <w:tcPr>
                  <w:tcW w:w="1350" w:type="dxa"/>
                  <w:vMerge w:val="restart"/>
                  <w:vAlign w:val="center"/>
                </w:tcPr>
                <w:p>
                  <w:pPr>
                    <w:jc w:val="center"/>
                    <w:rPr>
                      <w:sz w:val="18"/>
                      <w:szCs w:val="18"/>
                    </w:rPr>
                  </w:pPr>
                  <w:r>
                    <w:rPr>
                      <w:rFonts w:hint="eastAsia"/>
                      <w:sz w:val="18"/>
                      <w:szCs w:val="18"/>
                    </w:rPr>
                    <w:t>大气</w:t>
                  </w:r>
                </w:p>
              </w:tc>
              <w:tc>
                <w:tcPr>
                  <w:tcW w:w="3300" w:type="dxa"/>
                  <w:gridSpan w:val="6"/>
                  <w:vAlign w:val="center"/>
                </w:tcPr>
                <w:p>
                  <w:pPr>
                    <w:jc w:val="center"/>
                    <w:rPr>
                      <w:sz w:val="18"/>
                      <w:szCs w:val="18"/>
                    </w:rPr>
                  </w:pPr>
                  <w:r>
                    <w:rPr>
                      <w:sz w:val="18"/>
                      <w:szCs w:val="18"/>
                    </w:rPr>
                    <w:t>500m范围内人口数人</w:t>
                  </w:r>
                </w:p>
              </w:tc>
              <w:tc>
                <w:tcPr>
                  <w:tcW w:w="2654" w:type="dxa"/>
                  <w:gridSpan w:val="5"/>
                  <w:vAlign w:val="center"/>
                </w:tcPr>
                <w:p>
                  <w:pPr>
                    <w:jc w:val="center"/>
                    <w:rPr>
                      <w:sz w:val="18"/>
                      <w:szCs w:val="18"/>
                    </w:rPr>
                  </w:pPr>
                  <w:r>
                    <w:rPr>
                      <w:sz w:val="18"/>
                      <w:szCs w:val="18"/>
                    </w:rPr>
                    <w:t>5</w:t>
                  </w:r>
                  <w:r>
                    <w:rPr>
                      <w:rFonts w:hint="eastAsia"/>
                      <w:sz w:val="18"/>
                      <w:szCs w:val="18"/>
                    </w:rPr>
                    <w:t>k</w:t>
                  </w:r>
                  <w:r>
                    <w:rPr>
                      <w:sz w:val="18"/>
                      <w:szCs w:val="18"/>
                    </w:rPr>
                    <w:t>m范围内人口数人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continue"/>
                  <w:vAlign w:val="center"/>
                </w:tcPr>
                <w:p>
                  <w:pPr>
                    <w:jc w:val="center"/>
                    <w:rPr>
                      <w:sz w:val="18"/>
                      <w:szCs w:val="18"/>
                    </w:rPr>
                  </w:pPr>
                </w:p>
              </w:tc>
              <w:tc>
                <w:tcPr>
                  <w:tcW w:w="4678" w:type="dxa"/>
                  <w:gridSpan w:val="9"/>
                  <w:vAlign w:val="center"/>
                </w:tcPr>
                <w:p>
                  <w:pPr>
                    <w:jc w:val="center"/>
                    <w:rPr>
                      <w:sz w:val="18"/>
                      <w:szCs w:val="18"/>
                    </w:rPr>
                  </w:pPr>
                  <w:r>
                    <w:rPr>
                      <w:rFonts w:hint="eastAsia"/>
                      <w:sz w:val="18"/>
                      <w:szCs w:val="18"/>
                    </w:rPr>
                    <w:t>每公里管段周边200m范围内人口数（最大）</w:t>
                  </w:r>
                </w:p>
              </w:tc>
              <w:tc>
                <w:tcPr>
                  <w:tcW w:w="1276" w:type="dxa"/>
                  <w:gridSpan w:val="2"/>
                  <w:vAlign w:val="center"/>
                </w:tcPr>
                <w:p>
                  <w:pPr>
                    <w:jc w:val="center"/>
                    <w:rPr>
                      <w:sz w:val="18"/>
                      <w:szCs w:val="18"/>
                    </w:rPr>
                  </w:pPr>
                  <w:r>
                    <w:rPr>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restart"/>
                  <w:vAlign w:val="center"/>
                </w:tcPr>
                <w:p>
                  <w:pPr>
                    <w:jc w:val="center"/>
                    <w:rPr>
                      <w:sz w:val="18"/>
                      <w:szCs w:val="18"/>
                    </w:rPr>
                  </w:pPr>
                  <w:r>
                    <w:rPr>
                      <w:rFonts w:hint="eastAsia"/>
                      <w:sz w:val="18"/>
                      <w:szCs w:val="18"/>
                    </w:rPr>
                    <w:t>地表水</w:t>
                  </w:r>
                </w:p>
              </w:tc>
              <w:tc>
                <w:tcPr>
                  <w:tcW w:w="1700" w:type="dxa"/>
                  <w:gridSpan w:val="3"/>
                  <w:vAlign w:val="center"/>
                </w:tcPr>
                <w:p>
                  <w:pPr>
                    <w:jc w:val="center"/>
                    <w:rPr>
                      <w:sz w:val="18"/>
                      <w:szCs w:val="18"/>
                    </w:rPr>
                  </w:pPr>
                  <w:r>
                    <w:rPr>
                      <w:rFonts w:hint="eastAsia"/>
                      <w:sz w:val="18"/>
                      <w:szCs w:val="18"/>
                    </w:rPr>
                    <w:t>地表水功能敏感性</w:t>
                  </w:r>
                </w:p>
              </w:tc>
              <w:tc>
                <w:tcPr>
                  <w:tcW w:w="1640" w:type="dxa"/>
                  <w:gridSpan w:val="4"/>
                  <w:vAlign w:val="center"/>
                </w:tcPr>
                <w:p>
                  <w:pPr>
                    <w:jc w:val="center"/>
                    <w:rPr>
                      <w:sz w:val="18"/>
                      <w:szCs w:val="18"/>
                    </w:rPr>
                  </w:pPr>
                  <w:r>
                    <w:rPr>
                      <w:sz w:val="18"/>
                      <w:szCs w:val="18"/>
                    </w:rPr>
                    <w:t xml:space="preserve">F1 </w:t>
                  </w:r>
                  <w:r>
                    <w:rPr>
                      <w:sz w:val="18"/>
                      <w:szCs w:val="18"/>
                    </w:rPr>
                    <w:sym w:font="Wingdings 2" w:char="00A3"/>
                  </w:r>
                </w:p>
              </w:tc>
              <w:tc>
                <w:tcPr>
                  <w:tcW w:w="1338" w:type="dxa"/>
                  <w:gridSpan w:val="2"/>
                  <w:vAlign w:val="center"/>
                </w:tcPr>
                <w:p>
                  <w:pPr>
                    <w:jc w:val="center"/>
                    <w:rPr>
                      <w:sz w:val="18"/>
                      <w:szCs w:val="18"/>
                    </w:rPr>
                  </w:pPr>
                  <w:r>
                    <w:rPr>
                      <w:sz w:val="18"/>
                      <w:szCs w:val="18"/>
                    </w:rPr>
                    <w:t xml:space="preserve">F2 </w:t>
                  </w:r>
                  <w:r>
                    <w:rPr>
                      <w:sz w:val="18"/>
                      <w:szCs w:val="18"/>
                    </w:rPr>
                    <w:sym w:font="Wingdings 2" w:char="00A3"/>
                  </w:r>
                </w:p>
              </w:tc>
              <w:tc>
                <w:tcPr>
                  <w:tcW w:w="1276" w:type="dxa"/>
                  <w:gridSpan w:val="2"/>
                  <w:vAlign w:val="center"/>
                </w:tcPr>
                <w:p>
                  <w:pPr>
                    <w:jc w:val="center"/>
                    <w:rPr>
                      <w:sz w:val="18"/>
                      <w:szCs w:val="18"/>
                    </w:rPr>
                  </w:pPr>
                  <w:r>
                    <w:rPr>
                      <w:sz w:val="18"/>
                      <w:szCs w:val="18"/>
                    </w:rPr>
                    <w:t xml:space="preserve">F3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6"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continue"/>
                  <w:vAlign w:val="center"/>
                </w:tcPr>
                <w:p>
                  <w:pPr>
                    <w:jc w:val="center"/>
                    <w:rPr>
                      <w:sz w:val="18"/>
                      <w:szCs w:val="18"/>
                    </w:rPr>
                  </w:pPr>
                </w:p>
              </w:tc>
              <w:tc>
                <w:tcPr>
                  <w:tcW w:w="1700" w:type="dxa"/>
                  <w:gridSpan w:val="3"/>
                  <w:vAlign w:val="center"/>
                </w:tcPr>
                <w:p>
                  <w:pPr>
                    <w:jc w:val="center"/>
                    <w:rPr>
                      <w:sz w:val="18"/>
                      <w:szCs w:val="18"/>
                    </w:rPr>
                  </w:pPr>
                  <w:r>
                    <w:rPr>
                      <w:rFonts w:hint="eastAsia"/>
                      <w:sz w:val="18"/>
                      <w:szCs w:val="18"/>
                    </w:rPr>
                    <w:t>环境敏感目标分级</w:t>
                  </w:r>
                </w:p>
              </w:tc>
              <w:tc>
                <w:tcPr>
                  <w:tcW w:w="1640" w:type="dxa"/>
                  <w:gridSpan w:val="4"/>
                  <w:vAlign w:val="center"/>
                </w:tcPr>
                <w:p>
                  <w:pPr>
                    <w:jc w:val="center"/>
                    <w:rPr>
                      <w:sz w:val="18"/>
                      <w:szCs w:val="18"/>
                    </w:rPr>
                  </w:pPr>
                  <w:r>
                    <w:rPr>
                      <w:sz w:val="18"/>
                      <w:szCs w:val="18"/>
                    </w:rPr>
                    <w:t xml:space="preserve">S1 </w:t>
                  </w:r>
                  <w:r>
                    <w:rPr>
                      <w:sz w:val="18"/>
                      <w:szCs w:val="18"/>
                    </w:rPr>
                    <w:sym w:font="Wingdings 2" w:char="00A3"/>
                  </w:r>
                </w:p>
              </w:tc>
              <w:tc>
                <w:tcPr>
                  <w:tcW w:w="1338" w:type="dxa"/>
                  <w:gridSpan w:val="2"/>
                  <w:vAlign w:val="center"/>
                </w:tcPr>
                <w:p>
                  <w:pPr>
                    <w:jc w:val="center"/>
                    <w:rPr>
                      <w:sz w:val="18"/>
                      <w:szCs w:val="18"/>
                    </w:rPr>
                  </w:pPr>
                  <w:r>
                    <w:rPr>
                      <w:sz w:val="18"/>
                      <w:szCs w:val="18"/>
                    </w:rPr>
                    <w:t>S</w:t>
                  </w:r>
                  <w:r>
                    <w:rPr>
                      <w:rFonts w:hint="eastAsia"/>
                      <w:sz w:val="18"/>
                      <w:szCs w:val="18"/>
                    </w:rPr>
                    <w:t>2</w:t>
                  </w:r>
                  <w:r>
                    <w:rPr>
                      <w:sz w:val="18"/>
                      <w:szCs w:val="18"/>
                    </w:rPr>
                    <w:sym w:font="Wingdings 2" w:char="00A3"/>
                  </w:r>
                </w:p>
              </w:tc>
              <w:tc>
                <w:tcPr>
                  <w:tcW w:w="1276" w:type="dxa"/>
                  <w:gridSpan w:val="2"/>
                  <w:vAlign w:val="center"/>
                </w:tcPr>
                <w:p>
                  <w:pPr>
                    <w:jc w:val="center"/>
                    <w:rPr>
                      <w:sz w:val="18"/>
                      <w:szCs w:val="18"/>
                    </w:rPr>
                  </w:pPr>
                  <w:r>
                    <w:rPr>
                      <w:sz w:val="18"/>
                      <w:szCs w:val="18"/>
                    </w:rPr>
                    <w:t>S</w:t>
                  </w:r>
                  <w:r>
                    <w:rPr>
                      <w:rFonts w:hint="eastAsia"/>
                      <w:sz w:val="18"/>
                      <w:szCs w:val="18"/>
                    </w:rPr>
                    <w:t>3</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restart"/>
                  <w:vAlign w:val="center"/>
                </w:tcPr>
                <w:p>
                  <w:pPr>
                    <w:jc w:val="center"/>
                    <w:rPr>
                      <w:sz w:val="18"/>
                      <w:szCs w:val="18"/>
                    </w:rPr>
                  </w:pPr>
                  <w:r>
                    <w:rPr>
                      <w:rFonts w:hint="eastAsia"/>
                      <w:sz w:val="18"/>
                      <w:szCs w:val="18"/>
                    </w:rPr>
                    <w:t>地下水</w:t>
                  </w:r>
                </w:p>
              </w:tc>
              <w:tc>
                <w:tcPr>
                  <w:tcW w:w="1700" w:type="dxa"/>
                  <w:gridSpan w:val="3"/>
                  <w:vAlign w:val="center"/>
                </w:tcPr>
                <w:p>
                  <w:pPr>
                    <w:jc w:val="center"/>
                    <w:rPr>
                      <w:sz w:val="18"/>
                      <w:szCs w:val="18"/>
                    </w:rPr>
                  </w:pPr>
                  <w:r>
                    <w:rPr>
                      <w:rFonts w:hint="eastAsia"/>
                      <w:sz w:val="18"/>
                      <w:szCs w:val="18"/>
                    </w:rPr>
                    <w:t>地下水功能敏感性</w:t>
                  </w:r>
                </w:p>
              </w:tc>
              <w:tc>
                <w:tcPr>
                  <w:tcW w:w="1640" w:type="dxa"/>
                  <w:gridSpan w:val="4"/>
                  <w:vAlign w:val="center"/>
                </w:tcPr>
                <w:p>
                  <w:pPr>
                    <w:jc w:val="center"/>
                    <w:rPr>
                      <w:sz w:val="18"/>
                      <w:szCs w:val="18"/>
                    </w:rPr>
                  </w:pPr>
                  <w:r>
                    <w:rPr>
                      <w:rFonts w:hint="eastAsia"/>
                      <w:sz w:val="18"/>
                      <w:szCs w:val="18"/>
                    </w:rPr>
                    <w:t>G</w:t>
                  </w:r>
                  <w:r>
                    <w:rPr>
                      <w:sz w:val="18"/>
                      <w:szCs w:val="18"/>
                    </w:rPr>
                    <w:t xml:space="preserve">1 </w:t>
                  </w:r>
                  <w:r>
                    <w:rPr>
                      <w:sz w:val="18"/>
                      <w:szCs w:val="18"/>
                    </w:rPr>
                    <w:sym w:font="Wingdings 2" w:char="00A3"/>
                  </w:r>
                </w:p>
              </w:tc>
              <w:tc>
                <w:tcPr>
                  <w:tcW w:w="1338" w:type="dxa"/>
                  <w:gridSpan w:val="2"/>
                  <w:vAlign w:val="center"/>
                </w:tcPr>
                <w:p>
                  <w:pPr>
                    <w:jc w:val="center"/>
                    <w:rPr>
                      <w:sz w:val="18"/>
                      <w:szCs w:val="18"/>
                    </w:rPr>
                  </w:pPr>
                  <w:r>
                    <w:rPr>
                      <w:rFonts w:hint="eastAsia"/>
                      <w:sz w:val="18"/>
                      <w:szCs w:val="18"/>
                    </w:rPr>
                    <w:t>G2</w:t>
                  </w:r>
                  <w:r>
                    <w:rPr>
                      <w:sz w:val="18"/>
                      <w:szCs w:val="18"/>
                    </w:rPr>
                    <w:sym w:font="Wingdings 2" w:char="00A3"/>
                  </w:r>
                </w:p>
              </w:tc>
              <w:tc>
                <w:tcPr>
                  <w:tcW w:w="1276" w:type="dxa"/>
                  <w:gridSpan w:val="2"/>
                  <w:vAlign w:val="center"/>
                </w:tcPr>
                <w:p>
                  <w:pPr>
                    <w:jc w:val="center"/>
                    <w:rPr>
                      <w:sz w:val="18"/>
                      <w:szCs w:val="18"/>
                    </w:rPr>
                  </w:pPr>
                  <w:r>
                    <w:rPr>
                      <w:rFonts w:hint="eastAsia"/>
                      <w:sz w:val="18"/>
                      <w:szCs w:val="18"/>
                    </w:rPr>
                    <w:t>G3</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continue"/>
                  <w:vAlign w:val="center"/>
                </w:tcPr>
                <w:p>
                  <w:pPr>
                    <w:jc w:val="center"/>
                    <w:rPr>
                      <w:sz w:val="18"/>
                      <w:szCs w:val="18"/>
                    </w:rPr>
                  </w:pPr>
                </w:p>
              </w:tc>
              <w:tc>
                <w:tcPr>
                  <w:tcW w:w="1700" w:type="dxa"/>
                  <w:gridSpan w:val="3"/>
                  <w:vAlign w:val="center"/>
                </w:tcPr>
                <w:p>
                  <w:pPr>
                    <w:jc w:val="center"/>
                    <w:rPr>
                      <w:sz w:val="18"/>
                      <w:szCs w:val="18"/>
                    </w:rPr>
                  </w:pPr>
                  <w:r>
                    <w:rPr>
                      <w:rFonts w:hint="eastAsia"/>
                      <w:sz w:val="18"/>
                      <w:szCs w:val="18"/>
                    </w:rPr>
                    <w:t>包气带防污性能</w:t>
                  </w:r>
                </w:p>
              </w:tc>
              <w:tc>
                <w:tcPr>
                  <w:tcW w:w="1640" w:type="dxa"/>
                  <w:gridSpan w:val="4"/>
                  <w:vAlign w:val="center"/>
                </w:tcPr>
                <w:p>
                  <w:pPr>
                    <w:jc w:val="center"/>
                    <w:rPr>
                      <w:sz w:val="18"/>
                      <w:szCs w:val="18"/>
                    </w:rPr>
                  </w:pPr>
                  <w:r>
                    <w:rPr>
                      <w:rFonts w:hint="eastAsia"/>
                      <w:sz w:val="18"/>
                      <w:szCs w:val="18"/>
                    </w:rPr>
                    <w:t>D</w:t>
                  </w:r>
                  <w:r>
                    <w:rPr>
                      <w:sz w:val="18"/>
                      <w:szCs w:val="18"/>
                    </w:rPr>
                    <w:t xml:space="preserve">1 </w:t>
                  </w:r>
                  <w:r>
                    <w:rPr>
                      <w:sz w:val="18"/>
                      <w:szCs w:val="18"/>
                    </w:rPr>
                    <w:sym w:font="Wingdings 2" w:char="00A3"/>
                  </w:r>
                </w:p>
              </w:tc>
              <w:tc>
                <w:tcPr>
                  <w:tcW w:w="1338" w:type="dxa"/>
                  <w:gridSpan w:val="2"/>
                  <w:vAlign w:val="center"/>
                </w:tcPr>
                <w:p>
                  <w:pPr>
                    <w:jc w:val="center"/>
                    <w:rPr>
                      <w:sz w:val="18"/>
                      <w:szCs w:val="18"/>
                    </w:rPr>
                  </w:pPr>
                  <w:r>
                    <w:rPr>
                      <w:rFonts w:hint="eastAsia"/>
                      <w:sz w:val="18"/>
                      <w:szCs w:val="18"/>
                    </w:rPr>
                    <w:t>D2</w:t>
                  </w:r>
                  <w:r>
                    <w:rPr>
                      <w:sz w:val="18"/>
                      <w:szCs w:val="18"/>
                    </w:rPr>
                    <w:sym w:font="Wingdings 2" w:char="00A3"/>
                  </w:r>
                </w:p>
              </w:tc>
              <w:tc>
                <w:tcPr>
                  <w:tcW w:w="1276" w:type="dxa"/>
                  <w:gridSpan w:val="2"/>
                  <w:vAlign w:val="center"/>
                </w:tcPr>
                <w:p>
                  <w:pPr>
                    <w:jc w:val="center"/>
                    <w:rPr>
                      <w:sz w:val="18"/>
                      <w:szCs w:val="18"/>
                    </w:rPr>
                  </w:pPr>
                  <w:r>
                    <w:rPr>
                      <w:rFonts w:hint="eastAsia"/>
                      <w:sz w:val="18"/>
                      <w:szCs w:val="18"/>
                    </w:rPr>
                    <w:t>D3</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7" w:hRule="atLeast"/>
                <w:jc w:val="center"/>
              </w:trPr>
              <w:tc>
                <w:tcPr>
                  <w:tcW w:w="1485" w:type="dxa"/>
                  <w:gridSpan w:val="2"/>
                  <w:vMerge w:val="restart"/>
                  <w:vAlign w:val="center"/>
                </w:tcPr>
                <w:p>
                  <w:pPr>
                    <w:jc w:val="center"/>
                    <w:rPr>
                      <w:sz w:val="18"/>
                      <w:szCs w:val="18"/>
                    </w:rPr>
                  </w:pPr>
                  <w:r>
                    <w:rPr>
                      <w:rFonts w:hint="eastAsia"/>
                      <w:sz w:val="18"/>
                      <w:szCs w:val="18"/>
                    </w:rPr>
                    <w:t>物质及工艺系统危险性</w:t>
                  </w:r>
                </w:p>
              </w:tc>
              <w:tc>
                <w:tcPr>
                  <w:tcW w:w="1350" w:type="dxa"/>
                  <w:vAlign w:val="center"/>
                </w:tcPr>
                <w:p>
                  <w:pPr>
                    <w:jc w:val="center"/>
                    <w:rPr>
                      <w:sz w:val="18"/>
                      <w:szCs w:val="18"/>
                    </w:rPr>
                  </w:pPr>
                  <w:r>
                    <w:rPr>
                      <w:sz w:val="18"/>
                      <w:szCs w:val="18"/>
                    </w:rPr>
                    <w:t>Q值</w:t>
                  </w:r>
                </w:p>
              </w:tc>
              <w:tc>
                <w:tcPr>
                  <w:tcW w:w="1700" w:type="dxa"/>
                  <w:gridSpan w:val="3"/>
                  <w:vAlign w:val="center"/>
                </w:tcPr>
                <w:p>
                  <w:pPr>
                    <w:jc w:val="center"/>
                    <w:rPr>
                      <w:sz w:val="18"/>
                      <w:szCs w:val="18"/>
                    </w:rPr>
                  </w:pPr>
                  <w:r>
                    <w:rPr>
                      <w:sz w:val="18"/>
                      <w:szCs w:val="18"/>
                    </w:rPr>
                    <w:t>Q&lt;1</w:t>
                  </w:r>
                  <w:r>
                    <w:rPr/>
                    <w:sym w:font="Wingdings 2" w:char="0052"/>
                  </w:r>
                </w:p>
              </w:tc>
              <w:tc>
                <w:tcPr>
                  <w:tcW w:w="1640" w:type="dxa"/>
                  <w:gridSpan w:val="4"/>
                  <w:vAlign w:val="center"/>
                </w:tcPr>
                <w:p>
                  <w:pPr>
                    <w:jc w:val="center"/>
                    <w:rPr>
                      <w:sz w:val="18"/>
                      <w:szCs w:val="18"/>
                    </w:rPr>
                  </w:pPr>
                  <w:r>
                    <w:rPr>
                      <w:sz w:val="18"/>
                      <w:szCs w:val="18"/>
                    </w:rPr>
                    <w:t>1≤Q&lt;10</w:t>
                  </w:r>
                  <w:r>
                    <w:rPr>
                      <w:sz w:val="18"/>
                      <w:szCs w:val="18"/>
                    </w:rPr>
                    <w:sym w:font="Wingdings 2" w:char="00A3"/>
                  </w:r>
                </w:p>
              </w:tc>
              <w:tc>
                <w:tcPr>
                  <w:tcW w:w="1338" w:type="dxa"/>
                  <w:gridSpan w:val="2"/>
                  <w:vAlign w:val="center"/>
                </w:tcPr>
                <w:p>
                  <w:pPr>
                    <w:jc w:val="center"/>
                    <w:rPr>
                      <w:sz w:val="18"/>
                      <w:szCs w:val="18"/>
                    </w:rPr>
                  </w:pPr>
                  <w:r>
                    <w:rPr>
                      <w:sz w:val="18"/>
                      <w:szCs w:val="18"/>
                    </w:rPr>
                    <w:t>1</w:t>
                  </w:r>
                  <w:r>
                    <w:rPr>
                      <w:rFonts w:hint="eastAsia"/>
                      <w:sz w:val="18"/>
                      <w:szCs w:val="18"/>
                    </w:rPr>
                    <w:t>0</w:t>
                  </w:r>
                  <w:r>
                    <w:rPr>
                      <w:sz w:val="18"/>
                      <w:szCs w:val="18"/>
                    </w:rPr>
                    <w:t>≤Q&lt;1</w:t>
                  </w:r>
                  <w:r>
                    <w:rPr>
                      <w:rFonts w:hint="eastAsia"/>
                      <w:sz w:val="18"/>
                      <w:szCs w:val="18"/>
                    </w:rPr>
                    <w:t>0</w:t>
                  </w:r>
                  <w:r>
                    <w:rPr>
                      <w:sz w:val="18"/>
                      <w:szCs w:val="18"/>
                    </w:rPr>
                    <w:t>0</w:t>
                  </w:r>
                  <w:r>
                    <w:rPr>
                      <w:sz w:val="18"/>
                      <w:szCs w:val="18"/>
                    </w:rPr>
                    <w:sym w:font="Wingdings 2" w:char="00A3"/>
                  </w:r>
                </w:p>
              </w:tc>
              <w:tc>
                <w:tcPr>
                  <w:tcW w:w="1276" w:type="dxa"/>
                  <w:gridSpan w:val="2"/>
                  <w:vAlign w:val="center"/>
                </w:tcPr>
                <w:p>
                  <w:pPr>
                    <w:jc w:val="center"/>
                    <w:rPr>
                      <w:sz w:val="18"/>
                      <w:szCs w:val="18"/>
                    </w:rPr>
                  </w:pPr>
                  <w:r>
                    <w:rPr>
                      <w:sz w:val="18"/>
                      <w:szCs w:val="18"/>
                    </w:rPr>
                    <w:t>Q&gt;1</w:t>
                  </w:r>
                  <w:r>
                    <w:rPr>
                      <w:rFonts w:hint="eastAsia"/>
                      <w:sz w:val="18"/>
                      <w:szCs w:val="18"/>
                    </w:rPr>
                    <w:t xml:space="preserve">00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485" w:type="dxa"/>
                  <w:gridSpan w:val="2"/>
                  <w:vMerge w:val="continue"/>
                  <w:vAlign w:val="center"/>
                </w:tcPr>
                <w:p>
                  <w:pPr>
                    <w:jc w:val="center"/>
                    <w:rPr>
                      <w:sz w:val="18"/>
                      <w:szCs w:val="18"/>
                    </w:rPr>
                  </w:pPr>
                </w:p>
              </w:tc>
              <w:tc>
                <w:tcPr>
                  <w:tcW w:w="1350" w:type="dxa"/>
                  <w:vAlign w:val="center"/>
                </w:tcPr>
                <w:p>
                  <w:pPr>
                    <w:jc w:val="center"/>
                    <w:rPr>
                      <w:sz w:val="18"/>
                      <w:szCs w:val="18"/>
                    </w:rPr>
                  </w:pPr>
                  <w:r>
                    <w:rPr>
                      <w:sz w:val="18"/>
                      <w:szCs w:val="18"/>
                    </w:rPr>
                    <w:t>M值</w:t>
                  </w:r>
                </w:p>
              </w:tc>
              <w:tc>
                <w:tcPr>
                  <w:tcW w:w="1700" w:type="dxa"/>
                  <w:gridSpan w:val="3"/>
                  <w:vAlign w:val="center"/>
                </w:tcPr>
                <w:p>
                  <w:pPr>
                    <w:jc w:val="center"/>
                    <w:rPr>
                      <w:sz w:val="18"/>
                      <w:szCs w:val="18"/>
                    </w:rPr>
                  </w:pPr>
                  <w:r>
                    <w:rPr>
                      <w:rFonts w:hint="eastAsia"/>
                      <w:sz w:val="18"/>
                      <w:szCs w:val="18"/>
                    </w:rPr>
                    <w:t>M</w:t>
                  </w:r>
                  <w:r>
                    <w:rPr>
                      <w:sz w:val="18"/>
                      <w:szCs w:val="18"/>
                    </w:rPr>
                    <w:t>1</w:t>
                  </w:r>
                  <w:r>
                    <w:rPr>
                      <w:sz w:val="18"/>
                      <w:szCs w:val="18"/>
                    </w:rPr>
                    <w:sym w:font="Wingdings 2" w:char="00A3"/>
                  </w:r>
                </w:p>
              </w:tc>
              <w:tc>
                <w:tcPr>
                  <w:tcW w:w="1640" w:type="dxa"/>
                  <w:gridSpan w:val="4"/>
                  <w:vAlign w:val="center"/>
                </w:tcPr>
                <w:p>
                  <w:pPr>
                    <w:jc w:val="center"/>
                    <w:rPr>
                      <w:sz w:val="18"/>
                      <w:szCs w:val="18"/>
                    </w:rPr>
                  </w:pPr>
                  <w:r>
                    <w:rPr>
                      <w:rFonts w:hint="eastAsia"/>
                      <w:sz w:val="18"/>
                      <w:szCs w:val="18"/>
                    </w:rPr>
                    <w:t xml:space="preserve">M2 </w:t>
                  </w:r>
                  <w:r>
                    <w:rPr>
                      <w:sz w:val="18"/>
                      <w:szCs w:val="18"/>
                    </w:rPr>
                    <w:sym w:font="Wingdings 2" w:char="00A3"/>
                  </w:r>
                </w:p>
              </w:tc>
              <w:tc>
                <w:tcPr>
                  <w:tcW w:w="1338" w:type="dxa"/>
                  <w:gridSpan w:val="2"/>
                  <w:vAlign w:val="center"/>
                </w:tcPr>
                <w:p>
                  <w:pPr>
                    <w:jc w:val="center"/>
                    <w:rPr>
                      <w:sz w:val="18"/>
                      <w:szCs w:val="18"/>
                    </w:rPr>
                  </w:pPr>
                  <w:r>
                    <w:rPr>
                      <w:rFonts w:hint="eastAsia"/>
                      <w:sz w:val="18"/>
                      <w:szCs w:val="18"/>
                    </w:rPr>
                    <w:t xml:space="preserve">M3 </w:t>
                  </w:r>
                  <w:r>
                    <w:rPr>
                      <w:sz w:val="18"/>
                      <w:szCs w:val="18"/>
                    </w:rPr>
                    <w:sym w:font="Wingdings 2" w:char="00A3"/>
                  </w:r>
                </w:p>
              </w:tc>
              <w:tc>
                <w:tcPr>
                  <w:tcW w:w="1276" w:type="dxa"/>
                  <w:gridSpan w:val="2"/>
                  <w:vAlign w:val="center"/>
                </w:tcPr>
                <w:p>
                  <w:pPr>
                    <w:jc w:val="center"/>
                    <w:rPr>
                      <w:sz w:val="18"/>
                      <w:szCs w:val="18"/>
                    </w:rPr>
                  </w:pPr>
                  <w:r>
                    <w:rPr>
                      <w:rFonts w:hint="eastAsia"/>
                      <w:sz w:val="18"/>
                      <w:szCs w:val="18"/>
                    </w:rPr>
                    <w:t xml:space="preserve">M4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jc w:val="center"/>
              </w:trPr>
              <w:tc>
                <w:tcPr>
                  <w:tcW w:w="1485" w:type="dxa"/>
                  <w:gridSpan w:val="2"/>
                  <w:vMerge w:val="continue"/>
                  <w:vAlign w:val="center"/>
                </w:tcPr>
                <w:p>
                  <w:pPr>
                    <w:jc w:val="center"/>
                    <w:rPr>
                      <w:sz w:val="18"/>
                      <w:szCs w:val="18"/>
                    </w:rPr>
                  </w:pPr>
                </w:p>
              </w:tc>
              <w:tc>
                <w:tcPr>
                  <w:tcW w:w="1350" w:type="dxa"/>
                  <w:vAlign w:val="center"/>
                </w:tcPr>
                <w:p>
                  <w:pPr>
                    <w:jc w:val="center"/>
                    <w:rPr>
                      <w:sz w:val="18"/>
                      <w:szCs w:val="18"/>
                    </w:rPr>
                  </w:pPr>
                  <w:r>
                    <w:rPr>
                      <w:sz w:val="18"/>
                      <w:szCs w:val="18"/>
                    </w:rPr>
                    <w:t>P值</w:t>
                  </w:r>
                </w:p>
              </w:tc>
              <w:tc>
                <w:tcPr>
                  <w:tcW w:w="1700" w:type="dxa"/>
                  <w:gridSpan w:val="3"/>
                  <w:vAlign w:val="center"/>
                </w:tcPr>
                <w:p>
                  <w:pPr>
                    <w:jc w:val="center"/>
                    <w:rPr>
                      <w:sz w:val="18"/>
                      <w:szCs w:val="18"/>
                    </w:rPr>
                  </w:pPr>
                  <w:r>
                    <w:rPr>
                      <w:rFonts w:hint="eastAsia"/>
                      <w:sz w:val="18"/>
                      <w:szCs w:val="18"/>
                    </w:rPr>
                    <w:t>P</w:t>
                  </w:r>
                  <w:r>
                    <w:rPr>
                      <w:sz w:val="18"/>
                      <w:szCs w:val="18"/>
                    </w:rPr>
                    <w:t>1</w:t>
                  </w:r>
                  <w:r>
                    <w:rPr>
                      <w:sz w:val="18"/>
                      <w:szCs w:val="18"/>
                    </w:rPr>
                    <w:sym w:font="Wingdings 2" w:char="00A3"/>
                  </w:r>
                </w:p>
              </w:tc>
              <w:tc>
                <w:tcPr>
                  <w:tcW w:w="1640" w:type="dxa"/>
                  <w:gridSpan w:val="4"/>
                  <w:vAlign w:val="center"/>
                </w:tcPr>
                <w:p>
                  <w:pPr>
                    <w:jc w:val="center"/>
                    <w:rPr>
                      <w:sz w:val="18"/>
                      <w:szCs w:val="18"/>
                    </w:rPr>
                  </w:pPr>
                  <w:r>
                    <w:rPr>
                      <w:rFonts w:hint="eastAsia"/>
                      <w:sz w:val="18"/>
                      <w:szCs w:val="18"/>
                    </w:rPr>
                    <w:t xml:space="preserve">P2 </w:t>
                  </w:r>
                  <w:r>
                    <w:rPr>
                      <w:sz w:val="18"/>
                      <w:szCs w:val="18"/>
                    </w:rPr>
                    <w:sym w:font="Wingdings 2" w:char="00A3"/>
                  </w:r>
                </w:p>
              </w:tc>
              <w:tc>
                <w:tcPr>
                  <w:tcW w:w="1338" w:type="dxa"/>
                  <w:gridSpan w:val="2"/>
                  <w:vAlign w:val="center"/>
                </w:tcPr>
                <w:p>
                  <w:pPr>
                    <w:jc w:val="center"/>
                    <w:rPr>
                      <w:sz w:val="18"/>
                      <w:szCs w:val="18"/>
                    </w:rPr>
                  </w:pPr>
                  <w:r>
                    <w:rPr>
                      <w:rFonts w:hint="eastAsia"/>
                      <w:sz w:val="18"/>
                      <w:szCs w:val="18"/>
                    </w:rPr>
                    <w:t xml:space="preserve">P3 </w:t>
                  </w:r>
                  <w:r>
                    <w:rPr>
                      <w:sz w:val="18"/>
                      <w:szCs w:val="18"/>
                    </w:rPr>
                    <w:sym w:font="Wingdings 2" w:char="00A3"/>
                  </w:r>
                </w:p>
              </w:tc>
              <w:tc>
                <w:tcPr>
                  <w:tcW w:w="1276" w:type="dxa"/>
                  <w:gridSpan w:val="2"/>
                  <w:vAlign w:val="center"/>
                </w:tcPr>
                <w:p>
                  <w:pPr>
                    <w:jc w:val="center"/>
                    <w:rPr>
                      <w:sz w:val="18"/>
                      <w:szCs w:val="18"/>
                    </w:rPr>
                  </w:pPr>
                  <w:r>
                    <w:rPr>
                      <w:rFonts w:hint="eastAsia"/>
                      <w:sz w:val="18"/>
                      <w:szCs w:val="18"/>
                    </w:rPr>
                    <w:t xml:space="preserve">P4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485" w:type="dxa"/>
                  <w:gridSpan w:val="2"/>
                  <w:vMerge w:val="restart"/>
                  <w:vAlign w:val="center"/>
                </w:tcPr>
                <w:p>
                  <w:pPr>
                    <w:jc w:val="center"/>
                    <w:rPr>
                      <w:sz w:val="18"/>
                      <w:szCs w:val="18"/>
                    </w:rPr>
                  </w:pPr>
                  <w:r>
                    <w:rPr>
                      <w:rFonts w:hint="eastAsia"/>
                      <w:sz w:val="18"/>
                      <w:szCs w:val="18"/>
                    </w:rPr>
                    <w:t>环境敏感</w:t>
                  </w:r>
                </w:p>
                <w:p>
                  <w:pPr>
                    <w:jc w:val="center"/>
                    <w:rPr>
                      <w:sz w:val="18"/>
                      <w:szCs w:val="18"/>
                    </w:rPr>
                  </w:pPr>
                  <w:r>
                    <w:rPr>
                      <w:rFonts w:hint="eastAsia"/>
                      <w:sz w:val="18"/>
                      <w:szCs w:val="18"/>
                    </w:rPr>
                    <w:t>程度</w:t>
                  </w:r>
                </w:p>
              </w:tc>
              <w:tc>
                <w:tcPr>
                  <w:tcW w:w="1350" w:type="dxa"/>
                  <w:vAlign w:val="center"/>
                </w:tcPr>
                <w:p>
                  <w:pPr>
                    <w:jc w:val="center"/>
                    <w:rPr>
                      <w:sz w:val="18"/>
                      <w:szCs w:val="18"/>
                    </w:rPr>
                  </w:pPr>
                  <w:r>
                    <w:rPr>
                      <w:rFonts w:hint="eastAsia"/>
                      <w:sz w:val="18"/>
                      <w:szCs w:val="18"/>
                    </w:rPr>
                    <w:t>大气</w:t>
                  </w:r>
                </w:p>
              </w:tc>
              <w:tc>
                <w:tcPr>
                  <w:tcW w:w="1700" w:type="dxa"/>
                  <w:gridSpan w:val="3"/>
                  <w:vAlign w:val="center"/>
                </w:tcPr>
                <w:p>
                  <w:pPr>
                    <w:jc w:val="center"/>
                    <w:rPr>
                      <w:sz w:val="18"/>
                      <w:szCs w:val="18"/>
                    </w:rPr>
                  </w:pPr>
                  <w:r>
                    <w:rPr>
                      <w:rFonts w:hint="eastAsia"/>
                      <w:sz w:val="18"/>
                      <w:szCs w:val="18"/>
                    </w:rPr>
                    <w:t>E</w:t>
                  </w:r>
                  <w:r>
                    <w:rPr>
                      <w:sz w:val="18"/>
                      <w:szCs w:val="18"/>
                    </w:rPr>
                    <w:t>1</w:t>
                  </w:r>
                  <w:r>
                    <w:rPr>
                      <w:sz w:val="18"/>
                      <w:szCs w:val="18"/>
                    </w:rPr>
                    <w:sym w:font="Wingdings 2" w:char="00A3"/>
                  </w:r>
                </w:p>
              </w:tc>
              <w:tc>
                <w:tcPr>
                  <w:tcW w:w="2269" w:type="dxa"/>
                  <w:gridSpan w:val="5"/>
                  <w:vAlign w:val="center"/>
                </w:tcPr>
                <w:p>
                  <w:pPr>
                    <w:jc w:val="center"/>
                    <w:rPr>
                      <w:sz w:val="18"/>
                      <w:szCs w:val="18"/>
                    </w:rPr>
                  </w:pPr>
                  <w:r>
                    <w:rPr>
                      <w:rFonts w:hint="eastAsia"/>
                      <w:sz w:val="18"/>
                      <w:szCs w:val="18"/>
                    </w:rPr>
                    <w:t xml:space="preserve">E2 </w:t>
                  </w:r>
                  <w:r>
                    <w:rPr>
                      <w:sz w:val="18"/>
                      <w:szCs w:val="18"/>
                    </w:rPr>
                    <w:sym w:font="Wingdings 2" w:char="00A3"/>
                  </w:r>
                </w:p>
              </w:tc>
              <w:tc>
                <w:tcPr>
                  <w:tcW w:w="1985" w:type="dxa"/>
                  <w:gridSpan w:val="3"/>
                  <w:vAlign w:val="center"/>
                </w:tcPr>
                <w:p>
                  <w:pPr>
                    <w:jc w:val="center"/>
                    <w:rPr>
                      <w:sz w:val="18"/>
                      <w:szCs w:val="18"/>
                    </w:rPr>
                  </w:pPr>
                  <w:r>
                    <w:rPr>
                      <w:rFonts w:hint="eastAsia"/>
                      <w:sz w:val="18"/>
                      <w:szCs w:val="18"/>
                    </w:rPr>
                    <w:t xml:space="preserve">E3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 w:hRule="atLeast"/>
                <w:jc w:val="center"/>
              </w:trPr>
              <w:tc>
                <w:tcPr>
                  <w:tcW w:w="1485" w:type="dxa"/>
                  <w:gridSpan w:val="2"/>
                  <w:vMerge w:val="continue"/>
                  <w:vAlign w:val="center"/>
                </w:tcPr>
                <w:p>
                  <w:pPr>
                    <w:jc w:val="center"/>
                    <w:rPr>
                      <w:sz w:val="18"/>
                      <w:szCs w:val="18"/>
                    </w:rPr>
                  </w:pPr>
                </w:p>
              </w:tc>
              <w:tc>
                <w:tcPr>
                  <w:tcW w:w="1350" w:type="dxa"/>
                  <w:vAlign w:val="center"/>
                </w:tcPr>
                <w:p>
                  <w:pPr>
                    <w:jc w:val="center"/>
                    <w:rPr>
                      <w:sz w:val="18"/>
                      <w:szCs w:val="18"/>
                    </w:rPr>
                  </w:pPr>
                  <w:r>
                    <w:rPr>
                      <w:rFonts w:hint="eastAsia"/>
                      <w:sz w:val="18"/>
                      <w:szCs w:val="18"/>
                    </w:rPr>
                    <w:t>地表水</w:t>
                  </w:r>
                </w:p>
              </w:tc>
              <w:tc>
                <w:tcPr>
                  <w:tcW w:w="1700" w:type="dxa"/>
                  <w:gridSpan w:val="3"/>
                  <w:vAlign w:val="center"/>
                </w:tcPr>
                <w:p>
                  <w:pPr>
                    <w:jc w:val="center"/>
                    <w:rPr>
                      <w:sz w:val="18"/>
                      <w:szCs w:val="18"/>
                    </w:rPr>
                  </w:pPr>
                  <w:r>
                    <w:rPr>
                      <w:rFonts w:hint="eastAsia"/>
                      <w:sz w:val="18"/>
                      <w:szCs w:val="18"/>
                    </w:rPr>
                    <w:t>E</w:t>
                  </w:r>
                  <w:r>
                    <w:rPr>
                      <w:sz w:val="18"/>
                      <w:szCs w:val="18"/>
                    </w:rPr>
                    <w:t>1</w:t>
                  </w:r>
                  <w:r>
                    <w:rPr>
                      <w:sz w:val="18"/>
                      <w:szCs w:val="18"/>
                    </w:rPr>
                    <w:sym w:font="Wingdings 2" w:char="00A3"/>
                  </w:r>
                </w:p>
              </w:tc>
              <w:tc>
                <w:tcPr>
                  <w:tcW w:w="2269" w:type="dxa"/>
                  <w:gridSpan w:val="5"/>
                  <w:vAlign w:val="center"/>
                </w:tcPr>
                <w:p>
                  <w:pPr>
                    <w:jc w:val="center"/>
                    <w:rPr>
                      <w:sz w:val="18"/>
                      <w:szCs w:val="18"/>
                    </w:rPr>
                  </w:pPr>
                  <w:r>
                    <w:rPr>
                      <w:rFonts w:hint="eastAsia"/>
                      <w:sz w:val="18"/>
                      <w:szCs w:val="18"/>
                    </w:rPr>
                    <w:t xml:space="preserve">E2 </w:t>
                  </w:r>
                  <w:r>
                    <w:rPr>
                      <w:sz w:val="18"/>
                      <w:szCs w:val="18"/>
                    </w:rPr>
                    <w:sym w:font="Wingdings 2" w:char="00A3"/>
                  </w:r>
                </w:p>
              </w:tc>
              <w:tc>
                <w:tcPr>
                  <w:tcW w:w="1985" w:type="dxa"/>
                  <w:gridSpan w:val="3"/>
                  <w:vAlign w:val="center"/>
                </w:tcPr>
                <w:p>
                  <w:pPr>
                    <w:jc w:val="center"/>
                    <w:rPr>
                      <w:sz w:val="18"/>
                      <w:szCs w:val="18"/>
                    </w:rPr>
                  </w:pPr>
                  <w:r>
                    <w:rPr>
                      <w:rFonts w:hint="eastAsia"/>
                      <w:sz w:val="18"/>
                      <w:szCs w:val="18"/>
                    </w:rPr>
                    <w:t xml:space="preserve">E3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485" w:type="dxa"/>
                  <w:gridSpan w:val="2"/>
                  <w:vMerge w:val="continue"/>
                  <w:vAlign w:val="center"/>
                </w:tcPr>
                <w:p>
                  <w:pPr>
                    <w:jc w:val="center"/>
                    <w:rPr>
                      <w:sz w:val="18"/>
                      <w:szCs w:val="18"/>
                    </w:rPr>
                  </w:pPr>
                </w:p>
              </w:tc>
              <w:tc>
                <w:tcPr>
                  <w:tcW w:w="1350" w:type="dxa"/>
                  <w:vAlign w:val="center"/>
                </w:tcPr>
                <w:p>
                  <w:pPr>
                    <w:jc w:val="center"/>
                    <w:rPr>
                      <w:sz w:val="18"/>
                      <w:szCs w:val="18"/>
                    </w:rPr>
                  </w:pPr>
                  <w:r>
                    <w:rPr>
                      <w:rFonts w:hint="eastAsia"/>
                      <w:sz w:val="18"/>
                      <w:szCs w:val="18"/>
                    </w:rPr>
                    <w:t>地下水</w:t>
                  </w:r>
                </w:p>
              </w:tc>
              <w:tc>
                <w:tcPr>
                  <w:tcW w:w="1700" w:type="dxa"/>
                  <w:gridSpan w:val="3"/>
                  <w:vAlign w:val="center"/>
                </w:tcPr>
                <w:p>
                  <w:pPr>
                    <w:jc w:val="center"/>
                    <w:rPr>
                      <w:sz w:val="18"/>
                      <w:szCs w:val="18"/>
                    </w:rPr>
                  </w:pPr>
                  <w:r>
                    <w:rPr>
                      <w:rFonts w:hint="eastAsia"/>
                      <w:sz w:val="18"/>
                      <w:szCs w:val="18"/>
                    </w:rPr>
                    <w:t>E</w:t>
                  </w:r>
                  <w:r>
                    <w:rPr>
                      <w:sz w:val="18"/>
                      <w:szCs w:val="18"/>
                    </w:rPr>
                    <w:t>1</w:t>
                  </w:r>
                  <w:r>
                    <w:rPr>
                      <w:sz w:val="18"/>
                      <w:szCs w:val="18"/>
                    </w:rPr>
                    <w:sym w:font="Wingdings 2" w:char="00A3"/>
                  </w:r>
                </w:p>
              </w:tc>
              <w:tc>
                <w:tcPr>
                  <w:tcW w:w="2269" w:type="dxa"/>
                  <w:gridSpan w:val="5"/>
                  <w:vAlign w:val="center"/>
                </w:tcPr>
                <w:p>
                  <w:pPr>
                    <w:jc w:val="center"/>
                    <w:rPr>
                      <w:sz w:val="18"/>
                      <w:szCs w:val="18"/>
                    </w:rPr>
                  </w:pPr>
                  <w:r>
                    <w:rPr>
                      <w:rFonts w:hint="eastAsia"/>
                      <w:sz w:val="18"/>
                      <w:szCs w:val="18"/>
                    </w:rPr>
                    <w:t xml:space="preserve">E2 </w:t>
                  </w:r>
                  <w:r>
                    <w:rPr>
                      <w:sz w:val="18"/>
                      <w:szCs w:val="18"/>
                    </w:rPr>
                    <w:sym w:font="Wingdings 2" w:char="00A3"/>
                  </w:r>
                </w:p>
              </w:tc>
              <w:tc>
                <w:tcPr>
                  <w:tcW w:w="1985" w:type="dxa"/>
                  <w:gridSpan w:val="3"/>
                  <w:vAlign w:val="center"/>
                </w:tcPr>
                <w:p>
                  <w:pPr>
                    <w:jc w:val="center"/>
                    <w:rPr>
                      <w:sz w:val="18"/>
                      <w:szCs w:val="18"/>
                    </w:rPr>
                  </w:pPr>
                  <w:r>
                    <w:rPr>
                      <w:rFonts w:hint="eastAsia"/>
                      <w:sz w:val="18"/>
                      <w:szCs w:val="18"/>
                    </w:rPr>
                    <w:t xml:space="preserve">E3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4" w:hRule="atLeast"/>
                <w:jc w:val="center"/>
              </w:trPr>
              <w:tc>
                <w:tcPr>
                  <w:tcW w:w="1485" w:type="dxa"/>
                  <w:gridSpan w:val="2"/>
                  <w:vAlign w:val="center"/>
                </w:tcPr>
                <w:p>
                  <w:pPr>
                    <w:jc w:val="center"/>
                    <w:rPr>
                      <w:sz w:val="18"/>
                      <w:szCs w:val="18"/>
                    </w:rPr>
                  </w:pPr>
                  <w:r>
                    <w:rPr>
                      <w:rFonts w:hint="eastAsia"/>
                      <w:sz w:val="18"/>
                      <w:szCs w:val="18"/>
                    </w:rPr>
                    <w:t>环境风险潜势</w:t>
                  </w:r>
                </w:p>
              </w:tc>
              <w:tc>
                <w:tcPr>
                  <w:tcW w:w="1350" w:type="dxa"/>
                  <w:vAlign w:val="center"/>
                </w:tcPr>
                <w:p>
                  <w:pPr>
                    <w:jc w:val="center"/>
                    <w:rPr>
                      <w:rFonts w:asciiTheme="minorEastAsia" w:hAnsiTheme="minorEastAsia" w:cstheme="minorEastAsia"/>
                      <w:sz w:val="18"/>
                      <w:szCs w:val="18"/>
                    </w:rPr>
                  </w:pPr>
                  <w:r>
                    <w:rPr>
                      <w:rFonts w:hint="eastAsia" w:ascii="SimSun" w:hAnsi="SimSun" w:cs="SimSun"/>
                      <w:sz w:val="18"/>
                      <w:szCs w:val="18"/>
                    </w:rPr>
                    <w:t>Ⅳ</w:t>
                  </w:r>
                  <w:r>
                    <w:rPr>
                      <w:rFonts w:hint="eastAsia" w:ascii="SimSun" w:hAnsi="SimSun" w:cs="SimSun"/>
                      <w:sz w:val="18"/>
                      <w:szCs w:val="18"/>
                      <w:vertAlign w:val="superscript"/>
                    </w:rPr>
                    <w:t>+</w:t>
                  </w:r>
                  <w:r>
                    <w:rPr>
                      <w:sz w:val="18"/>
                      <w:szCs w:val="18"/>
                    </w:rPr>
                    <w:sym w:font="Wingdings 2" w:char="00A3"/>
                  </w:r>
                </w:p>
              </w:tc>
              <w:tc>
                <w:tcPr>
                  <w:tcW w:w="1700" w:type="dxa"/>
                  <w:gridSpan w:val="3"/>
                  <w:vAlign w:val="center"/>
                </w:tcPr>
                <w:p>
                  <w:pPr>
                    <w:jc w:val="center"/>
                    <w:rPr>
                      <w:sz w:val="18"/>
                      <w:szCs w:val="18"/>
                    </w:rPr>
                  </w:pPr>
                  <w:r>
                    <w:rPr>
                      <w:rFonts w:hint="eastAsia" w:ascii="SimSun" w:hAnsi="SimSun" w:cs="SimSun"/>
                      <w:sz w:val="18"/>
                      <w:szCs w:val="18"/>
                    </w:rPr>
                    <w:t xml:space="preserve">Ⅳ </w:t>
                  </w:r>
                  <w:r>
                    <w:rPr/>
                    <w:sym w:font="Wingdings 2" w:char="0052"/>
                  </w:r>
                </w:p>
              </w:tc>
              <w:tc>
                <w:tcPr>
                  <w:tcW w:w="1640" w:type="dxa"/>
                  <w:gridSpan w:val="4"/>
                  <w:vAlign w:val="center"/>
                </w:tcPr>
                <w:p>
                  <w:pPr>
                    <w:jc w:val="center"/>
                    <w:rPr>
                      <w:sz w:val="18"/>
                      <w:szCs w:val="18"/>
                    </w:rPr>
                  </w:pPr>
                  <w:r>
                    <w:rPr>
                      <w:rFonts w:hint="eastAsia" w:ascii="SimSun" w:hAnsi="SimSun" w:cs="SimSun"/>
                      <w:sz w:val="18"/>
                      <w:szCs w:val="18"/>
                    </w:rPr>
                    <w:t xml:space="preserve">Ⅲ </w:t>
                  </w:r>
                  <w:r>
                    <w:rPr>
                      <w:sz w:val="18"/>
                      <w:szCs w:val="18"/>
                    </w:rPr>
                    <w:sym w:font="Wingdings 2" w:char="00A3"/>
                  </w:r>
                </w:p>
              </w:tc>
              <w:tc>
                <w:tcPr>
                  <w:tcW w:w="1338" w:type="dxa"/>
                  <w:gridSpan w:val="2"/>
                  <w:vAlign w:val="center"/>
                </w:tcPr>
                <w:p>
                  <w:pPr>
                    <w:jc w:val="center"/>
                    <w:rPr>
                      <w:sz w:val="18"/>
                      <w:szCs w:val="18"/>
                    </w:rPr>
                  </w:pPr>
                  <w:r>
                    <w:rPr>
                      <w:rFonts w:hint="eastAsia" w:ascii="SimSun" w:hAnsi="SimSun" w:cs="SimSun"/>
                      <w:sz w:val="18"/>
                      <w:szCs w:val="18"/>
                    </w:rPr>
                    <w:t xml:space="preserve">Ⅱ </w:t>
                  </w:r>
                  <w:r>
                    <w:rPr>
                      <w:sz w:val="18"/>
                      <w:szCs w:val="18"/>
                    </w:rPr>
                    <w:sym w:font="Wingdings 2" w:char="00A3"/>
                  </w:r>
                </w:p>
              </w:tc>
              <w:tc>
                <w:tcPr>
                  <w:tcW w:w="1276" w:type="dxa"/>
                  <w:gridSpan w:val="2"/>
                  <w:vAlign w:val="center"/>
                </w:tcPr>
                <w:p>
                  <w:pPr>
                    <w:jc w:val="center"/>
                    <w:rPr>
                      <w:sz w:val="18"/>
                      <w:szCs w:val="18"/>
                    </w:rPr>
                  </w:pPr>
                  <w:r>
                    <w:rPr>
                      <w:rFonts w:hint="eastAsia" w:ascii="SimSun" w:hAnsi="SimSun" w:cs="SimSun"/>
                      <w:sz w:val="18"/>
                      <w:szCs w:val="18"/>
                    </w:rPr>
                    <w:t xml:space="preserve">Ⅰ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485" w:type="dxa"/>
                  <w:gridSpan w:val="2"/>
                  <w:vAlign w:val="center"/>
                </w:tcPr>
                <w:p>
                  <w:pPr>
                    <w:jc w:val="center"/>
                    <w:rPr>
                      <w:sz w:val="18"/>
                      <w:szCs w:val="18"/>
                    </w:rPr>
                  </w:pPr>
                  <w:r>
                    <w:rPr>
                      <w:rFonts w:hint="eastAsia"/>
                      <w:sz w:val="18"/>
                      <w:szCs w:val="18"/>
                    </w:rPr>
                    <w:t>评价等级</w:t>
                  </w:r>
                </w:p>
              </w:tc>
              <w:tc>
                <w:tcPr>
                  <w:tcW w:w="3050" w:type="dxa"/>
                  <w:gridSpan w:val="4"/>
                  <w:vAlign w:val="center"/>
                </w:tcPr>
                <w:p>
                  <w:pPr>
                    <w:jc w:val="center"/>
                    <w:rPr>
                      <w:rFonts w:ascii="SimSun" w:hAnsi="SimSun" w:cs="SimSun"/>
                      <w:sz w:val="18"/>
                      <w:szCs w:val="18"/>
                    </w:rPr>
                  </w:pPr>
                  <w:r>
                    <w:rPr>
                      <w:rFonts w:hint="eastAsia" w:ascii="SimSun" w:hAnsi="SimSun" w:cs="SimSun"/>
                      <w:sz w:val="18"/>
                      <w:szCs w:val="18"/>
                    </w:rPr>
                    <w:t xml:space="preserve">一级 </w:t>
                  </w:r>
                  <w:r>
                    <w:rPr>
                      <w:sz w:val="18"/>
                      <w:szCs w:val="18"/>
                    </w:rPr>
                    <w:sym w:font="Wingdings 2" w:char="00A3"/>
                  </w:r>
                </w:p>
              </w:tc>
              <w:tc>
                <w:tcPr>
                  <w:tcW w:w="1640" w:type="dxa"/>
                  <w:gridSpan w:val="4"/>
                  <w:vAlign w:val="center"/>
                </w:tcPr>
                <w:p>
                  <w:pPr>
                    <w:jc w:val="center"/>
                    <w:rPr>
                      <w:rFonts w:ascii="SimSun" w:hAnsi="SimSun" w:cs="SimSun"/>
                      <w:sz w:val="18"/>
                      <w:szCs w:val="18"/>
                    </w:rPr>
                  </w:pPr>
                  <w:r>
                    <w:rPr>
                      <w:rFonts w:hint="eastAsia" w:ascii="SimSun" w:hAnsi="SimSun" w:cs="SimSun"/>
                      <w:sz w:val="18"/>
                      <w:szCs w:val="18"/>
                    </w:rPr>
                    <w:t xml:space="preserve">二级 </w:t>
                  </w:r>
                  <w:r>
                    <w:rPr>
                      <w:sz w:val="18"/>
                      <w:szCs w:val="18"/>
                    </w:rPr>
                    <w:sym w:font="Wingdings 2" w:char="00A3"/>
                  </w:r>
                </w:p>
              </w:tc>
              <w:tc>
                <w:tcPr>
                  <w:tcW w:w="1338" w:type="dxa"/>
                  <w:gridSpan w:val="2"/>
                  <w:vAlign w:val="center"/>
                </w:tcPr>
                <w:p>
                  <w:pPr>
                    <w:jc w:val="center"/>
                    <w:rPr>
                      <w:rFonts w:ascii="SimSun" w:hAnsi="SimSun" w:cs="SimSun"/>
                      <w:sz w:val="18"/>
                      <w:szCs w:val="18"/>
                    </w:rPr>
                  </w:pPr>
                  <w:r>
                    <w:rPr>
                      <w:rFonts w:hint="eastAsia" w:ascii="SimSun" w:hAnsi="SimSun" w:cs="SimSun"/>
                      <w:sz w:val="18"/>
                      <w:szCs w:val="18"/>
                    </w:rPr>
                    <w:t xml:space="preserve">三级 </w:t>
                  </w:r>
                  <w:r>
                    <w:rPr>
                      <w:sz w:val="18"/>
                      <w:szCs w:val="18"/>
                    </w:rPr>
                    <w:sym w:font="Wingdings 2" w:char="00A3"/>
                  </w:r>
                </w:p>
              </w:tc>
              <w:tc>
                <w:tcPr>
                  <w:tcW w:w="1276" w:type="dxa"/>
                  <w:gridSpan w:val="2"/>
                  <w:vAlign w:val="center"/>
                </w:tcPr>
                <w:p>
                  <w:pPr>
                    <w:jc w:val="center"/>
                    <w:rPr>
                      <w:rFonts w:ascii="SimSun" w:hAnsi="SimSun" w:cs="SimSun"/>
                      <w:sz w:val="18"/>
                      <w:szCs w:val="18"/>
                    </w:rPr>
                  </w:pPr>
                  <w:r>
                    <w:rPr>
                      <w:rFonts w:hint="eastAsia" w:ascii="SimSun" w:hAnsi="SimSun" w:cs="SimSun"/>
                      <w:sz w:val="18"/>
                      <w:szCs w:val="18"/>
                    </w:rPr>
                    <w:t xml:space="preserve">简单分析 </w:t>
                  </w:r>
                  <w:r>
                    <w:rPr/>
                    <w:sym w:font="Wingdings 2" w:char="0052"/>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365" w:type="dxa"/>
                  <w:vMerge w:val="restart"/>
                  <w:vAlign w:val="center"/>
                </w:tcPr>
                <w:p>
                  <w:pPr>
                    <w:jc w:val="center"/>
                    <w:rPr>
                      <w:sz w:val="18"/>
                      <w:szCs w:val="18"/>
                    </w:rPr>
                  </w:pPr>
                  <w:r>
                    <w:rPr>
                      <w:rFonts w:hint="eastAsia"/>
                      <w:sz w:val="18"/>
                      <w:szCs w:val="18"/>
                    </w:rPr>
                    <w:t>风险识别</w:t>
                  </w:r>
                </w:p>
              </w:tc>
              <w:tc>
                <w:tcPr>
                  <w:tcW w:w="1120" w:type="dxa"/>
                  <w:vAlign w:val="center"/>
                </w:tcPr>
                <w:p>
                  <w:pPr>
                    <w:jc w:val="center"/>
                    <w:rPr>
                      <w:sz w:val="18"/>
                      <w:szCs w:val="18"/>
                    </w:rPr>
                  </w:pPr>
                  <w:r>
                    <w:rPr>
                      <w:rFonts w:hint="eastAsia"/>
                      <w:sz w:val="18"/>
                      <w:szCs w:val="18"/>
                    </w:rPr>
                    <w:t>物质危险性</w:t>
                  </w:r>
                </w:p>
              </w:tc>
              <w:tc>
                <w:tcPr>
                  <w:tcW w:w="3977" w:type="dxa"/>
                  <w:gridSpan w:val="6"/>
                  <w:vAlign w:val="center"/>
                </w:tcPr>
                <w:p>
                  <w:pPr>
                    <w:jc w:val="center"/>
                    <w:rPr>
                      <w:sz w:val="18"/>
                      <w:szCs w:val="18"/>
                    </w:rPr>
                  </w:pPr>
                  <w:r>
                    <w:rPr>
                      <w:rFonts w:hint="eastAsia"/>
                      <w:sz w:val="18"/>
                      <w:szCs w:val="18"/>
                    </w:rPr>
                    <w:t xml:space="preserve">有毒有害 </w:t>
                  </w:r>
                  <w:r>
                    <w:rPr>
                      <w:sz w:val="18"/>
                      <w:szCs w:val="18"/>
                    </w:rPr>
                    <w:sym w:font="Wingdings 2" w:char="00A3"/>
                  </w:r>
                </w:p>
              </w:tc>
              <w:tc>
                <w:tcPr>
                  <w:tcW w:w="3327" w:type="dxa"/>
                  <w:gridSpan w:val="6"/>
                  <w:vAlign w:val="center"/>
                </w:tcPr>
                <w:p>
                  <w:pPr>
                    <w:jc w:val="center"/>
                    <w:rPr>
                      <w:sz w:val="18"/>
                      <w:szCs w:val="18"/>
                    </w:rPr>
                  </w:pPr>
                  <w:r>
                    <w:rPr>
                      <w:rFonts w:hint="eastAsia"/>
                      <w:sz w:val="18"/>
                      <w:szCs w:val="18"/>
                    </w:rPr>
                    <w:t xml:space="preserve">易燃易爆 </w:t>
                  </w:r>
                  <w:r>
                    <w:rPr/>
                    <w:sym w:font="Wingdings 2" w:char="0052"/>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5" w:type="dxa"/>
                  <w:vMerge w:val="continue"/>
                  <w:vAlign w:val="center"/>
                </w:tcPr>
                <w:p>
                  <w:pPr>
                    <w:jc w:val="center"/>
                    <w:rPr>
                      <w:sz w:val="18"/>
                      <w:szCs w:val="18"/>
                    </w:rPr>
                  </w:pPr>
                </w:p>
              </w:tc>
              <w:tc>
                <w:tcPr>
                  <w:tcW w:w="1120" w:type="dxa"/>
                  <w:vAlign w:val="center"/>
                </w:tcPr>
                <w:p>
                  <w:pPr>
                    <w:jc w:val="center"/>
                    <w:rPr>
                      <w:sz w:val="18"/>
                      <w:szCs w:val="18"/>
                    </w:rPr>
                  </w:pPr>
                  <w:r>
                    <w:rPr>
                      <w:rFonts w:hint="eastAsia"/>
                      <w:sz w:val="18"/>
                      <w:szCs w:val="18"/>
                    </w:rPr>
                    <w:t>环境风险</w:t>
                  </w:r>
                </w:p>
                <w:p>
                  <w:pPr>
                    <w:jc w:val="center"/>
                    <w:rPr>
                      <w:sz w:val="18"/>
                      <w:szCs w:val="18"/>
                    </w:rPr>
                  </w:pPr>
                  <w:r>
                    <w:rPr>
                      <w:rFonts w:hint="eastAsia"/>
                      <w:sz w:val="18"/>
                      <w:szCs w:val="18"/>
                    </w:rPr>
                    <w:t>类型</w:t>
                  </w:r>
                </w:p>
              </w:tc>
              <w:tc>
                <w:tcPr>
                  <w:tcW w:w="3050" w:type="dxa"/>
                  <w:gridSpan w:val="4"/>
                  <w:vAlign w:val="center"/>
                </w:tcPr>
                <w:p>
                  <w:pPr>
                    <w:jc w:val="center"/>
                    <w:rPr>
                      <w:sz w:val="18"/>
                      <w:szCs w:val="18"/>
                    </w:rPr>
                  </w:pPr>
                  <w:r>
                    <w:rPr>
                      <w:rFonts w:hint="eastAsia"/>
                      <w:sz w:val="18"/>
                      <w:szCs w:val="18"/>
                    </w:rPr>
                    <w:t xml:space="preserve">泄露 </w:t>
                  </w:r>
                  <w:r>
                    <w:rPr/>
                    <w:sym w:font="Wingdings 2" w:char="0052"/>
                  </w:r>
                </w:p>
              </w:tc>
              <w:tc>
                <w:tcPr>
                  <w:tcW w:w="4254" w:type="dxa"/>
                  <w:gridSpan w:val="8"/>
                  <w:vAlign w:val="center"/>
                </w:tcPr>
                <w:p>
                  <w:pPr>
                    <w:jc w:val="center"/>
                    <w:rPr>
                      <w:sz w:val="18"/>
                      <w:szCs w:val="18"/>
                    </w:rPr>
                  </w:pPr>
                  <w:r>
                    <w:rPr>
                      <w:rFonts w:hint="eastAsia"/>
                      <w:sz w:val="18"/>
                      <w:szCs w:val="18"/>
                    </w:rPr>
                    <w:t xml:space="preserve">火灾、爆炸引发伴生/次生污染物排放 </w:t>
                  </w:r>
                  <w:r>
                    <w:rPr/>
                    <w:sym w:font="Wingdings 2" w:char="0052"/>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365" w:type="dxa"/>
                  <w:vMerge w:val="continue"/>
                  <w:vAlign w:val="center"/>
                </w:tcPr>
                <w:p>
                  <w:pPr>
                    <w:jc w:val="center"/>
                    <w:rPr>
                      <w:sz w:val="18"/>
                      <w:szCs w:val="18"/>
                    </w:rPr>
                  </w:pPr>
                </w:p>
              </w:tc>
              <w:tc>
                <w:tcPr>
                  <w:tcW w:w="1120" w:type="dxa"/>
                  <w:vAlign w:val="center"/>
                </w:tcPr>
                <w:p>
                  <w:pPr>
                    <w:jc w:val="center"/>
                    <w:rPr>
                      <w:sz w:val="18"/>
                      <w:szCs w:val="18"/>
                    </w:rPr>
                  </w:pPr>
                  <w:r>
                    <w:rPr>
                      <w:rFonts w:hint="eastAsia"/>
                      <w:sz w:val="18"/>
                      <w:szCs w:val="18"/>
                    </w:rPr>
                    <w:t>影响途径</w:t>
                  </w:r>
                </w:p>
              </w:tc>
              <w:tc>
                <w:tcPr>
                  <w:tcW w:w="3050" w:type="dxa"/>
                  <w:gridSpan w:val="4"/>
                  <w:vAlign w:val="center"/>
                </w:tcPr>
                <w:p>
                  <w:pPr>
                    <w:jc w:val="center"/>
                    <w:rPr>
                      <w:sz w:val="18"/>
                      <w:szCs w:val="18"/>
                    </w:rPr>
                  </w:pPr>
                  <w:r>
                    <w:rPr>
                      <w:rFonts w:hint="eastAsia"/>
                      <w:sz w:val="18"/>
                      <w:szCs w:val="18"/>
                    </w:rPr>
                    <w:t xml:space="preserve">大气 </w:t>
                  </w:r>
                  <w:r>
                    <w:rPr/>
                    <w:sym w:font="Wingdings 2" w:char="0052"/>
                  </w:r>
                </w:p>
              </w:tc>
              <w:tc>
                <w:tcPr>
                  <w:tcW w:w="2269" w:type="dxa"/>
                  <w:gridSpan w:val="5"/>
                  <w:vAlign w:val="center"/>
                </w:tcPr>
                <w:p>
                  <w:pPr>
                    <w:jc w:val="center"/>
                    <w:rPr>
                      <w:sz w:val="18"/>
                      <w:szCs w:val="18"/>
                    </w:rPr>
                  </w:pPr>
                  <w:r>
                    <w:rPr>
                      <w:rFonts w:hint="eastAsia"/>
                      <w:sz w:val="18"/>
                      <w:szCs w:val="18"/>
                    </w:rPr>
                    <w:t xml:space="preserve">地表水 </w:t>
                  </w:r>
                  <w:r>
                    <w:rPr>
                      <w:sz w:val="18"/>
                      <w:szCs w:val="18"/>
                    </w:rPr>
                    <w:sym w:font="Wingdings 2" w:char="00A3"/>
                  </w:r>
                </w:p>
              </w:tc>
              <w:tc>
                <w:tcPr>
                  <w:tcW w:w="1985" w:type="dxa"/>
                  <w:gridSpan w:val="3"/>
                  <w:vAlign w:val="center"/>
                </w:tcPr>
                <w:p>
                  <w:pPr>
                    <w:jc w:val="center"/>
                    <w:rPr>
                      <w:sz w:val="18"/>
                      <w:szCs w:val="18"/>
                    </w:rPr>
                  </w:pPr>
                  <w:r>
                    <w:rPr>
                      <w:rFonts w:hint="eastAsia"/>
                      <w:sz w:val="18"/>
                      <w:szCs w:val="18"/>
                    </w:rPr>
                    <w:t xml:space="preserve">地下水 </w:t>
                  </w:r>
                  <w:r>
                    <w:rPr/>
                    <w:sym w:font="Wingdings 2" w:char="0052"/>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1485" w:type="dxa"/>
                  <w:gridSpan w:val="2"/>
                  <w:vAlign w:val="center"/>
                </w:tcPr>
                <w:p>
                  <w:pPr>
                    <w:jc w:val="center"/>
                    <w:rPr>
                      <w:sz w:val="18"/>
                      <w:szCs w:val="18"/>
                    </w:rPr>
                  </w:pPr>
                  <w:r>
                    <w:rPr>
                      <w:rFonts w:hint="eastAsia"/>
                      <w:sz w:val="18"/>
                      <w:szCs w:val="18"/>
                    </w:rPr>
                    <w:t>事故情形分析</w:t>
                  </w:r>
                </w:p>
              </w:tc>
              <w:tc>
                <w:tcPr>
                  <w:tcW w:w="1350" w:type="dxa"/>
                  <w:vAlign w:val="center"/>
                </w:tcPr>
                <w:p>
                  <w:pPr>
                    <w:jc w:val="center"/>
                    <w:rPr>
                      <w:sz w:val="18"/>
                      <w:szCs w:val="18"/>
                    </w:rPr>
                  </w:pPr>
                  <w:r>
                    <w:rPr>
                      <w:rFonts w:hint="eastAsia"/>
                      <w:sz w:val="18"/>
                      <w:szCs w:val="18"/>
                    </w:rPr>
                    <w:t>源强设定方法</w:t>
                  </w:r>
                </w:p>
              </w:tc>
              <w:tc>
                <w:tcPr>
                  <w:tcW w:w="1700" w:type="dxa"/>
                  <w:gridSpan w:val="3"/>
                  <w:vAlign w:val="center"/>
                </w:tcPr>
                <w:p>
                  <w:pPr>
                    <w:jc w:val="center"/>
                    <w:rPr>
                      <w:sz w:val="18"/>
                      <w:szCs w:val="18"/>
                    </w:rPr>
                  </w:pPr>
                  <w:r>
                    <w:rPr>
                      <w:rFonts w:hint="eastAsia"/>
                      <w:sz w:val="18"/>
                      <w:szCs w:val="18"/>
                    </w:rPr>
                    <w:t xml:space="preserve">计算法 </w:t>
                  </w:r>
                  <w:r>
                    <w:rPr>
                      <w:sz w:val="18"/>
                      <w:szCs w:val="18"/>
                    </w:rPr>
                    <w:sym w:font="Wingdings 2" w:char="00A3"/>
                  </w:r>
                </w:p>
              </w:tc>
              <w:tc>
                <w:tcPr>
                  <w:tcW w:w="2269" w:type="dxa"/>
                  <w:gridSpan w:val="5"/>
                  <w:vAlign w:val="center"/>
                </w:tcPr>
                <w:p>
                  <w:pPr>
                    <w:jc w:val="center"/>
                    <w:rPr>
                      <w:sz w:val="18"/>
                      <w:szCs w:val="18"/>
                    </w:rPr>
                  </w:pPr>
                  <w:r>
                    <w:rPr>
                      <w:rFonts w:hint="eastAsia"/>
                      <w:sz w:val="18"/>
                      <w:szCs w:val="18"/>
                    </w:rPr>
                    <w:t xml:space="preserve">经验估算法 </w:t>
                  </w:r>
                  <w:r>
                    <w:rPr>
                      <w:sz w:val="18"/>
                      <w:szCs w:val="18"/>
                    </w:rPr>
                    <w:sym w:font="Wingdings 2" w:char="00A3"/>
                  </w:r>
                </w:p>
              </w:tc>
              <w:tc>
                <w:tcPr>
                  <w:tcW w:w="1985" w:type="dxa"/>
                  <w:gridSpan w:val="3"/>
                  <w:vAlign w:val="center"/>
                </w:tcPr>
                <w:p>
                  <w:pPr>
                    <w:jc w:val="center"/>
                    <w:rPr>
                      <w:sz w:val="18"/>
                      <w:szCs w:val="18"/>
                    </w:rPr>
                  </w:pPr>
                  <w:r>
                    <w:rPr>
                      <w:rFonts w:hint="eastAsia"/>
                      <w:sz w:val="18"/>
                      <w:szCs w:val="18"/>
                    </w:rPr>
                    <w:t xml:space="preserve">其他估算法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5" w:type="dxa"/>
                  <w:vMerge w:val="restart"/>
                  <w:vAlign w:val="center"/>
                </w:tcPr>
                <w:p>
                  <w:pPr>
                    <w:jc w:val="center"/>
                    <w:rPr>
                      <w:sz w:val="18"/>
                      <w:szCs w:val="18"/>
                    </w:rPr>
                  </w:pPr>
                  <w:r>
                    <w:rPr>
                      <w:rFonts w:hint="eastAsia"/>
                      <w:sz w:val="18"/>
                      <w:szCs w:val="18"/>
                    </w:rPr>
                    <w:t>风险预测与评价</w:t>
                  </w:r>
                </w:p>
              </w:tc>
              <w:tc>
                <w:tcPr>
                  <w:tcW w:w="1120" w:type="dxa"/>
                  <w:vMerge w:val="restart"/>
                  <w:vAlign w:val="center"/>
                </w:tcPr>
                <w:p>
                  <w:pPr>
                    <w:jc w:val="center"/>
                    <w:rPr>
                      <w:sz w:val="18"/>
                      <w:szCs w:val="18"/>
                    </w:rPr>
                  </w:pPr>
                  <w:r>
                    <w:rPr>
                      <w:rFonts w:hint="eastAsia"/>
                      <w:sz w:val="18"/>
                      <w:szCs w:val="18"/>
                    </w:rPr>
                    <w:t>大气</w:t>
                  </w:r>
                </w:p>
              </w:tc>
              <w:tc>
                <w:tcPr>
                  <w:tcW w:w="1350" w:type="dxa"/>
                  <w:vAlign w:val="center"/>
                </w:tcPr>
                <w:p>
                  <w:pPr>
                    <w:jc w:val="center"/>
                    <w:rPr>
                      <w:sz w:val="18"/>
                      <w:szCs w:val="18"/>
                    </w:rPr>
                  </w:pPr>
                  <w:r>
                    <w:rPr>
                      <w:rFonts w:hint="eastAsia"/>
                      <w:sz w:val="18"/>
                      <w:szCs w:val="18"/>
                    </w:rPr>
                    <w:t>预测模型</w:t>
                  </w:r>
                </w:p>
              </w:tc>
              <w:tc>
                <w:tcPr>
                  <w:tcW w:w="1700" w:type="dxa"/>
                  <w:gridSpan w:val="3"/>
                  <w:vAlign w:val="center"/>
                </w:tcPr>
                <w:p>
                  <w:pPr>
                    <w:jc w:val="center"/>
                    <w:rPr>
                      <w:sz w:val="18"/>
                      <w:szCs w:val="18"/>
                    </w:rPr>
                  </w:pPr>
                  <w:r>
                    <w:rPr>
                      <w:sz w:val="18"/>
                      <w:szCs w:val="18"/>
                    </w:rPr>
                    <w:t xml:space="preserve">SLAB </w:t>
                  </w:r>
                  <w:r>
                    <w:rPr>
                      <w:sz w:val="18"/>
                      <w:szCs w:val="18"/>
                    </w:rPr>
                    <w:sym w:font="Wingdings 2" w:char="00A3"/>
                  </w:r>
                </w:p>
              </w:tc>
              <w:tc>
                <w:tcPr>
                  <w:tcW w:w="2269" w:type="dxa"/>
                  <w:gridSpan w:val="5"/>
                  <w:vAlign w:val="center"/>
                </w:tcPr>
                <w:p>
                  <w:pPr>
                    <w:jc w:val="center"/>
                    <w:rPr>
                      <w:sz w:val="18"/>
                      <w:szCs w:val="18"/>
                    </w:rPr>
                  </w:pPr>
                  <w:r>
                    <w:rPr>
                      <w:sz w:val="18"/>
                      <w:szCs w:val="18"/>
                    </w:rPr>
                    <w:t xml:space="preserve">AFTOX </w:t>
                  </w:r>
                  <w:r>
                    <w:rPr>
                      <w:sz w:val="18"/>
                      <w:szCs w:val="18"/>
                    </w:rPr>
                    <w:sym w:font="Wingdings 2" w:char="00A3"/>
                  </w:r>
                </w:p>
              </w:tc>
              <w:tc>
                <w:tcPr>
                  <w:tcW w:w="1985" w:type="dxa"/>
                  <w:gridSpan w:val="3"/>
                  <w:vAlign w:val="center"/>
                </w:tcPr>
                <w:p>
                  <w:pPr>
                    <w:jc w:val="center"/>
                    <w:rPr>
                      <w:sz w:val="18"/>
                      <w:szCs w:val="18"/>
                    </w:rPr>
                  </w:pPr>
                  <w:r>
                    <w:rPr>
                      <w:sz w:val="18"/>
                      <w:szCs w:val="18"/>
                    </w:rPr>
                    <w:t xml:space="preserve">其他 </w:t>
                  </w:r>
                  <w:r>
                    <w:rPr>
                      <w:sz w:val="18"/>
                      <w:szCs w:val="18"/>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restart"/>
                  <w:vAlign w:val="center"/>
                </w:tcPr>
                <w:p>
                  <w:pPr>
                    <w:jc w:val="center"/>
                    <w:rPr>
                      <w:sz w:val="18"/>
                      <w:szCs w:val="18"/>
                    </w:rPr>
                  </w:pPr>
                  <w:r>
                    <w:rPr>
                      <w:rFonts w:hint="eastAsia"/>
                      <w:sz w:val="18"/>
                      <w:szCs w:val="18"/>
                    </w:rPr>
                    <w:t>预测结果</w:t>
                  </w:r>
                </w:p>
              </w:tc>
              <w:tc>
                <w:tcPr>
                  <w:tcW w:w="5954" w:type="dxa"/>
                  <w:gridSpan w:val="11"/>
                  <w:vAlign w:val="center"/>
                </w:tcPr>
                <w:p>
                  <w:pPr>
                    <w:jc w:val="center"/>
                    <w:rPr>
                      <w:sz w:val="18"/>
                      <w:szCs w:val="18"/>
                    </w:rPr>
                  </w:pPr>
                  <w:r>
                    <w:rPr>
                      <w:rFonts w:hint="eastAsia"/>
                      <w:sz w:val="18"/>
                      <w:szCs w:val="18"/>
                    </w:rPr>
                    <w:t>大气毒性终点浓度-1 最大影响范围m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1350" w:type="dxa"/>
                  <w:vMerge w:val="continue"/>
                  <w:vAlign w:val="center"/>
                </w:tcPr>
                <w:p>
                  <w:pPr>
                    <w:jc w:val="center"/>
                    <w:rPr>
                      <w:sz w:val="18"/>
                      <w:szCs w:val="18"/>
                    </w:rPr>
                  </w:pPr>
                </w:p>
              </w:tc>
              <w:tc>
                <w:tcPr>
                  <w:tcW w:w="5954" w:type="dxa"/>
                  <w:gridSpan w:val="11"/>
                  <w:vAlign w:val="center"/>
                </w:tcPr>
                <w:p>
                  <w:pPr>
                    <w:jc w:val="center"/>
                    <w:rPr>
                      <w:sz w:val="18"/>
                      <w:szCs w:val="18"/>
                    </w:rPr>
                  </w:pPr>
                  <w:r>
                    <w:rPr>
                      <w:rFonts w:hint="eastAsia"/>
                      <w:sz w:val="18"/>
                      <w:szCs w:val="18"/>
                    </w:rPr>
                    <w:t>大气毒性终点浓度-2 最大影响范围m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center"/>
              </w:trPr>
              <w:tc>
                <w:tcPr>
                  <w:tcW w:w="365" w:type="dxa"/>
                  <w:vMerge w:val="continue"/>
                  <w:vAlign w:val="center"/>
                </w:tcPr>
                <w:p>
                  <w:pPr>
                    <w:jc w:val="center"/>
                    <w:rPr>
                      <w:sz w:val="18"/>
                      <w:szCs w:val="18"/>
                    </w:rPr>
                  </w:pPr>
                </w:p>
              </w:tc>
              <w:tc>
                <w:tcPr>
                  <w:tcW w:w="1120" w:type="dxa"/>
                  <w:vAlign w:val="center"/>
                </w:tcPr>
                <w:p>
                  <w:pPr>
                    <w:jc w:val="center"/>
                    <w:rPr>
                      <w:sz w:val="18"/>
                      <w:szCs w:val="18"/>
                    </w:rPr>
                  </w:pPr>
                  <w:r>
                    <w:rPr>
                      <w:rFonts w:hint="eastAsia"/>
                      <w:sz w:val="18"/>
                      <w:szCs w:val="18"/>
                    </w:rPr>
                    <w:t>地表水</w:t>
                  </w:r>
                </w:p>
              </w:tc>
              <w:tc>
                <w:tcPr>
                  <w:tcW w:w="7304" w:type="dxa"/>
                  <w:gridSpan w:val="12"/>
                  <w:vAlign w:val="center"/>
                </w:tcPr>
                <w:p>
                  <w:pPr>
                    <w:jc w:val="center"/>
                    <w:rPr>
                      <w:sz w:val="18"/>
                      <w:szCs w:val="18"/>
                    </w:rPr>
                  </w:pPr>
                  <w:r>
                    <w:rPr>
                      <w:rFonts w:hint="eastAsia"/>
                      <w:sz w:val="18"/>
                      <w:szCs w:val="18"/>
                    </w:rPr>
                    <w:t>最近环境敏感目标，到达时间h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jc w:val="center"/>
              </w:trPr>
              <w:tc>
                <w:tcPr>
                  <w:tcW w:w="365" w:type="dxa"/>
                  <w:vMerge w:val="continue"/>
                  <w:vAlign w:val="center"/>
                </w:tcPr>
                <w:p>
                  <w:pPr>
                    <w:jc w:val="center"/>
                    <w:rPr>
                      <w:sz w:val="18"/>
                      <w:szCs w:val="18"/>
                    </w:rPr>
                  </w:pPr>
                </w:p>
              </w:tc>
              <w:tc>
                <w:tcPr>
                  <w:tcW w:w="1120" w:type="dxa"/>
                  <w:vMerge w:val="restart"/>
                  <w:vAlign w:val="center"/>
                </w:tcPr>
                <w:p>
                  <w:pPr>
                    <w:jc w:val="center"/>
                    <w:rPr>
                      <w:sz w:val="18"/>
                      <w:szCs w:val="18"/>
                    </w:rPr>
                  </w:pPr>
                  <w:r>
                    <w:rPr>
                      <w:rFonts w:hint="eastAsia"/>
                      <w:sz w:val="18"/>
                      <w:szCs w:val="18"/>
                    </w:rPr>
                    <w:t>地下水</w:t>
                  </w:r>
                </w:p>
              </w:tc>
              <w:tc>
                <w:tcPr>
                  <w:tcW w:w="7304" w:type="dxa"/>
                  <w:gridSpan w:val="12"/>
                  <w:vAlign w:val="center"/>
                </w:tcPr>
                <w:p>
                  <w:pPr>
                    <w:jc w:val="center"/>
                    <w:rPr>
                      <w:sz w:val="18"/>
                      <w:szCs w:val="18"/>
                    </w:rPr>
                  </w:pPr>
                  <w:r>
                    <w:rPr>
                      <w:rFonts w:hint="eastAsia"/>
                      <w:sz w:val="18"/>
                      <w:szCs w:val="18"/>
                    </w:rPr>
                    <w:t>下游厂区边界到达时间d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65" w:type="dxa"/>
                  <w:vMerge w:val="continue"/>
                  <w:vAlign w:val="center"/>
                </w:tcPr>
                <w:p>
                  <w:pPr>
                    <w:jc w:val="center"/>
                    <w:rPr>
                      <w:sz w:val="18"/>
                      <w:szCs w:val="18"/>
                    </w:rPr>
                  </w:pPr>
                </w:p>
              </w:tc>
              <w:tc>
                <w:tcPr>
                  <w:tcW w:w="1120" w:type="dxa"/>
                  <w:vMerge w:val="continue"/>
                  <w:vAlign w:val="center"/>
                </w:tcPr>
                <w:p>
                  <w:pPr>
                    <w:jc w:val="center"/>
                    <w:rPr>
                      <w:sz w:val="18"/>
                      <w:szCs w:val="18"/>
                    </w:rPr>
                  </w:pPr>
                </w:p>
              </w:tc>
              <w:tc>
                <w:tcPr>
                  <w:tcW w:w="7304" w:type="dxa"/>
                  <w:gridSpan w:val="12"/>
                  <w:vAlign w:val="center"/>
                </w:tcPr>
                <w:p>
                  <w:pPr>
                    <w:jc w:val="center"/>
                    <w:rPr>
                      <w:sz w:val="18"/>
                      <w:szCs w:val="18"/>
                    </w:rPr>
                  </w:pPr>
                  <w:r>
                    <w:rPr>
                      <w:rFonts w:hint="eastAsia"/>
                      <w:sz w:val="18"/>
                      <w:szCs w:val="18"/>
                    </w:rPr>
                    <w:t>最近环境敏感目标，到达时间d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3" w:hRule="atLeast"/>
                <w:jc w:val="center"/>
              </w:trPr>
              <w:tc>
                <w:tcPr>
                  <w:tcW w:w="1485" w:type="dxa"/>
                  <w:gridSpan w:val="2"/>
                  <w:vAlign w:val="center"/>
                </w:tcPr>
                <w:p>
                  <w:pPr>
                    <w:jc w:val="center"/>
                    <w:rPr>
                      <w:sz w:val="18"/>
                      <w:szCs w:val="18"/>
                    </w:rPr>
                  </w:pPr>
                  <w:r>
                    <w:rPr>
                      <w:rFonts w:hint="eastAsia"/>
                      <w:sz w:val="18"/>
                      <w:szCs w:val="18"/>
                    </w:rPr>
                    <w:t>重点风险防范</w:t>
                  </w:r>
                </w:p>
                <w:p>
                  <w:pPr>
                    <w:jc w:val="center"/>
                    <w:rPr>
                      <w:sz w:val="18"/>
                      <w:szCs w:val="18"/>
                    </w:rPr>
                  </w:pPr>
                  <w:r>
                    <w:rPr>
                      <w:rFonts w:hint="eastAsia"/>
                      <w:sz w:val="18"/>
                      <w:szCs w:val="18"/>
                    </w:rPr>
                    <w:t>措施</w:t>
                  </w:r>
                </w:p>
              </w:tc>
              <w:tc>
                <w:tcPr>
                  <w:tcW w:w="7304" w:type="dxa"/>
                  <w:gridSpan w:val="1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1485" w:type="dxa"/>
                  <w:gridSpan w:val="2"/>
                  <w:vAlign w:val="center"/>
                </w:tcPr>
                <w:p>
                  <w:pPr>
                    <w:jc w:val="center"/>
                    <w:rPr>
                      <w:sz w:val="18"/>
                      <w:szCs w:val="18"/>
                    </w:rPr>
                  </w:pPr>
                  <w:r>
                    <w:rPr>
                      <w:rFonts w:hint="eastAsia"/>
                      <w:sz w:val="18"/>
                      <w:szCs w:val="18"/>
                    </w:rPr>
                    <w:t>评价结论与建议</w:t>
                  </w:r>
                </w:p>
              </w:tc>
              <w:tc>
                <w:tcPr>
                  <w:tcW w:w="7304" w:type="dxa"/>
                  <w:gridSpan w:val="1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789" w:type="dxa"/>
                  <w:gridSpan w:val="14"/>
                  <w:vAlign w:val="center"/>
                </w:tcPr>
                <w:p>
                  <w:pPr>
                    <w:rPr>
                      <w:sz w:val="18"/>
                      <w:szCs w:val="18"/>
                    </w:rPr>
                  </w:pPr>
                  <w:r>
                    <w:rPr>
                      <w:rFonts w:hint="eastAsia"/>
                      <w:sz w:val="18"/>
                      <w:szCs w:val="18"/>
                    </w:rPr>
                    <w:t>注：“</w:t>
                  </w:r>
                  <w:r>
                    <w:rPr>
                      <w:rFonts w:hint="eastAsia"/>
                      <w:sz w:val="18"/>
                      <w:szCs w:val="18"/>
                    </w:rPr>
                    <w:sym w:font="Wingdings 2" w:char="00A3"/>
                  </w:r>
                  <w:r>
                    <w:rPr>
                      <w:rFonts w:hint="eastAsia"/>
                      <w:sz w:val="18"/>
                      <w:szCs w:val="18"/>
                    </w:rPr>
                    <w:t>”为勾选项，“”为填写项。</w:t>
                  </w:r>
                </w:p>
              </w:tc>
            </w:tr>
          </w:tbl>
          <w:p>
            <w:pPr>
              <w:pStyle w:val="4"/>
              <w:ind w:firstLine="482"/>
            </w:pPr>
          </w:p>
          <w:p>
            <w:pPr>
              <w:pStyle w:val="4"/>
              <w:ind w:firstLine="482"/>
            </w:pPr>
            <w:r>
              <w:rPr>
                <w:rFonts w:hint="eastAsia"/>
              </w:rPr>
              <w:t>四、环境管理及环境监测</w:t>
            </w:r>
          </w:p>
          <w:p>
            <w:pPr>
              <w:pStyle w:val="37"/>
              <w:ind w:firstLine="480"/>
            </w:pPr>
            <w:r>
              <w:rPr>
                <w:rFonts w:hint="eastAsia"/>
              </w:rPr>
              <w:t>（1）环境管理</w:t>
            </w:r>
          </w:p>
          <w:p>
            <w:pPr>
              <w:pStyle w:val="37"/>
              <w:ind w:firstLine="480"/>
            </w:pPr>
            <w:r>
              <w:rPr>
                <w:rFonts w:hint="eastAsia"/>
              </w:rPr>
              <w:t>1）施工期环境管理</w:t>
            </w:r>
          </w:p>
          <w:p>
            <w:pPr>
              <w:pStyle w:val="37"/>
              <w:ind w:firstLine="480"/>
            </w:pPr>
            <w:r>
              <w:rPr>
                <w:rFonts w:hint="eastAsia"/>
              </w:rPr>
              <w:t>本项目为改扩建项目，应按照相关规定做好区域环境保护工作：</w:t>
            </w:r>
          </w:p>
          <w:p>
            <w:pPr>
              <w:pStyle w:val="37"/>
              <w:ind w:firstLine="480"/>
            </w:pPr>
            <w:r>
              <w:rPr>
                <w:rFonts w:hint="eastAsia"/>
              </w:rPr>
              <w:t>A</w:t>
            </w:r>
            <w:r>
              <w:t>、合理使用土地。</w:t>
            </w:r>
          </w:p>
          <w:p>
            <w:pPr>
              <w:pStyle w:val="37"/>
              <w:ind w:firstLine="480"/>
            </w:pPr>
            <w:r>
              <w:t>B、土石方施工时，尽量避开雨季，并结合地质情况，把临时防排水与现有排水设施相结合，减少冲刷，防止水土流失。</w:t>
            </w:r>
          </w:p>
          <w:p>
            <w:pPr>
              <w:pStyle w:val="37"/>
              <w:ind w:firstLine="480"/>
            </w:pPr>
            <w:r>
              <w:rPr>
                <w:rFonts w:hint="eastAsia"/>
              </w:rPr>
              <w:t>C</w:t>
            </w:r>
            <w:r>
              <w:t>、弃土、弃碴时做到不多占用土地，少破坏植被，及时实施防护。</w:t>
            </w:r>
          </w:p>
          <w:p>
            <w:pPr>
              <w:pStyle w:val="37"/>
              <w:ind w:firstLine="480"/>
            </w:pPr>
            <w:r>
              <w:rPr>
                <w:rFonts w:hint="eastAsia"/>
              </w:rPr>
              <w:t>D</w:t>
            </w:r>
            <w:r>
              <w:t>、及时清理</w:t>
            </w:r>
            <w:r>
              <w:rPr>
                <w:rFonts w:hint="eastAsia"/>
              </w:rPr>
              <w:t>垃圾</w:t>
            </w:r>
            <w:r>
              <w:t>并保持生产、生活区环境卫生，严禁随意倾倒垃圾</w:t>
            </w:r>
            <w:r>
              <w:rPr>
                <w:rFonts w:hint="eastAsia"/>
              </w:rPr>
              <w:t>。</w:t>
            </w:r>
          </w:p>
          <w:p>
            <w:pPr>
              <w:pStyle w:val="37"/>
              <w:ind w:firstLine="480"/>
            </w:pPr>
            <w:r>
              <w:rPr>
                <w:rFonts w:hint="eastAsia"/>
              </w:rPr>
              <w:t>E</w:t>
            </w:r>
            <w:r>
              <w:t>、在有粉尘的作业环境中作业，除洒水降尘外，作业人员还必须配备劳保用品。</w:t>
            </w:r>
          </w:p>
          <w:p>
            <w:pPr>
              <w:pStyle w:val="37"/>
              <w:ind w:firstLine="480"/>
            </w:pPr>
            <w:r>
              <w:rPr>
                <w:rFonts w:hint="eastAsia"/>
              </w:rPr>
              <w:t>F</w:t>
            </w:r>
            <w:r>
              <w:t>、经常征求当地环保部门及当地群众对施工范围内环保工作的意见，及时整改，避免和减少由于施工方法不当引起的环境污染和破坏。</w:t>
            </w:r>
          </w:p>
          <w:p>
            <w:pPr>
              <w:pStyle w:val="37"/>
              <w:ind w:firstLine="480"/>
            </w:pPr>
            <w:r>
              <w:rPr>
                <w:rFonts w:hint="eastAsia"/>
              </w:rPr>
              <w:t>2）运营期环境管理</w:t>
            </w:r>
          </w:p>
          <w:p>
            <w:pPr>
              <w:pStyle w:val="37"/>
              <w:ind w:firstLine="480"/>
            </w:pPr>
            <w:r>
              <w:t>运营期环境管理任务的重点是</w:t>
            </w:r>
            <w:r>
              <w:rPr>
                <w:rFonts w:hint="eastAsia"/>
              </w:rPr>
              <w:t>区域</w:t>
            </w:r>
            <w:r>
              <w:t>环境的保护，建议项目管理单位设立专</w:t>
            </w:r>
            <w:r>
              <w:rPr>
                <w:rFonts w:hint="eastAsia"/>
              </w:rPr>
              <w:t>（兼）</w:t>
            </w:r>
            <w:r>
              <w:t>职环境管理人员1人，全权负责各项环境管理及保护工作。并制定如下环境保护工作条例：</w:t>
            </w:r>
          </w:p>
          <w:p>
            <w:pPr>
              <w:pStyle w:val="37"/>
              <w:ind w:firstLine="480"/>
            </w:pPr>
            <w:r>
              <w:t>A</w:t>
            </w:r>
            <w:r>
              <w:rPr>
                <w:rFonts w:hint="eastAsia"/>
              </w:rPr>
              <w:t>、</w:t>
            </w:r>
            <w:r>
              <w:t>环境保护职责管理条例；</w:t>
            </w:r>
          </w:p>
          <w:p>
            <w:pPr>
              <w:pStyle w:val="37"/>
              <w:ind w:firstLine="480"/>
            </w:pPr>
            <w:r>
              <w:rPr>
                <w:rFonts w:hint="eastAsia"/>
              </w:rPr>
              <w:t>B、</w:t>
            </w:r>
            <w:r>
              <w:t>建设项目“三同时”管理制度；</w:t>
            </w:r>
          </w:p>
          <w:p>
            <w:pPr>
              <w:pStyle w:val="37"/>
              <w:ind w:firstLine="480"/>
            </w:pPr>
            <w:r>
              <w:rPr>
                <w:rFonts w:hint="eastAsia"/>
              </w:rPr>
              <w:t>C、</w:t>
            </w:r>
            <w:r>
              <w:t>固体废弃物管理制度；</w:t>
            </w:r>
          </w:p>
          <w:p>
            <w:pPr>
              <w:pStyle w:val="37"/>
              <w:ind w:firstLine="480"/>
            </w:pPr>
            <w:r>
              <w:rPr>
                <w:rFonts w:hint="eastAsia"/>
              </w:rPr>
              <w:t>D、</w:t>
            </w:r>
            <w:r>
              <w:t>应急事故处理制度；</w:t>
            </w:r>
          </w:p>
          <w:p>
            <w:pPr>
              <w:pStyle w:val="37"/>
              <w:ind w:firstLine="480"/>
            </w:pPr>
            <w:r>
              <w:rPr>
                <w:rFonts w:hint="eastAsia"/>
              </w:rPr>
              <w:t>E、</w:t>
            </w:r>
            <w:r>
              <w:t>环保教育制度。</w:t>
            </w:r>
          </w:p>
          <w:p>
            <w:pPr>
              <w:pStyle w:val="37"/>
              <w:ind w:firstLine="480"/>
            </w:pPr>
            <w:r>
              <w:rPr>
                <w:rFonts w:hint="eastAsia"/>
              </w:rPr>
              <w:t>F、环境管理</w:t>
            </w:r>
          </w:p>
          <w:p>
            <w:pPr>
              <w:pStyle w:val="37"/>
              <w:ind w:firstLine="480"/>
            </w:pPr>
            <w:r>
              <w:rPr>
                <w:rFonts w:hint="eastAsia"/>
              </w:rPr>
              <w:t>（2）环境监测</w:t>
            </w:r>
          </w:p>
          <w:p>
            <w:pPr>
              <w:pStyle w:val="37"/>
              <w:ind w:firstLine="480"/>
            </w:pPr>
            <w:r>
              <w:t>由</w:t>
            </w:r>
            <w:r>
              <w:rPr>
                <w:rFonts w:hint="eastAsia"/>
              </w:rPr>
              <w:t>建设单位</w:t>
            </w:r>
            <w:r>
              <w:t>委托有资质的</w:t>
            </w:r>
            <w:r>
              <w:rPr>
                <w:rFonts w:hint="eastAsia"/>
              </w:rPr>
              <w:t>监测</w:t>
            </w:r>
            <w:r>
              <w:t>单位对全厂环境进行定期监测，具体内容如下：</w:t>
            </w:r>
          </w:p>
          <w:p>
            <w:pPr>
              <w:pStyle w:val="37"/>
              <w:ind w:firstLine="480"/>
            </w:pPr>
            <w:r>
              <w:rPr>
                <w:rFonts w:hint="eastAsia"/>
              </w:rPr>
              <w:t>1）</w:t>
            </w:r>
            <w:r>
              <w:t>噪声</w:t>
            </w:r>
          </w:p>
          <w:p>
            <w:pPr>
              <w:pStyle w:val="37"/>
              <w:ind w:firstLine="480"/>
            </w:pPr>
            <w:r>
              <w:rPr>
                <w:rFonts w:hint="eastAsia"/>
              </w:rPr>
              <w:t>监测</w:t>
            </w:r>
            <w:r>
              <w:t>项目</w:t>
            </w:r>
            <w:r>
              <w:rPr>
                <w:rFonts w:hint="eastAsia"/>
              </w:rPr>
              <w:t>：</w:t>
            </w:r>
            <w:r>
              <w:t>等效</w:t>
            </w:r>
            <w:r>
              <w:rPr>
                <w:rFonts w:hint="eastAsia"/>
              </w:rPr>
              <w:t>A声级</w:t>
            </w:r>
            <w:r>
              <w:t>；</w:t>
            </w:r>
          </w:p>
          <w:p>
            <w:pPr>
              <w:pStyle w:val="37"/>
              <w:ind w:firstLine="480"/>
            </w:pPr>
            <w:r>
              <w:rPr>
                <w:rFonts w:hint="eastAsia"/>
              </w:rPr>
              <w:t>监测</w:t>
            </w:r>
            <w:r>
              <w:t>点位：场界四周；</w:t>
            </w:r>
          </w:p>
          <w:p>
            <w:pPr>
              <w:pStyle w:val="37"/>
              <w:ind w:firstLine="480"/>
            </w:pPr>
            <w:r>
              <w:rPr>
                <w:rFonts w:hint="eastAsia"/>
              </w:rPr>
              <w:t>监测</w:t>
            </w:r>
            <w:r>
              <w:t>频次：</w:t>
            </w:r>
            <w:r>
              <w:rPr>
                <w:rFonts w:hint="eastAsia"/>
              </w:rPr>
              <w:t>按需确定</w:t>
            </w:r>
            <w:r>
              <w:t>；</w:t>
            </w:r>
          </w:p>
          <w:p>
            <w:pPr>
              <w:pStyle w:val="37"/>
              <w:ind w:firstLine="480"/>
            </w:pPr>
            <w:r>
              <w:rPr>
                <w:rFonts w:hint="eastAsia"/>
              </w:rPr>
              <w:t>2）大气环境监测计划</w:t>
            </w:r>
          </w:p>
          <w:p>
            <w:pPr>
              <w:pStyle w:val="37"/>
              <w:ind w:firstLine="480"/>
            </w:pPr>
            <w:r>
              <w:rPr>
                <w:rFonts w:hint="eastAsia"/>
              </w:rPr>
              <w:t>监测</w:t>
            </w:r>
            <w:r>
              <w:t>项目</w:t>
            </w:r>
            <w:r>
              <w:rPr>
                <w:rFonts w:hint="eastAsia"/>
              </w:rPr>
              <w:t>：颗粒物</w:t>
            </w:r>
            <w:r>
              <w:t>；</w:t>
            </w:r>
          </w:p>
          <w:p>
            <w:pPr>
              <w:pStyle w:val="37"/>
              <w:ind w:firstLine="480"/>
            </w:pPr>
            <w:r>
              <w:rPr>
                <w:rFonts w:hint="eastAsia"/>
              </w:rPr>
              <w:t>监测</w:t>
            </w:r>
            <w:r>
              <w:t>点位：</w:t>
            </w:r>
            <w:r>
              <w:rPr>
                <w:rFonts w:hint="eastAsia"/>
              </w:rPr>
              <w:t>场界</w:t>
            </w:r>
            <w:r>
              <w:t>上风向</w:t>
            </w:r>
            <w:r>
              <w:rPr>
                <w:rFonts w:hint="eastAsia"/>
              </w:rPr>
              <w:t>1</w:t>
            </w:r>
            <w:r>
              <w:t>0m</w:t>
            </w:r>
            <w:r>
              <w:rPr>
                <w:rFonts w:hint="eastAsia"/>
              </w:rPr>
              <w:t>范围内，场界下风向1</w:t>
            </w:r>
            <w:r>
              <w:t>0m范围内；</w:t>
            </w:r>
          </w:p>
          <w:p>
            <w:pPr>
              <w:pStyle w:val="37"/>
              <w:ind w:firstLine="480"/>
            </w:pPr>
            <w:r>
              <w:rPr>
                <w:rFonts w:hint="eastAsia"/>
              </w:rPr>
              <w:t>监测</w:t>
            </w:r>
            <w:r>
              <w:t>频次：</w:t>
            </w:r>
            <w:r>
              <w:rPr>
                <w:rFonts w:hint="eastAsia"/>
              </w:rPr>
              <w:t>按需确定</w:t>
            </w:r>
            <w:r>
              <w:t>；</w:t>
            </w:r>
          </w:p>
          <w:p>
            <w:pPr>
              <w:pStyle w:val="37"/>
              <w:ind w:firstLine="480"/>
            </w:pPr>
            <w:r>
              <w:rPr>
                <w:rFonts w:hint="eastAsia"/>
              </w:rPr>
              <w:t>（3）环保设施竣工验收</w:t>
            </w:r>
          </w:p>
          <w:p>
            <w:pPr>
              <w:pStyle w:val="37"/>
              <w:ind w:firstLine="480"/>
            </w:pPr>
            <w:r>
              <w:rPr>
                <w:rFonts w:hint="eastAsia"/>
              </w:rPr>
              <w:t>根据国务院令253号《建设项目环境保护管理条例》（2017年修订），建设单位应当按照国务院环境保护行政主管部门规定的标准和程序，对配套建设的环境保护设施进行验收，编制验收报告。</w:t>
            </w:r>
          </w:p>
          <w:p>
            <w:pPr>
              <w:pStyle w:val="54"/>
            </w:pPr>
            <w:r>
              <w:rPr>
                <w:rFonts w:hint="eastAsia"/>
              </w:rPr>
              <w:t>表7-</w:t>
            </w:r>
            <w:r>
              <w:t>2</w:t>
            </w:r>
            <w:r>
              <w:rPr>
                <w:rFonts w:hint="eastAsia"/>
              </w:rPr>
              <w:t>2环保竣工验收一览表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393"/>
              <w:gridCol w:w="2964"/>
              <w:gridCol w:w="3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652" w:type="pct"/>
                  <w:vAlign w:val="center"/>
                </w:tcPr>
                <w:p>
                  <w:pPr>
                    <w:pStyle w:val="47"/>
                  </w:pPr>
                  <w:r>
                    <w:rPr>
                      <w:rFonts w:hint="eastAsia"/>
                    </w:rPr>
                    <w:t>对象</w:t>
                  </w:r>
                </w:p>
              </w:tc>
              <w:tc>
                <w:tcPr>
                  <w:tcW w:w="769" w:type="pct"/>
                  <w:vAlign w:val="center"/>
                </w:tcPr>
                <w:p>
                  <w:pPr>
                    <w:pStyle w:val="47"/>
                  </w:pPr>
                  <w:r>
                    <w:rPr>
                      <w:rFonts w:hint="eastAsia"/>
                    </w:rPr>
                    <w:t>验收内容</w:t>
                  </w:r>
                </w:p>
              </w:tc>
              <w:tc>
                <w:tcPr>
                  <w:tcW w:w="1636" w:type="pct"/>
                  <w:vAlign w:val="center"/>
                </w:tcPr>
                <w:p>
                  <w:pPr>
                    <w:pStyle w:val="47"/>
                  </w:pPr>
                  <w:r>
                    <w:rPr>
                      <w:rFonts w:hint="eastAsia"/>
                    </w:rPr>
                    <w:t>规模</w:t>
                  </w:r>
                </w:p>
              </w:tc>
              <w:tc>
                <w:tcPr>
                  <w:tcW w:w="1943" w:type="pct"/>
                  <w:vAlign w:val="center"/>
                </w:tcPr>
                <w:p>
                  <w:pPr>
                    <w:pStyle w:val="47"/>
                  </w:pPr>
                  <w:r>
                    <w:rPr>
                      <w:rFonts w:hint="eastAsia"/>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restart"/>
                  <w:vAlign w:val="center"/>
                </w:tcPr>
                <w:p>
                  <w:pPr>
                    <w:pStyle w:val="47"/>
                  </w:pPr>
                  <w:r>
                    <w:rPr>
                      <w:rFonts w:hint="eastAsia"/>
                    </w:rPr>
                    <w:t>废水</w:t>
                  </w:r>
                </w:p>
              </w:tc>
              <w:tc>
                <w:tcPr>
                  <w:tcW w:w="769" w:type="pct"/>
                  <w:vAlign w:val="center"/>
                </w:tcPr>
                <w:p>
                  <w:pPr>
                    <w:pStyle w:val="47"/>
                  </w:pPr>
                  <w:r>
                    <w:rPr>
                      <w:rFonts w:hint="eastAsia"/>
                    </w:rPr>
                    <w:t>生活污水</w:t>
                  </w:r>
                </w:p>
              </w:tc>
              <w:tc>
                <w:tcPr>
                  <w:tcW w:w="1636" w:type="pct"/>
                  <w:vAlign w:val="center"/>
                </w:tcPr>
                <w:p>
                  <w:pPr>
                    <w:pStyle w:val="47"/>
                  </w:pPr>
                  <w:r>
                    <w:rPr>
                      <w:rFonts w:hint="eastAsia"/>
                    </w:rPr>
                    <w:t>依托现有工程化粪池处理后排入乡镇污水管网</w:t>
                  </w:r>
                </w:p>
              </w:tc>
              <w:tc>
                <w:tcPr>
                  <w:tcW w:w="1943" w:type="pct"/>
                  <w:vAlign w:val="center"/>
                </w:tcPr>
                <w:p>
                  <w:pPr>
                    <w:pStyle w:val="47"/>
                  </w:pPr>
                  <w: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rPr>
                      <w:rFonts w:hint="eastAsia"/>
                    </w:rPr>
                    <w:t>水洗废水</w:t>
                  </w:r>
                </w:p>
              </w:tc>
              <w:tc>
                <w:tcPr>
                  <w:tcW w:w="1636" w:type="pct"/>
                  <w:vMerge w:val="restart"/>
                  <w:vAlign w:val="center"/>
                </w:tcPr>
                <w:p>
                  <w:pPr>
                    <w:pStyle w:val="47"/>
                  </w:pPr>
                  <w:r>
                    <w:rPr>
                      <w:rFonts w:hint="eastAsia"/>
                    </w:rPr>
                    <w:t>排入浓密机处理后进入循环水池循环使用</w:t>
                  </w:r>
                </w:p>
              </w:tc>
              <w:tc>
                <w:tcPr>
                  <w:tcW w:w="1943" w:type="pct"/>
                  <w:vMerge w:val="restart"/>
                  <w:vAlign w:val="center"/>
                </w:tcPr>
                <w:p>
                  <w:pPr>
                    <w:pStyle w:val="47"/>
                  </w:pPr>
                  <w:r>
                    <w:rPr>
                      <w:rFonts w:hint="eastAsia"/>
                    </w:rPr>
                    <w:t>新建浓密机1套，废水循环使用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rPr>
                      <w:rFonts w:hint="eastAsia"/>
                    </w:rPr>
                    <w:t>脱水废水</w:t>
                  </w:r>
                </w:p>
              </w:tc>
              <w:tc>
                <w:tcPr>
                  <w:tcW w:w="1636" w:type="pct"/>
                  <w:vMerge w:val="continue"/>
                  <w:vAlign w:val="center"/>
                </w:tcPr>
                <w:p>
                  <w:pPr>
                    <w:pStyle w:val="47"/>
                  </w:pPr>
                </w:p>
              </w:tc>
              <w:tc>
                <w:tcPr>
                  <w:tcW w:w="1943"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rPr>
                      <w:rFonts w:hint="eastAsia"/>
                    </w:rPr>
                    <w:t>球磨机废水</w:t>
                  </w:r>
                </w:p>
              </w:tc>
              <w:tc>
                <w:tcPr>
                  <w:tcW w:w="1636" w:type="pct"/>
                  <w:vMerge w:val="continue"/>
                  <w:vAlign w:val="center"/>
                </w:tcPr>
                <w:p>
                  <w:pPr>
                    <w:pStyle w:val="47"/>
                  </w:pPr>
                </w:p>
              </w:tc>
              <w:tc>
                <w:tcPr>
                  <w:tcW w:w="1943"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rPr>
                      <w:rFonts w:hint="eastAsia"/>
                    </w:rPr>
                    <w:t>过滤废水</w:t>
                  </w:r>
                </w:p>
              </w:tc>
              <w:tc>
                <w:tcPr>
                  <w:tcW w:w="1636" w:type="pct"/>
                  <w:vMerge w:val="continue"/>
                  <w:vAlign w:val="center"/>
                </w:tcPr>
                <w:p>
                  <w:pPr>
                    <w:pStyle w:val="47"/>
                  </w:pPr>
                </w:p>
              </w:tc>
              <w:tc>
                <w:tcPr>
                  <w:tcW w:w="1943"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rPr>
                      <w:rFonts w:hint="eastAsia"/>
                    </w:rPr>
                    <w:t>产品堆场渗滤液</w:t>
                  </w:r>
                </w:p>
              </w:tc>
              <w:tc>
                <w:tcPr>
                  <w:tcW w:w="1636" w:type="pct"/>
                  <w:vMerge w:val="continue"/>
                  <w:vAlign w:val="center"/>
                </w:tcPr>
                <w:p>
                  <w:pPr>
                    <w:pStyle w:val="47"/>
                  </w:pPr>
                </w:p>
              </w:tc>
              <w:tc>
                <w:tcPr>
                  <w:tcW w:w="1943" w:type="pct"/>
                  <w:vMerge w:val="continue"/>
                  <w:vAlign w:val="center"/>
                </w:tcPr>
                <w:p>
                  <w:pPr>
                    <w:pStyle w:val="47"/>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t>磁选机废水</w:t>
                  </w:r>
                </w:p>
              </w:tc>
              <w:tc>
                <w:tcPr>
                  <w:tcW w:w="1636" w:type="pct"/>
                  <w:vAlign w:val="center"/>
                </w:tcPr>
                <w:p>
                  <w:pPr>
                    <w:pStyle w:val="47"/>
                  </w:pPr>
                  <w:r>
                    <w:t>经沉淀池沉淀后排入浓密机</w:t>
                  </w:r>
                  <w:r>
                    <w:rPr>
                      <w:rFonts w:hint="eastAsia"/>
                    </w:rPr>
                    <w:t>，</w:t>
                  </w:r>
                  <w:r>
                    <w:t>经浓密机处理后循环使用</w:t>
                  </w:r>
                </w:p>
              </w:tc>
              <w:tc>
                <w:tcPr>
                  <w:tcW w:w="1943" w:type="pct"/>
                  <w:vAlign w:val="center"/>
                </w:tcPr>
                <w:p>
                  <w:pPr>
                    <w:pStyle w:val="47"/>
                  </w:pPr>
                  <w:r>
                    <w:t>循环使用</w:t>
                  </w:r>
                  <w:r>
                    <w:rPr>
                      <w:rFonts w:hint="eastAsia"/>
                    </w:rPr>
                    <w:t>，</w:t>
                  </w:r>
                  <w: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Merge w:val="continue"/>
                  <w:vAlign w:val="center"/>
                </w:tcPr>
                <w:p>
                  <w:pPr>
                    <w:pStyle w:val="47"/>
                  </w:pPr>
                </w:p>
              </w:tc>
              <w:tc>
                <w:tcPr>
                  <w:tcW w:w="769" w:type="pct"/>
                  <w:vAlign w:val="center"/>
                </w:tcPr>
                <w:p>
                  <w:pPr>
                    <w:pStyle w:val="47"/>
                  </w:pPr>
                  <w:r>
                    <w:t>厂区雨污分流</w:t>
                  </w:r>
                </w:p>
              </w:tc>
              <w:tc>
                <w:tcPr>
                  <w:tcW w:w="1636" w:type="pct"/>
                  <w:vAlign w:val="center"/>
                </w:tcPr>
                <w:p>
                  <w:pPr>
                    <w:pStyle w:val="47"/>
                  </w:pPr>
                  <w:r>
                    <w:rPr>
                      <w:rFonts w:hint="eastAsia"/>
                    </w:rPr>
                    <w:t>生产线、运输道路地面硬化，完善雨污分流系统建设，厂区内雨水经导排沟，排入雨水沉淀池（20m</w:t>
                  </w:r>
                  <w:r>
                    <w:rPr>
                      <w:rFonts w:hint="eastAsia"/>
                      <w:vertAlign w:val="superscript"/>
                    </w:rPr>
                    <w:t>3</w:t>
                  </w:r>
                  <w:r>
                    <w:rPr>
                      <w:rFonts w:hint="eastAsia"/>
                    </w:rPr>
                    <w:t>）回用生产</w:t>
                  </w:r>
                </w:p>
              </w:tc>
              <w:tc>
                <w:tcPr>
                  <w:tcW w:w="1943" w:type="pct"/>
                  <w:vAlign w:val="center"/>
                </w:tcPr>
                <w:p>
                  <w:pPr>
                    <w:pStyle w:val="47"/>
                  </w:pPr>
                  <w:r>
                    <w:t>雨污分流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Align w:val="center"/>
                </w:tcPr>
                <w:p>
                  <w:pPr>
                    <w:pStyle w:val="47"/>
                  </w:pPr>
                  <w:r>
                    <w:rPr>
                      <w:rFonts w:hint="eastAsia"/>
                    </w:rPr>
                    <w:t>废气</w:t>
                  </w:r>
                </w:p>
              </w:tc>
              <w:tc>
                <w:tcPr>
                  <w:tcW w:w="769" w:type="pct"/>
                  <w:vAlign w:val="center"/>
                </w:tcPr>
                <w:p>
                  <w:pPr>
                    <w:pStyle w:val="47"/>
                  </w:pPr>
                  <w:r>
                    <w:rPr>
                      <w:rFonts w:hint="eastAsia"/>
                    </w:rPr>
                    <w:t>无组织粉尘</w:t>
                  </w:r>
                </w:p>
              </w:tc>
              <w:tc>
                <w:tcPr>
                  <w:tcW w:w="1636" w:type="pct"/>
                  <w:vAlign w:val="center"/>
                </w:tcPr>
                <w:p>
                  <w:pPr>
                    <w:pStyle w:val="47"/>
                  </w:pPr>
                  <w:r>
                    <w:rPr>
                      <w:rFonts w:hint="eastAsia"/>
                    </w:rPr>
                    <w:t>原料堆场搭盖防尘网；生产线置于厂房内，厂房密闭，运输道路硬化</w:t>
                  </w:r>
                </w:p>
              </w:tc>
              <w:tc>
                <w:tcPr>
                  <w:tcW w:w="1943" w:type="pct"/>
                  <w:vAlign w:val="center"/>
                </w:tcPr>
                <w:p>
                  <w:pPr>
                    <w:pStyle w:val="47"/>
                    <w:rPr>
                      <w:color w:val="FF0000"/>
                    </w:rPr>
                  </w:pPr>
                  <w:r>
                    <w:rPr>
                      <w:rFonts w:hint="eastAsia"/>
                      <w:color w:val="FF0000"/>
                    </w:rPr>
                    <w:t>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Align w:val="center"/>
                </w:tcPr>
                <w:p>
                  <w:pPr>
                    <w:pStyle w:val="47"/>
                  </w:pPr>
                  <w:r>
                    <w:rPr>
                      <w:rFonts w:hint="eastAsia"/>
                    </w:rPr>
                    <w:t>噪声</w:t>
                  </w:r>
                </w:p>
              </w:tc>
              <w:tc>
                <w:tcPr>
                  <w:tcW w:w="769" w:type="pct"/>
                  <w:vAlign w:val="center"/>
                </w:tcPr>
                <w:p>
                  <w:pPr>
                    <w:pStyle w:val="47"/>
                  </w:pPr>
                  <w:r>
                    <w:t>设备噪声</w:t>
                  </w:r>
                </w:p>
              </w:tc>
              <w:tc>
                <w:tcPr>
                  <w:tcW w:w="1636" w:type="pct"/>
                  <w:vAlign w:val="center"/>
                </w:tcPr>
                <w:p>
                  <w:pPr>
                    <w:pStyle w:val="47"/>
                  </w:pPr>
                  <w:r>
                    <w:rPr>
                      <w:rFonts w:hint="eastAsia"/>
                    </w:rPr>
                    <w:t>选用噪声低的设备；合理布置，建设封闭隔声厂房，使用隔声材料将主要噪声源布置在厂区中部的厂房内，厂房为钢构厂房，车间外绿化</w:t>
                  </w:r>
                </w:p>
              </w:tc>
              <w:tc>
                <w:tcPr>
                  <w:tcW w:w="1943" w:type="pct"/>
                  <w:vAlign w:val="center"/>
                </w:tcPr>
                <w:p>
                  <w:pPr>
                    <w:pStyle w:val="47"/>
                  </w:pPr>
                  <w:r>
                    <w:t>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2" w:type="pct"/>
                  <w:vAlign w:val="center"/>
                </w:tcPr>
                <w:p>
                  <w:pPr>
                    <w:pStyle w:val="47"/>
                  </w:pPr>
                  <w:r>
                    <w:rPr>
                      <w:rFonts w:hint="eastAsia"/>
                    </w:rPr>
                    <w:t>固废</w:t>
                  </w:r>
                </w:p>
              </w:tc>
              <w:tc>
                <w:tcPr>
                  <w:tcW w:w="769" w:type="pct"/>
                  <w:vAlign w:val="center"/>
                </w:tcPr>
                <w:p>
                  <w:pPr>
                    <w:pStyle w:val="47"/>
                  </w:pPr>
                  <w:r>
                    <w:t>检修废油</w:t>
                  </w:r>
                </w:p>
              </w:tc>
              <w:tc>
                <w:tcPr>
                  <w:tcW w:w="1636" w:type="pct"/>
                  <w:vAlign w:val="center"/>
                </w:tcPr>
                <w:p>
                  <w:pPr>
                    <w:pStyle w:val="47"/>
                  </w:pPr>
                  <w:r>
                    <w:rPr>
                      <w:rFonts w:hint="eastAsia"/>
                    </w:rPr>
                    <w:t>规范设置危险废物暂存间，设置标示标牌</w:t>
                  </w:r>
                </w:p>
              </w:tc>
              <w:tc>
                <w:tcPr>
                  <w:tcW w:w="1943" w:type="pct"/>
                  <w:vAlign w:val="center"/>
                </w:tcPr>
                <w:p>
                  <w:pPr>
                    <w:pStyle w:val="47"/>
                  </w:pPr>
                  <w:r>
                    <w:t>定期交由资质单位处置</w:t>
                  </w:r>
                </w:p>
              </w:tc>
            </w:tr>
          </w:tbl>
          <w:p>
            <w:pPr>
              <w:pStyle w:val="4"/>
              <w:ind w:firstLine="482"/>
            </w:pPr>
            <w:r>
              <w:rPr>
                <w:rFonts w:hint="eastAsia"/>
              </w:rPr>
              <w:t>五、环保投资</w:t>
            </w:r>
          </w:p>
          <w:p>
            <w:pPr>
              <w:pStyle w:val="37"/>
              <w:ind w:firstLine="480"/>
            </w:pPr>
            <w:r>
              <w:rPr>
                <w:rFonts w:hint="eastAsia"/>
                <w:color w:val="FF0000"/>
              </w:rPr>
              <w:t>本项目今后整改拟采取的环保</w:t>
            </w:r>
            <w:r>
              <w:rPr>
                <w:rFonts w:hint="eastAsia" w:hAnsi="SimSun"/>
                <w:color w:val="FF0000"/>
              </w:rPr>
              <w:t>设</w:t>
            </w:r>
            <w:r>
              <w:rPr>
                <w:rFonts w:hint="eastAsia" w:hAnsi="SimSun"/>
              </w:rPr>
              <w:t>施</w:t>
            </w:r>
            <w:r>
              <w:rPr>
                <w:rFonts w:hint="eastAsia"/>
              </w:rPr>
              <w:t>和环保投资见表7-</w:t>
            </w:r>
            <w:r>
              <w:t>2</w:t>
            </w:r>
            <w:r>
              <w:rPr>
                <w:rFonts w:hint="eastAsia"/>
              </w:rPr>
              <w:t>3。</w:t>
            </w:r>
          </w:p>
          <w:p>
            <w:pPr>
              <w:pStyle w:val="37"/>
              <w:ind w:firstLine="480"/>
            </w:pPr>
            <w:r>
              <w:rPr>
                <w:rFonts w:hint="eastAsia"/>
              </w:rPr>
              <w:t>从表中可知，本项目环保投资</w:t>
            </w:r>
            <w:r>
              <w:t>205.6</w:t>
            </w:r>
            <w:r>
              <w:rPr>
                <w:rFonts w:hint="eastAsia"/>
              </w:rPr>
              <w:t>万元，占总投资</w:t>
            </w:r>
            <w:r>
              <w:t>1950</w:t>
            </w:r>
            <w:r>
              <w:rPr>
                <w:rFonts w:hint="eastAsia"/>
              </w:rPr>
              <w:t>万元的</w:t>
            </w:r>
            <w:r>
              <w:t>10.5</w:t>
            </w:r>
            <w:r>
              <w:rPr>
                <w:rFonts w:hint="eastAsia"/>
              </w:rPr>
              <w:t>%。</w:t>
            </w:r>
          </w:p>
          <w:p>
            <w:pPr>
              <w:pStyle w:val="36"/>
            </w:pPr>
            <w:r>
              <w:rPr>
                <w:rFonts w:hint="eastAsia"/>
              </w:rPr>
              <w:t>表7-</w:t>
            </w:r>
            <w:r>
              <w:t>2</w:t>
            </w:r>
            <w:r>
              <w:rPr>
                <w:rFonts w:hint="eastAsia"/>
              </w:rPr>
              <w:t>3</w:t>
            </w:r>
            <w:r>
              <w:t>环保投资一览表</w:t>
            </w:r>
          </w:p>
          <w:tbl>
            <w:tblPr>
              <w:tblStyle w:val="25"/>
              <w:tblpPr w:leftFromText="180" w:rightFromText="180" w:vertAnchor="text" w:horzAnchor="margin" w:tblpY="22"/>
              <w:tblOverlap w:val="never"/>
              <w:tblW w:w="5000" w:type="pct"/>
              <w:tblInd w:w="0" w:type="dxa"/>
              <w:tblLayout w:type="autofit"/>
              <w:tblCellMar>
                <w:top w:w="0" w:type="dxa"/>
                <w:left w:w="108" w:type="dxa"/>
                <w:bottom w:w="0" w:type="dxa"/>
                <w:right w:w="108" w:type="dxa"/>
              </w:tblCellMar>
            </w:tblPr>
            <w:tblGrid>
              <w:gridCol w:w="511"/>
              <w:gridCol w:w="1252"/>
              <w:gridCol w:w="4898"/>
              <w:gridCol w:w="996"/>
              <w:gridCol w:w="1413"/>
            </w:tblGrid>
            <w:tr>
              <w:tblPrEx>
                <w:tblCellMar>
                  <w:top w:w="0" w:type="dxa"/>
                  <w:left w:w="108" w:type="dxa"/>
                  <w:bottom w:w="0" w:type="dxa"/>
                  <w:right w:w="108" w:type="dxa"/>
                </w:tblCellMar>
              </w:tblPrEx>
              <w:trPr>
                <w:trHeight w:val="149" w:hRule="atLeast"/>
              </w:trPr>
              <w:tc>
                <w:tcPr>
                  <w:tcW w:w="972" w:type="pct"/>
                  <w:gridSpan w:val="2"/>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项目</w:t>
                  </w: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内容</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投资（万元）</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备注</w:t>
                  </w:r>
                </w:p>
              </w:tc>
            </w:tr>
            <w:tr>
              <w:tblPrEx>
                <w:tblCellMar>
                  <w:top w:w="0" w:type="dxa"/>
                  <w:left w:w="108" w:type="dxa"/>
                  <w:bottom w:w="0" w:type="dxa"/>
                  <w:right w:w="108" w:type="dxa"/>
                </w:tblCellMar>
              </w:tblPrEx>
              <w:trPr>
                <w:trHeight w:val="267" w:hRule="atLeast"/>
              </w:trPr>
              <w:tc>
                <w:tcPr>
                  <w:tcW w:w="282" w:type="pct"/>
                  <w:vMerge w:val="restar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施工期</w:t>
                  </w:r>
                </w:p>
              </w:tc>
              <w:tc>
                <w:tcPr>
                  <w:tcW w:w="690" w:type="pct"/>
                  <w:tcBorders>
                    <w:top w:val="single" w:color="auto" w:sz="2" w:space="0"/>
                    <w:left w:val="single" w:color="auto" w:sz="2" w:space="0"/>
                    <w:bottom w:val="single" w:color="auto" w:sz="2" w:space="0"/>
                    <w:right w:val="single" w:color="auto" w:sz="4" w:space="0"/>
                  </w:tcBorders>
                  <w:shd w:val="clear" w:color="auto" w:fill="auto"/>
                  <w:vAlign w:val="center"/>
                </w:tcPr>
                <w:p>
                  <w:pPr>
                    <w:pStyle w:val="47"/>
                  </w:pPr>
                  <w:r>
                    <w:rPr>
                      <w:rFonts w:hint="eastAsia"/>
                    </w:rPr>
                    <w:t>废水处理</w:t>
                  </w:r>
                </w:p>
              </w:tc>
              <w:tc>
                <w:tcPr>
                  <w:tcW w:w="2700" w:type="pct"/>
                  <w:tcBorders>
                    <w:top w:val="single" w:color="auto" w:sz="2" w:space="0"/>
                    <w:left w:val="single" w:color="auto" w:sz="4" w:space="0"/>
                    <w:bottom w:val="single" w:color="auto" w:sz="2" w:space="0"/>
                    <w:right w:val="single" w:color="auto" w:sz="2" w:space="0"/>
                  </w:tcBorders>
                  <w:shd w:val="clear" w:color="auto" w:fill="auto"/>
                  <w:vAlign w:val="center"/>
                </w:tcPr>
                <w:p>
                  <w:pPr>
                    <w:pStyle w:val="47"/>
                  </w:pPr>
                  <w:r>
                    <w:rPr>
                      <w:rFonts w:hint="eastAsia"/>
                    </w:rPr>
                    <w:t>沉淀池1个</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依托</w:t>
                  </w:r>
                </w:p>
              </w:tc>
            </w:tr>
            <w:tr>
              <w:tblPrEx>
                <w:tblCellMar>
                  <w:top w:w="0" w:type="dxa"/>
                  <w:left w:w="108" w:type="dxa"/>
                  <w:bottom w:w="0" w:type="dxa"/>
                  <w:right w:w="108" w:type="dxa"/>
                </w:tblCellMar>
              </w:tblPrEx>
              <w:trPr>
                <w:trHeight w:val="257" w:hRule="atLeast"/>
              </w:trPr>
              <w:tc>
                <w:tcPr>
                  <w:tcW w:w="282"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pStyle w:val="47"/>
                  </w:pPr>
                </w:p>
              </w:tc>
              <w:tc>
                <w:tcPr>
                  <w:tcW w:w="690" w:type="pct"/>
                  <w:tcBorders>
                    <w:top w:val="single" w:color="auto" w:sz="2" w:space="0"/>
                    <w:left w:val="single" w:color="auto" w:sz="2" w:space="0"/>
                    <w:bottom w:val="single" w:color="auto" w:sz="2" w:space="0"/>
                    <w:right w:val="single" w:color="auto" w:sz="4" w:space="0"/>
                  </w:tcBorders>
                  <w:shd w:val="clear" w:color="auto" w:fill="auto"/>
                  <w:vAlign w:val="center"/>
                </w:tcPr>
                <w:p>
                  <w:pPr>
                    <w:pStyle w:val="47"/>
                  </w:pPr>
                  <w:r>
                    <w:rPr>
                      <w:rFonts w:hint="eastAsia"/>
                    </w:rPr>
                    <w:t>扬尘防治</w:t>
                  </w:r>
                </w:p>
              </w:tc>
              <w:tc>
                <w:tcPr>
                  <w:tcW w:w="2700" w:type="pct"/>
                  <w:tcBorders>
                    <w:top w:val="single" w:color="auto" w:sz="2" w:space="0"/>
                    <w:left w:val="single" w:color="auto" w:sz="4" w:space="0"/>
                    <w:bottom w:val="single" w:color="auto" w:sz="2" w:space="0"/>
                    <w:right w:val="single" w:color="auto" w:sz="2" w:space="0"/>
                  </w:tcBorders>
                  <w:shd w:val="clear" w:color="auto" w:fill="auto"/>
                  <w:vAlign w:val="center"/>
                </w:tcPr>
                <w:p>
                  <w:pPr>
                    <w:pStyle w:val="47"/>
                  </w:pPr>
                  <w:r>
                    <w:rPr>
                      <w:rFonts w:hint="eastAsia"/>
                    </w:rPr>
                    <w:t>道路洒水、工程车辆清洗</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0.2</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219" w:hRule="atLeast"/>
              </w:trPr>
              <w:tc>
                <w:tcPr>
                  <w:tcW w:w="282"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pPr>
                    <w:pStyle w:val="47"/>
                  </w:pPr>
                </w:p>
              </w:tc>
              <w:tc>
                <w:tcPr>
                  <w:tcW w:w="690" w:type="pct"/>
                  <w:tcBorders>
                    <w:top w:val="single" w:color="auto" w:sz="2" w:space="0"/>
                    <w:left w:val="single" w:color="auto" w:sz="2" w:space="0"/>
                    <w:bottom w:val="single" w:color="auto" w:sz="2" w:space="0"/>
                    <w:right w:val="single" w:color="auto" w:sz="4" w:space="0"/>
                  </w:tcBorders>
                  <w:shd w:val="clear" w:color="auto" w:fill="auto"/>
                  <w:vAlign w:val="center"/>
                </w:tcPr>
                <w:p>
                  <w:pPr>
                    <w:pStyle w:val="47"/>
                  </w:pPr>
                  <w:r>
                    <w:rPr>
                      <w:rFonts w:hint="eastAsia"/>
                    </w:rPr>
                    <w:t>固废治理</w:t>
                  </w:r>
                </w:p>
              </w:tc>
              <w:tc>
                <w:tcPr>
                  <w:tcW w:w="2700" w:type="pct"/>
                  <w:tcBorders>
                    <w:top w:val="single" w:color="auto" w:sz="2" w:space="0"/>
                    <w:left w:val="single" w:color="auto" w:sz="4" w:space="0"/>
                    <w:bottom w:val="single" w:color="auto" w:sz="2" w:space="0"/>
                    <w:right w:val="single" w:color="auto" w:sz="2" w:space="0"/>
                  </w:tcBorders>
                  <w:shd w:val="clear" w:color="auto" w:fill="auto"/>
                  <w:vAlign w:val="center"/>
                </w:tcPr>
                <w:p>
                  <w:pPr>
                    <w:pStyle w:val="47"/>
                  </w:pPr>
                  <w:r>
                    <w:rPr>
                      <w:rFonts w:hint="eastAsia"/>
                    </w:rPr>
                    <w:t>垃圾收集、清运</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依托</w:t>
                  </w:r>
                </w:p>
              </w:tc>
            </w:tr>
            <w:tr>
              <w:tblPrEx>
                <w:tblCellMar>
                  <w:top w:w="0" w:type="dxa"/>
                  <w:left w:w="108" w:type="dxa"/>
                  <w:bottom w:w="0" w:type="dxa"/>
                  <w:right w:w="108" w:type="dxa"/>
                </w:tblCellMar>
              </w:tblPrEx>
              <w:trPr>
                <w:trHeight w:val="316" w:hRule="atLeast"/>
              </w:trPr>
              <w:tc>
                <w:tcPr>
                  <w:tcW w:w="282" w:type="pct"/>
                  <w:vMerge w:val="restart"/>
                  <w:tcBorders>
                    <w:top w:val="single" w:color="auto" w:sz="2" w:space="0"/>
                    <w:left w:val="single" w:color="auto" w:sz="2" w:space="0"/>
                    <w:right w:val="single" w:color="auto" w:sz="4" w:space="0"/>
                  </w:tcBorders>
                  <w:shd w:val="clear" w:color="auto" w:fill="auto"/>
                  <w:vAlign w:val="center"/>
                </w:tcPr>
                <w:p>
                  <w:pPr>
                    <w:pStyle w:val="47"/>
                  </w:pPr>
                  <w:r>
                    <w:rPr>
                      <w:rFonts w:hint="eastAsia"/>
                    </w:rPr>
                    <w:t>营运期</w:t>
                  </w:r>
                </w:p>
              </w:tc>
              <w:tc>
                <w:tcPr>
                  <w:tcW w:w="690" w:type="pct"/>
                  <w:vMerge w:val="restart"/>
                  <w:tcBorders>
                    <w:top w:val="single" w:color="auto" w:sz="2" w:space="0"/>
                    <w:left w:val="single" w:color="auto" w:sz="4" w:space="0"/>
                    <w:right w:val="single" w:color="auto" w:sz="2" w:space="0"/>
                  </w:tcBorders>
                  <w:shd w:val="clear" w:color="auto" w:fill="auto"/>
                  <w:vAlign w:val="center"/>
                </w:tcPr>
                <w:p>
                  <w:pPr>
                    <w:pStyle w:val="47"/>
                  </w:pPr>
                  <w:r>
                    <w:rPr>
                      <w:rFonts w:hint="eastAsia"/>
                    </w:rPr>
                    <w:t>废水治理</w:t>
                  </w: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新设置浓密机一套</w:t>
                  </w:r>
                  <w:r>
                    <w:rPr>
                      <w:rFonts w:hint="eastAsia"/>
                    </w:rPr>
                    <w:t>，</w:t>
                  </w:r>
                  <w:r>
                    <w:t>容积为</w:t>
                  </w:r>
                  <w:r>
                    <w:rPr>
                      <w:rFonts w:hint="eastAsia"/>
                    </w:rPr>
                    <w:t>1</w:t>
                  </w:r>
                  <w:r>
                    <w:t>000m</w:t>
                  </w:r>
                  <w:r>
                    <w:rPr>
                      <w:vertAlign w:val="superscript"/>
                    </w:rPr>
                    <w:t>3</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新增（计入主体工程）</w:t>
                  </w:r>
                </w:p>
              </w:tc>
            </w:tr>
            <w:tr>
              <w:tblPrEx>
                <w:tblCellMar>
                  <w:top w:w="0" w:type="dxa"/>
                  <w:left w:w="108" w:type="dxa"/>
                  <w:bottom w:w="0" w:type="dxa"/>
                  <w:right w:w="108" w:type="dxa"/>
                </w:tblCellMar>
              </w:tblPrEx>
              <w:trPr>
                <w:trHeight w:val="316" w:hRule="atLeast"/>
              </w:trPr>
              <w:tc>
                <w:tcPr>
                  <w:tcW w:w="282" w:type="pct"/>
                  <w:vMerge w:val="continue"/>
                  <w:tcBorders>
                    <w:top w:val="single" w:color="auto" w:sz="2" w:space="0"/>
                    <w:left w:val="single" w:color="auto" w:sz="2" w:space="0"/>
                    <w:right w:val="single" w:color="auto" w:sz="4" w:space="0"/>
                  </w:tcBorders>
                  <w:shd w:val="clear" w:color="auto" w:fill="auto"/>
                  <w:vAlign w:val="center"/>
                </w:tcPr>
                <w:p>
                  <w:pPr>
                    <w:pStyle w:val="47"/>
                  </w:pPr>
                </w:p>
              </w:tc>
              <w:tc>
                <w:tcPr>
                  <w:tcW w:w="690" w:type="pct"/>
                  <w:vMerge w:val="continue"/>
                  <w:tcBorders>
                    <w:top w:val="single" w:color="auto" w:sz="2" w:space="0"/>
                    <w:left w:val="single" w:color="auto" w:sz="4"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生产废水处理设施依托现有工程</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依托</w:t>
                  </w:r>
                </w:p>
              </w:tc>
            </w:tr>
            <w:tr>
              <w:tblPrEx>
                <w:tblCellMar>
                  <w:top w:w="0" w:type="dxa"/>
                  <w:left w:w="108" w:type="dxa"/>
                  <w:bottom w:w="0" w:type="dxa"/>
                  <w:right w:w="108" w:type="dxa"/>
                </w:tblCellMar>
              </w:tblPrEx>
              <w:trPr>
                <w:trHeight w:val="316" w:hRule="atLeast"/>
              </w:trPr>
              <w:tc>
                <w:tcPr>
                  <w:tcW w:w="282" w:type="pct"/>
                  <w:vMerge w:val="continue"/>
                  <w:tcBorders>
                    <w:top w:val="single" w:color="auto" w:sz="2" w:space="0"/>
                    <w:left w:val="single" w:color="auto" w:sz="2" w:space="0"/>
                    <w:right w:val="single" w:color="auto" w:sz="4" w:space="0"/>
                  </w:tcBorders>
                  <w:shd w:val="clear" w:color="auto" w:fill="auto"/>
                  <w:vAlign w:val="center"/>
                </w:tcPr>
                <w:p>
                  <w:pPr>
                    <w:pStyle w:val="47"/>
                  </w:pPr>
                </w:p>
              </w:tc>
              <w:tc>
                <w:tcPr>
                  <w:tcW w:w="690" w:type="pct"/>
                  <w:vMerge w:val="continue"/>
                  <w:tcBorders>
                    <w:top w:val="single" w:color="auto" w:sz="2" w:space="0"/>
                    <w:left w:val="single" w:color="auto" w:sz="4"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生活污水依托现有工程化粪池处理</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依托</w:t>
                  </w:r>
                </w:p>
              </w:tc>
            </w:tr>
            <w:tr>
              <w:tblPrEx>
                <w:tblCellMar>
                  <w:top w:w="0" w:type="dxa"/>
                  <w:left w:w="108" w:type="dxa"/>
                  <w:bottom w:w="0" w:type="dxa"/>
                  <w:right w:w="108" w:type="dxa"/>
                </w:tblCellMar>
              </w:tblPrEx>
              <w:trPr>
                <w:trHeight w:val="268" w:hRule="atLeast"/>
              </w:trPr>
              <w:tc>
                <w:tcPr>
                  <w:tcW w:w="282" w:type="pct"/>
                  <w:vMerge w:val="continue"/>
                  <w:tcBorders>
                    <w:left w:val="single" w:color="auto" w:sz="2" w:space="0"/>
                    <w:right w:val="single" w:color="auto" w:sz="4" w:space="0"/>
                  </w:tcBorders>
                  <w:shd w:val="clear" w:color="auto" w:fill="auto"/>
                  <w:vAlign w:val="center"/>
                </w:tcPr>
                <w:p>
                  <w:pPr>
                    <w:pStyle w:val="47"/>
                  </w:pPr>
                </w:p>
              </w:tc>
              <w:tc>
                <w:tcPr>
                  <w:tcW w:w="690" w:type="pct"/>
                  <w:vMerge w:val="continue"/>
                  <w:tcBorders>
                    <w:left w:val="single" w:color="auto" w:sz="4"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雨污分流管网建设</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1</w:t>
                  </w:r>
                  <w:r>
                    <w:t>2</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新增</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right w:val="single" w:color="auto" w:sz="2" w:space="0"/>
                  </w:tcBorders>
                  <w:shd w:val="clear" w:color="auto" w:fill="auto"/>
                  <w:vAlign w:val="center"/>
                </w:tcPr>
                <w:p>
                  <w:pPr>
                    <w:pStyle w:val="47"/>
                  </w:pPr>
                </w:p>
              </w:tc>
              <w:tc>
                <w:tcPr>
                  <w:tcW w:w="690" w:type="pct"/>
                  <w:vMerge w:val="restart"/>
                  <w:tcBorders>
                    <w:top w:val="single" w:color="auto" w:sz="2" w:space="0"/>
                    <w:left w:val="single" w:color="auto" w:sz="2" w:space="0"/>
                    <w:right w:val="single" w:color="auto" w:sz="2" w:space="0"/>
                  </w:tcBorders>
                  <w:shd w:val="clear" w:color="auto" w:fill="auto"/>
                  <w:vAlign w:val="center"/>
                </w:tcPr>
                <w:p>
                  <w:pPr>
                    <w:pStyle w:val="47"/>
                  </w:pPr>
                  <w:r>
                    <w:rPr>
                      <w:rFonts w:hint="eastAsia"/>
                    </w:rPr>
                    <w:t>固废处理</w:t>
                  </w:r>
                </w:p>
              </w:tc>
              <w:tc>
                <w:tcPr>
                  <w:tcW w:w="2700" w:type="pct"/>
                  <w:tcBorders>
                    <w:top w:val="single" w:color="auto" w:sz="2" w:space="0"/>
                    <w:left w:val="single" w:color="auto" w:sz="2" w:space="0"/>
                    <w:bottom w:val="single" w:color="auto" w:sz="4" w:space="0"/>
                    <w:right w:val="single" w:color="auto" w:sz="2" w:space="0"/>
                  </w:tcBorders>
                  <w:shd w:val="clear" w:color="auto" w:fill="auto"/>
                  <w:vAlign w:val="center"/>
                </w:tcPr>
                <w:p>
                  <w:pPr>
                    <w:pStyle w:val="47"/>
                  </w:pPr>
                  <w:r>
                    <w:t>规范危险废物暂存间</w:t>
                  </w:r>
                  <w:r>
                    <w:rPr>
                      <w:rFonts w:hint="eastAsia"/>
                    </w:rPr>
                    <w:t>，</w:t>
                  </w:r>
                  <w:r>
                    <w:t>设置标示标牌</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2</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right w:val="single" w:color="auto" w:sz="2" w:space="0"/>
                  </w:tcBorders>
                  <w:shd w:val="clear" w:color="auto" w:fill="auto"/>
                  <w:vAlign w:val="center"/>
                </w:tcPr>
                <w:p>
                  <w:pPr>
                    <w:pStyle w:val="47"/>
                  </w:pPr>
                </w:p>
              </w:tc>
              <w:tc>
                <w:tcPr>
                  <w:tcW w:w="690" w:type="pct"/>
                  <w:vMerge w:val="continue"/>
                  <w:tcBorders>
                    <w:left w:val="single" w:color="auto" w:sz="2" w:space="0"/>
                    <w:bottom w:val="single" w:color="auto" w:sz="2"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4" w:space="0"/>
                    <w:right w:val="single" w:color="auto" w:sz="2" w:space="0"/>
                  </w:tcBorders>
                  <w:shd w:val="clear" w:color="auto" w:fill="auto"/>
                  <w:vAlign w:val="center"/>
                </w:tcPr>
                <w:p>
                  <w:pPr>
                    <w:pStyle w:val="47"/>
                  </w:pPr>
                  <w:r>
                    <w:t>生活垃圾收集后交当地环卫部门</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依托</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right w:val="single" w:color="auto" w:sz="4" w:space="0"/>
                  </w:tcBorders>
                  <w:shd w:val="clear" w:color="auto" w:fill="auto"/>
                  <w:vAlign w:val="center"/>
                </w:tcPr>
                <w:p>
                  <w:pPr>
                    <w:pStyle w:val="47"/>
                  </w:pPr>
                </w:p>
              </w:tc>
              <w:tc>
                <w:tcPr>
                  <w:tcW w:w="690" w:type="pct"/>
                  <w:vMerge w:val="restart"/>
                  <w:tcBorders>
                    <w:top w:val="single" w:color="auto" w:sz="2" w:space="0"/>
                    <w:left w:val="single" w:color="auto" w:sz="4" w:space="0"/>
                    <w:right w:val="single" w:color="auto" w:sz="2" w:space="0"/>
                  </w:tcBorders>
                  <w:shd w:val="clear" w:color="auto" w:fill="auto"/>
                  <w:vAlign w:val="center"/>
                </w:tcPr>
                <w:p>
                  <w:pPr>
                    <w:pStyle w:val="47"/>
                  </w:pPr>
                  <w:r>
                    <w:rPr>
                      <w:rFonts w:hint="eastAsia"/>
                    </w:rPr>
                    <w:t>废气治理</w:t>
                  </w:r>
                </w:p>
              </w:tc>
              <w:tc>
                <w:tcPr>
                  <w:tcW w:w="2700" w:type="pct"/>
                  <w:tcBorders>
                    <w:top w:val="single" w:color="auto" w:sz="2" w:space="0"/>
                    <w:left w:val="single" w:color="auto" w:sz="2" w:space="0"/>
                    <w:bottom w:val="single" w:color="auto" w:sz="4" w:space="0"/>
                    <w:right w:val="single" w:color="auto" w:sz="2" w:space="0"/>
                  </w:tcBorders>
                  <w:shd w:val="clear" w:color="auto" w:fill="auto"/>
                  <w:vAlign w:val="center"/>
                </w:tcPr>
                <w:p>
                  <w:pPr>
                    <w:pStyle w:val="47"/>
                  </w:pPr>
                  <w:r>
                    <w:rPr>
                      <w:rFonts w:hint="eastAsia"/>
                    </w:rPr>
                    <w:t>原料堆场搭盖防尘网；成品堆场搭棚，输送带密闭，生产线置于厂房内，厂房密闭，运输道路硬化</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100</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right w:val="single" w:color="auto" w:sz="4" w:space="0"/>
                  </w:tcBorders>
                  <w:shd w:val="clear" w:color="auto" w:fill="auto"/>
                  <w:vAlign w:val="center"/>
                </w:tcPr>
                <w:p>
                  <w:pPr>
                    <w:pStyle w:val="47"/>
                  </w:pPr>
                </w:p>
              </w:tc>
              <w:tc>
                <w:tcPr>
                  <w:tcW w:w="690" w:type="pct"/>
                  <w:vMerge w:val="continue"/>
                  <w:tcBorders>
                    <w:left w:val="single" w:color="auto" w:sz="4"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4" w:space="0"/>
                    <w:right w:val="single" w:color="auto" w:sz="2" w:space="0"/>
                  </w:tcBorders>
                  <w:shd w:val="clear" w:color="auto" w:fill="auto"/>
                  <w:vAlign w:val="center"/>
                </w:tcPr>
                <w:p>
                  <w:pPr>
                    <w:pStyle w:val="47"/>
                  </w:pPr>
                  <w:r>
                    <w:rPr>
                      <w:rFonts w:hint="eastAsia"/>
                    </w:rPr>
                    <w:t>食堂安装油烟净化器</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0</w:t>
                  </w:r>
                  <w:r>
                    <w:t>.4</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right w:val="single" w:color="auto" w:sz="4" w:space="0"/>
                  </w:tcBorders>
                  <w:shd w:val="clear" w:color="auto" w:fill="auto"/>
                  <w:vAlign w:val="center"/>
                </w:tcPr>
                <w:p>
                  <w:pPr>
                    <w:pStyle w:val="47"/>
                  </w:pPr>
                </w:p>
              </w:tc>
              <w:tc>
                <w:tcPr>
                  <w:tcW w:w="690" w:type="pct"/>
                  <w:vMerge w:val="continue"/>
                  <w:tcBorders>
                    <w:left w:val="single" w:color="auto" w:sz="4" w:space="0"/>
                    <w:right w:val="single" w:color="auto" w:sz="2" w:space="0"/>
                  </w:tcBorders>
                  <w:shd w:val="clear" w:color="auto" w:fill="auto"/>
                  <w:vAlign w:val="center"/>
                </w:tcPr>
                <w:p>
                  <w:pPr>
                    <w:pStyle w:val="47"/>
                  </w:pPr>
                </w:p>
              </w:tc>
              <w:tc>
                <w:tcPr>
                  <w:tcW w:w="2700" w:type="pct"/>
                  <w:tcBorders>
                    <w:top w:val="single" w:color="auto" w:sz="2" w:space="0"/>
                    <w:left w:val="single" w:color="auto" w:sz="2" w:space="0"/>
                    <w:bottom w:val="single" w:color="auto" w:sz="4" w:space="0"/>
                    <w:right w:val="single" w:color="auto" w:sz="2" w:space="0"/>
                  </w:tcBorders>
                  <w:shd w:val="clear" w:color="auto" w:fill="auto"/>
                  <w:vAlign w:val="center"/>
                </w:tcPr>
                <w:p>
                  <w:pPr>
                    <w:pStyle w:val="47"/>
                  </w:pPr>
                  <w:r>
                    <w:rPr>
                      <w:rFonts w:hint="eastAsia"/>
                    </w:rPr>
                    <w:t>烘干废气排气筒搭建监测平台</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1</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16" w:hRule="atLeast"/>
              </w:trPr>
              <w:tc>
                <w:tcPr>
                  <w:tcW w:w="282" w:type="pct"/>
                  <w:vMerge w:val="continue"/>
                  <w:tcBorders>
                    <w:left w:val="single" w:color="auto" w:sz="2" w:space="0"/>
                    <w:bottom w:val="single" w:color="auto" w:sz="4" w:space="0"/>
                    <w:right w:val="single" w:color="auto" w:sz="4" w:space="0"/>
                  </w:tcBorders>
                  <w:shd w:val="clear" w:color="auto" w:fill="auto"/>
                  <w:vAlign w:val="center"/>
                </w:tcPr>
                <w:p>
                  <w:pPr>
                    <w:pStyle w:val="47"/>
                  </w:pPr>
                </w:p>
              </w:tc>
              <w:tc>
                <w:tcPr>
                  <w:tcW w:w="690" w:type="pct"/>
                  <w:tcBorders>
                    <w:top w:val="single" w:color="auto" w:sz="2" w:space="0"/>
                    <w:left w:val="single" w:color="auto" w:sz="4" w:space="0"/>
                    <w:bottom w:val="single" w:color="auto" w:sz="4" w:space="0"/>
                    <w:right w:val="single" w:color="auto" w:sz="2" w:space="0"/>
                  </w:tcBorders>
                  <w:shd w:val="clear" w:color="auto" w:fill="auto"/>
                  <w:vAlign w:val="center"/>
                </w:tcPr>
                <w:p>
                  <w:pPr>
                    <w:pStyle w:val="47"/>
                  </w:pPr>
                  <w:r>
                    <w:rPr>
                      <w:rFonts w:hint="eastAsia"/>
                    </w:rPr>
                    <w:t>噪声治理</w:t>
                  </w: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选用噪声低的设备；合理厂区平面布置，建设封闭隔声厂房，使用隔声材料，将球磨机布置在密闭的生产厂房内，并采取隔声、消声、吸声措施；车间外绿化。</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80</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16" w:hRule="atLeast"/>
              </w:trPr>
              <w:tc>
                <w:tcPr>
                  <w:tcW w:w="972" w:type="pct"/>
                  <w:gridSpan w:val="2"/>
                  <w:tcBorders>
                    <w:top w:val="single" w:color="auto" w:sz="4" w:space="0"/>
                    <w:left w:val="single" w:color="auto" w:sz="2" w:space="0"/>
                    <w:bottom w:val="single" w:color="auto" w:sz="4" w:space="0"/>
                    <w:right w:val="single" w:color="auto" w:sz="2" w:space="0"/>
                  </w:tcBorders>
                  <w:shd w:val="clear" w:color="auto" w:fill="auto"/>
                  <w:vAlign w:val="center"/>
                </w:tcPr>
                <w:p>
                  <w:pPr>
                    <w:pStyle w:val="47"/>
                  </w:pPr>
                  <w:r>
                    <w:rPr>
                      <w:rFonts w:hint="eastAsia"/>
                    </w:rPr>
                    <w:t>风险防范</w:t>
                  </w:r>
                </w:p>
              </w:tc>
              <w:tc>
                <w:tcPr>
                  <w:tcW w:w="2700"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事故池2</w:t>
                  </w:r>
                  <w:r>
                    <w:t>00m</w:t>
                  </w:r>
                  <w:r>
                    <w:rPr>
                      <w:vertAlign w:val="superscript"/>
                    </w:rPr>
                    <w:t>3</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1</w:t>
                  </w:r>
                  <w:r>
                    <w:t>0</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新增</w:t>
                  </w:r>
                </w:p>
              </w:tc>
            </w:tr>
            <w:tr>
              <w:tblPrEx>
                <w:tblCellMar>
                  <w:top w:w="0" w:type="dxa"/>
                  <w:left w:w="108" w:type="dxa"/>
                  <w:bottom w:w="0" w:type="dxa"/>
                  <w:right w:w="108" w:type="dxa"/>
                </w:tblCellMar>
              </w:tblPrEx>
              <w:trPr>
                <w:trHeight w:val="322" w:hRule="atLeast"/>
              </w:trPr>
              <w:tc>
                <w:tcPr>
                  <w:tcW w:w="3672" w:type="pct"/>
                  <w:gridSpan w:val="3"/>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合计</w:t>
                  </w:r>
                </w:p>
              </w:tc>
              <w:tc>
                <w:tcPr>
                  <w:tcW w:w="54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t>205.6</w:t>
                  </w:r>
                </w:p>
              </w:tc>
              <w:tc>
                <w:tcPr>
                  <w:tcW w:w="779" w:type="pct"/>
                  <w:tcBorders>
                    <w:top w:val="single" w:color="auto" w:sz="2" w:space="0"/>
                    <w:left w:val="single" w:color="auto" w:sz="2" w:space="0"/>
                    <w:bottom w:val="single" w:color="auto" w:sz="2" w:space="0"/>
                    <w:right w:val="single" w:color="auto" w:sz="2" w:space="0"/>
                  </w:tcBorders>
                  <w:shd w:val="clear" w:color="auto" w:fill="auto"/>
                  <w:vAlign w:val="center"/>
                </w:tcPr>
                <w:p>
                  <w:pPr>
                    <w:pStyle w:val="47"/>
                  </w:pPr>
                  <w:r>
                    <w:rPr>
                      <w:rFonts w:hint="eastAsia"/>
                    </w:rPr>
                    <w:t>/</w:t>
                  </w:r>
                </w:p>
              </w:tc>
            </w:tr>
          </w:tbl>
          <w:p>
            <w:pPr>
              <w:spacing w:line="360" w:lineRule="auto"/>
              <w:rPr>
                <w:sz w:val="28"/>
              </w:rPr>
            </w:pPr>
          </w:p>
        </w:tc>
      </w:tr>
    </w:tbl>
    <w:p>
      <w:pPr>
        <w:pStyle w:val="2"/>
        <w:rPr>
          <w:szCs w:val="30"/>
        </w:rPr>
      </w:pPr>
      <w:bookmarkStart w:id="15" w:name="_Toc138229537"/>
      <w:r>
        <w:br w:type="page"/>
      </w:r>
      <w:bookmarkStart w:id="16" w:name="_Toc34472028"/>
      <w:bookmarkStart w:id="17" w:name="_Toc496518920"/>
      <w:r>
        <w:rPr>
          <w:rFonts w:hint="eastAsia"/>
        </w:rPr>
        <w:t>表八建设</w:t>
      </w:r>
      <w:r>
        <w:t>项目拟采取的防治措施及预期治理效果</w:t>
      </w:r>
      <w:bookmarkEnd w:id="15"/>
      <w:bookmarkEnd w:id="16"/>
      <w:bookmarkEnd w:id="17"/>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7"/>
        <w:gridCol w:w="905"/>
        <w:gridCol w:w="2167"/>
        <w:gridCol w:w="2518"/>
        <w:gridCol w:w="28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445" w:type="pct"/>
            <w:tcBorders>
              <w:top w:val="single" w:color="auto" w:sz="12" w:space="0"/>
              <w:bottom w:val="single" w:color="auto" w:sz="6" w:space="0"/>
              <w:tl2br w:val="single" w:color="auto" w:sz="6" w:space="0"/>
            </w:tcBorders>
            <w:vAlign w:val="center"/>
          </w:tcPr>
          <w:p>
            <w:pPr>
              <w:pStyle w:val="47"/>
            </w:pPr>
            <w:r>
              <w:t>内容</w:t>
            </w:r>
          </w:p>
          <w:p>
            <w:pPr>
              <w:pStyle w:val="47"/>
            </w:pPr>
            <w:r>
              <w:t>类型</w:t>
            </w:r>
          </w:p>
        </w:tc>
        <w:tc>
          <w:tcPr>
            <w:tcW w:w="487" w:type="pct"/>
            <w:vAlign w:val="center"/>
          </w:tcPr>
          <w:p>
            <w:pPr>
              <w:pStyle w:val="47"/>
            </w:pPr>
            <w:r>
              <w:t>排放源(编号)</w:t>
            </w:r>
          </w:p>
        </w:tc>
        <w:tc>
          <w:tcPr>
            <w:tcW w:w="1167" w:type="pct"/>
            <w:vAlign w:val="center"/>
          </w:tcPr>
          <w:p>
            <w:pPr>
              <w:pStyle w:val="47"/>
            </w:pPr>
            <w:r>
              <w:t>污染物名称</w:t>
            </w:r>
          </w:p>
        </w:tc>
        <w:tc>
          <w:tcPr>
            <w:tcW w:w="1356" w:type="pct"/>
            <w:vAlign w:val="center"/>
          </w:tcPr>
          <w:p>
            <w:pPr>
              <w:pStyle w:val="47"/>
            </w:pPr>
            <w:r>
              <w:t>防治措施</w:t>
            </w:r>
          </w:p>
        </w:tc>
        <w:tc>
          <w:tcPr>
            <w:tcW w:w="1545" w:type="pct"/>
            <w:vAlign w:val="center"/>
          </w:tcPr>
          <w:p>
            <w:pPr>
              <w:pStyle w:val="47"/>
            </w:pPr>
            <w:r>
              <w:t>预期治理效果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8" w:hRule="atLeast"/>
        </w:trPr>
        <w:tc>
          <w:tcPr>
            <w:tcW w:w="445" w:type="pct"/>
            <w:vMerge w:val="restart"/>
            <w:tcBorders>
              <w:top w:val="single" w:color="auto" w:sz="4" w:space="0"/>
            </w:tcBorders>
            <w:vAlign w:val="center"/>
          </w:tcPr>
          <w:p>
            <w:pPr>
              <w:pStyle w:val="47"/>
            </w:pPr>
            <w:r>
              <w:t>大</w:t>
            </w:r>
          </w:p>
          <w:p>
            <w:pPr>
              <w:pStyle w:val="47"/>
            </w:pPr>
            <w:r>
              <w:t>气</w:t>
            </w:r>
          </w:p>
          <w:p>
            <w:pPr>
              <w:pStyle w:val="47"/>
            </w:pPr>
            <w:r>
              <w:t>污</w:t>
            </w:r>
          </w:p>
          <w:p>
            <w:pPr>
              <w:pStyle w:val="47"/>
            </w:pPr>
            <w:r>
              <w:t>染</w:t>
            </w:r>
          </w:p>
          <w:p>
            <w:pPr>
              <w:pStyle w:val="47"/>
            </w:pPr>
            <w:r>
              <w:t>物</w:t>
            </w:r>
          </w:p>
        </w:tc>
        <w:tc>
          <w:tcPr>
            <w:tcW w:w="487" w:type="pct"/>
            <w:tcBorders>
              <w:bottom w:val="single" w:color="auto" w:sz="4" w:space="0"/>
            </w:tcBorders>
            <w:vAlign w:val="center"/>
          </w:tcPr>
          <w:p>
            <w:pPr>
              <w:pStyle w:val="47"/>
            </w:pPr>
            <w:r>
              <w:t>原料堆场</w:t>
            </w:r>
          </w:p>
        </w:tc>
        <w:tc>
          <w:tcPr>
            <w:tcW w:w="1167" w:type="pct"/>
            <w:vMerge w:val="restart"/>
            <w:vAlign w:val="center"/>
          </w:tcPr>
          <w:p>
            <w:pPr>
              <w:pStyle w:val="47"/>
            </w:pPr>
            <w:r>
              <w:t>粉尘</w:t>
            </w:r>
          </w:p>
        </w:tc>
        <w:tc>
          <w:tcPr>
            <w:tcW w:w="1356" w:type="pct"/>
            <w:tcBorders>
              <w:bottom w:val="single" w:color="auto" w:sz="4" w:space="0"/>
            </w:tcBorders>
            <w:vAlign w:val="center"/>
          </w:tcPr>
          <w:p>
            <w:pPr>
              <w:pStyle w:val="47"/>
            </w:pPr>
            <w:r>
              <w:t>堆场搭棚</w:t>
            </w:r>
            <w:r>
              <w:rPr>
                <w:rFonts w:hint="eastAsia"/>
              </w:rPr>
              <w:t>、</w:t>
            </w:r>
            <w:r>
              <w:t>设置移动式雾炮机</w:t>
            </w:r>
          </w:p>
        </w:tc>
        <w:tc>
          <w:tcPr>
            <w:tcW w:w="1545" w:type="pct"/>
            <w:vMerge w:val="restart"/>
            <w:vAlign w:val="center"/>
          </w:tcPr>
          <w:p>
            <w:pPr>
              <w:pStyle w:val="47"/>
            </w:pPr>
            <w:r>
              <w:rPr>
                <w:rFonts w:hint="eastAsia"/>
              </w:rPr>
              <w:t>对周边环境影响较小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445" w:type="pct"/>
            <w:vMerge w:val="continue"/>
            <w:vAlign w:val="center"/>
          </w:tcPr>
          <w:p>
            <w:pPr>
              <w:pStyle w:val="47"/>
            </w:pPr>
          </w:p>
        </w:tc>
        <w:tc>
          <w:tcPr>
            <w:tcW w:w="487" w:type="pct"/>
            <w:tcBorders>
              <w:top w:val="single" w:color="auto" w:sz="4" w:space="0"/>
              <w:bottom w:val="single" w:color="auto" w:sz="4" w:space="0"/>
            </w:tcBorders>
            <w:vAlign w:val="center"/>
          </w:tcPr>
          <w:p>
            <w:pPr>
              <w:pStyle w:val="47"/>
            </w:pPr>
            <w:r>
              <w:t>产品堆场</w:t>
            </w:r>
          </w:p>
        </w:tc>
        <w:tc>
          <w:tcPr>
            <w:tcW w:w="1167" w:type="pct"/>
            <w:vMerge w:val="continue"/>
            <w:vAlign w:val="center"/>
          </w:tcPr>
          <w:p>
            <w:pPr>
              <w:pStyle w:val="47"/>
            </w:pPr>
          </w:p>
        </w:tc>
        <w:tc>
          <w:tcPr>
            <w:tcW w:w="1356" w:type="pct"/>
            <w:tcBorders>
              <w:top w:val="single" w:color="auto" w:sz="4" w:space="0"/>
              <w:bottom w:val="single" w:color="auto" w:sz="4" w:space="0"/>
            </w:tcBorders>
            <w:vAlign w:val="center"/>
          </w:tcPr>
          <w:p>
            <w:pPr>
              <w:pStyle w:val="47"/>
            </w:pPr>
            <w:r>
              <w:rPr>
                <w:rFonts w:hint="eastAsia"/>
              </w:rPr>
              <w:t>室内堆存、设置移动式雾炮机</w:t>
            </w:r>
          </w:p>
        </w:tc>
        <w:tc>
          <w:tcPr>
            <w:tcW w:w="1545" w:type="pct"/>
            <w:vMerge w:val="continue"/>
            <w:vAlign w:val="center"/>
          </w:tcPr>
          <w:p>
            <w:pPr>
              <w:pStyle w:val="47"/>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445" w:type="pct"/>
            <w:vMerge w:val="continue"/>
            <w:vAlign w:val="center"/>
          </w:tcPr>
          <w:p>
            <w:pPr>
              <w:pStyle w:val="47"/>
            </w:pPr>
          </w:p>
        </w:tc>
        <w:tc>
          <w:tcPr>
            <w:tcW w:w="487" w:type="pct"/>
            <w:tcBorders>
              <w:top w:val="single" w:color="auto" w:sz="4" w:space="0"/>
            </w:tcBorders>
            <w:vAlign w:val="center"/>
          </w:tcPr>
          <w:p>
            <w:pPr>
              <w:pStyle w:val="47"/>
            </w:pPr>
            <w:r>
              <w:t>运输道路</w:t>
            </w:r>
          </w:p>
        </w:tc>
        <w:tc>
          <w:tcPr>
            <w:tcW w:w="1167" w:type="pct"/>
            <w:vMerge w:val="continue"/>
            <w:tcBorders>
              <w:bottom w:val="single" w:color="auto" w:sz="4" w:space="0"/>
            </w:tcBorders>
            <w:vAlign w:val="center"/>
          </w:tcPr>
          <w:p>
            <w:pPr>
              <w:pStyle w:val="47"/>
            </w:pPr>
          </w:p>
        </w:tc>
        <w:tc>
          <w:tcPr>
            <w:tcW w:w="1356" w:type="pct"/>
            <w:tcBorders>
              <w:top w:val="single" w:color="auto" w:sz="4" w:space="0"/>
              <w:bottom w:val="single" w:color="auto" w:sz="4" w:space="0"/>
            </w:tcBorders>
            <w:vAlign w:val="center"/>
          </w:tcPr>
          <w:p>
            <w:pPr>
              <w:pStyle w:val="47"/>
            </w:pPr>
            <w:r>
              <w:rPr>
                <w:rFonts w:hint="eastAsia"/>
              </w:rPr>
              <w:t>定期保洁、洒水降尘</w:t>
            </w:r>
          </w:p>
        </w:tc>
        <w:tc>
          <w:tcPr>
            <w:tcW w:w="1545" w:type="pct"/>
            <w:vMerge w:val="continue"/>
            <w:tcBorders>
              <w:bottom w:val="single" w:color="auto" w:sz="4" w:space="0"/>
            </w:tcBorders>
            <w:vAlign w:val="center"/>
          </w:tcPr>
          <w:p>
            <w:pPr>
              <w:pStyle w:val="47"/>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8" w:hRule="atLeast"/>
        </w:trPr>
        <w:tc>
          <w:tcPr>
            <w:tcW w:w="445" w:type="pct"/>
            <w:vMerge w:val="restart"/>
            <w:tcBorders>
              <w:top w:val="single" w:color="auto" w:sz="4" w:space="0"/>
            </w:tcBorders>
            <w:vAlign w:val="center"/>
          </w:tcPr>
          <w:p>
            <w:pPr>
              <w:pStyle w:val="47"/>
            </w:pPr>
            <w:r>
              <w:t>水</w:t>
            </w:r>
          </w:p>
          <w:p>
            <w:pPr>
              <w:pStyle w:val="47"/>
            </w:pPr>
            <w:r>
              <w:t>污</w:t>
            </w:r>
          </w:p>
          <w:p>
            <w:pPr>
              <w:pStyle w:val="47"/>
            </w:pPr>
            <w:r>
              <w:t>染</w:t>
            </w:r>
          </w:p>
          <w:p>
            <w:pPr>
              <w:pStyle w:val="47"/>
            </w:pPr>
            <w:r>
              <w:t>物</w:t>
            </w:r>
          </w:p>
        </w:tc>
        <w:tc>
          <w:tcPr>
            <w:tcW w:w="487" w:type="pct"/>
            <w:vAlign w:val="center"/>
          </w:tcPr>
          <w:p>
            <w:pPr>
              <w:pStyle w:val="47"/>
            </w:pPr>
            <w:r>
              <w:t>营运期</w:t>
            </w:r>
            <w:r>
              <w:rPr>
                <w:rFonts w:hint="eastAsia"/>
              </w:rPr>
              <w:t>生活污水</w:t>
            </w:r>
          </w:p>
        </w:tc>
        <w:tc>
          <w:tcPr>
            <w:tcW w:w="1167" w:type="pct"/>
            <w:vAlign w:val="center"/>
          </w:tcPr>
          <w:p>
            <w:pPr>
              <w:pStyle w:val="47"/>
            </w:pPr>
            <w:r>
              <w:t>COD</w:t>
            </w:r>
            <w:r>
              <w:rPr>
                <w:rFonts w:hint="eastAsia"/>
                <w:vertAlign w:val="subscript"/>
              </w:rPr>
              <w:t>C</w:t>
            </w:r>
            <w:r>
              <w:rPr>
                <w:vertAlign w:val="subscript"/>
              </w:rPr>
              <w:t>r</w:t>
            </w:r>
            <w:r>
              <w:rPr>
                <w:rFonts w:hint="eastAsia"/>
              </w:rPr>
              <w:t>、BOD</w:t>
            </w:r>
            <w:r>
              <w:rPr>
                <w:rFonts w:hint="eastAsia"/>
                <w:vertAlign w:val="subscript"/>
              </w:rPr>
              <w:t>5</w:t>
            </w:r>
            <w:r>
              <w:rPr>
                <w:rFonts w:hint="eastAsia"/>
              </w:rPr>
              <w:t>、动植物油、</w:t>
            </w:r>
            <w:r>
              <w:t>氨氮</w:t>
            </w:r>
          </w:p>
        </w:tc>
        <w:tc>
          <w:tcPr>
            <w:tcW w:w="1356" w:type="pct"/>
            <w:vAlign w:val="center"/>
          </w:tcPr>
          <w:p>
            <w:pPr>
              <w:pStyle w:val="47"/>
            </w:pPr>
            <w:r>
              <w:t>依托现有工程内化粪池处理后</w:t>
            </w:r>
            <w:r>
              <w:rPr>
                <w:rFonts w:hint="eastAsia"/>
              </w:rPr>
              <w:t>排入乡镇污水管网</w:t>
            </w:r>
          </w:p>
        </w:tc>
        <w:tc>
          <w:tcPr>
            <w:tcW w:w="1545" w:type="pct"/>
            <w:vAlign w:val="center"/>
          </w:tcPr>
          <w:p>
            <w:pPr>
              <w:pStyle w:val="47"/>
            </w:pPr>
            <w:r>
              <w:rPr>
                <w:rFonts w:hint="eastAsia"/>
              </w:rPr>
              <w:t>对当地水环境质量影响较小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8" w:hRule="atLeast"/>
        </w:trPr>
        <w:tc>
          <w:tcPr>
            <w:tcW w:w="445" w:type="pct"/>
            <w:vMerge w:val="continue"/>
            <w:vAlign w:val="center"/>
          </w:tcPr>
          <w:p>
            <w:pPr>
              <w:pStyle w:val="47"/>
            </w:pPr>
          </w:p>
        </w:tc>
        <w:tc>
          <w:tcPr>
            <w:tcW w:w="487" w:type="pct"/>
            <w:vAlign w:val="center"/>
          </w:tcPr>
          <w:p>
            <w:pPr>
              <w:pStyle w:val="47"/>
            </w:pPr>
            <w:r>
              <w:t>营运期</w:t>
            </w:r>
            <w:r>
              <w:rPr>
                <w:rFonts w:hint="eastAsia"/>
              </w:rPr>
              <w:t>生产废水</w:t>
            </w:r>
          </w:p>
        </w:tc>
        <w:tc>
          <w:tcPr>
            <w:tcW w:w="1167" w:type="pct"/>
            <w:vAlign w:val="center"/>
          </w:tcPr>
          <w:p>
            <w:pPr>
              <w:pStyle w:val="47"/>
            </w:pPr>
            <w:r>
              <w:rPr>
                <w:rFonts w:hint="eastAsia"/>
              </w:rPr>
              <w:t>SS</w:t>
            </w:r>
          </w:p>
        </w:tc>
        <w:tc>
          <w:tcPr>
            <w:tcW w:w="1356" w:type="pct"/>
            <w:vAlign w:val="center"/>
          </w:tcPr>
          <w:p>
            <w:pPr>
              <w:pStyle w:val="47"/>
            </w:pPr>
            <w:r>
              <w:rPr>
                <w:rFonts w:hint="eastAsia"/>
              </w:rPr>
              <w:t>经浓密机沉淀处理后循环使用</w:t>
            </w:r>
          </w:p>
        </w:tc>
        <w:tc>
          <w:tcPr>
            <w:tcW w:w="1545" w:type="pct"/>
            <w:vAlign w:val="center"/>
          </w:tcPr>
          <w:p>
            <w:pPr>
              <w:pStyle w:val="47"/>
            </w:pPr>
            <w:r>
              <w:rPr>
                <w:rFonts w:hint="eastAsia"/>
              </w:rPr>
              <w:t>不外排，不会对周边地表水环境质量产生量影响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7" w:hRule="atLeast"/>
        </w:trPr>
        <w:tc>
          <w:tcPr>
            <w:tcW w:w="445" w:type="pct"/>
            <w:vMerge w:val="restart"/>
            <w:tcBorders>
              <w:top w:val="single" w:color="auto" w:sz="4" w:space="0"/>
            </w:tcBorders>
            <w:vAlign w:val="center"/>
          </w:tcPr>
          <w:p>
            <w:pPr>
              <w:pStyle w:val="47"/>
            </w:pPr>
            <w:r>
              <w:t>固</w:t>
            </w:r>
          </w:p>
          <w:p>
            <w:pPr>
              <w:pStyle w:val="47"/>
            </w:pPr>
            <w:r>
              <w:t>体</w:t>
            </w:r>
          </w:p>
          <w:p>
            <w:pPr>
              <w:pStyle w:val="47"/>
            </w:pPr>
            <w:r>
              <w:t>废</w:t>
            </w:r>
          </w:p>
          <w:p>
            <w:pPr>
              <w:pStyle w:val="47"/>
            </w:pPr>
            <w:r>
              <w:t>物</w:t>
            </w:r>
          </w:p>
        </w:tc>
        <w:tc>
          <w:tcPr>
            <w:tcW w:w="487" w:type="pct"/>
            <w:vMerge w:val="restart"/>
            <w:vAlign w:val="center"/>
          </w:tcPr>
          <w:p>
            <w:pPr>
              <w:pStyle w:val="47"/>
            </w:pPr>
            <w:r>
              <w:t>营运期固废</w:t>
            </w:r>
          </w:p>
        </w:tc>
        <w:tc>
          <w:tcPr>
            <w:tcW w:w="1167" w:type="pct"/>
            <w:vAlign w:val="center"/>
          </w:tcPr>
          <w:p>
            <w:pPr>
              <w:pStyle w:val="47"/>
            </w:pPr>
            <w:r>
              <w:t>生活垃圾</w:t>
            </w:r>
          </w:p>
        </w:tc>
        <w:tc>
          <w:tcPr>
            <w:tcW w:w="1356" w:type="pct"/>
            <w:tcBorders>
              <w:bottom w:val="single" w:color="auto" w:sz="4" w:space="0"/>
            </w:tcBorders>
            <w:vAlign w:val="center"/>
          </w:tcPr>
          <w:p>
            <w:pPr>
              <w:pStyle w:val="47"/>
            </w:pPr>
            <w:r>
              <w:t>生活垃圾要集中定点收集，专人清运送环卫部门统一处理。</w:t>
            </w:r>
          </w:p>
        </w:tc>
        <w:tc>
          <w:tcPr>
            <w:tcW w:w="1545" w:type="pct"/>
            <w:vMerge w:val="restart"/>
            <w:vAlign w:val="center"/>
          </w:tcPr>
          <w:p>
            <w:pPr>
              <w:pStyle w:val="47"/>
            </w:pPr>
            <w:r>
              <w:t>不排放，对当地环境基本无危害。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7" w:hRule="atLeast"/>
        </w:trPr>
        <w:tc>
          <w:tcPr>
            <w:tcW w:w="445" w:type="pct"/>
            <w:vMerge w:val="continue"/>
            <w:vAlign w:val="center"/>
          </w:tcPr>
          <w:p>
            <w:pPr>
              <w:pStyle w:val="47"/>
            </w:pPr>
          </w:p>
        </w:tc>
        <w:tc>
          <w:tcPr>
            <w:tcW w:w="487" w:type="pct"/>
            <w:vMerge w:val="continue"/>
            <w:vAlign w:val="center"/>
          </w:tcPr>
          <w:p>
            <w:pPr>
              <w:pStyle w:val="47"/>
            </w:pPr>
          </w:p>
        </w:tc>
        <w:tc>
          <w:tcPr>
            <w:tcW w:w="1167" w:type="pct"/>
            <w:vAlign w:val="center"/>
          </w:tcPr>
          <w:p>
            <w:pPr>
              <w:pStyle w:val="50"/>
              <w:rPr>
                <w:rFonts w:cs="SimSun"/>
              </w:rPr>
            </w:pPr>
            <w:r>
              <w:rPr>
                <w:rFonts w:hint="eastAsia" w:cs="SimSun"/>
              </w:rPr>
              <w:t>检修废油</w:t>
            </w:r>
          </w:p>
        </w:tc>
        <w:tc>
          <w:tcPr>
            <w:tcW w:w="1356" w:type="pct"/>
            <w:tcBorders>
              <w:bottom w:val="single" w:color="auto" w:sz="4" w:space="0"/>
            </w:tcBorders>
            <w:vAlign w:val="center"/>
          </w:tcPr>
          <w:p>
            <w:pPr>
              <w:pStyle w:val="47"/>
            </w:pPr>
            <w:r>
              <w:rPr>
                <w:rFonts w:hint="eastAsia"/>
              </w:rPr>
              <w:t>交由资质单位处置</w:t>
            </w:r>
          </w:p>
        </w:tc>
        <w:tc>
          <w:tcPr>
            <w:tcW w:w="1545" w:type="pct"/>
            <w:vMerge w:val="continue"/>
            <w:vAlign w:val="center"/>
          </w:tcPr>
          <w:p>
            <w:pPr>
              <w:pStyle w:val="47"/>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445" w:type="pct"/>
            <w:tcBorders>
              <w:top w:val="single" w:color="auto" w:sz="4" w:space="0"/>
            </w:tcBorders>
            <w:vAlign w:val="center"/>
          </w:tcPr>
          <w:p>
            <w:pPr>
              <w:pStyle w:val="47"/>
            </w:pPr>
            <w:r>
              <w:t>噪</w:t>
            </w:r>
          </w:p>
          <w:p>
            <w:pPr>
              <w:pStyle w:val="47"/>
            </w:pPr>
            <w:r>
              <w:t>声</w:t>
            </w:r>
          </w:p>
        </w:tc>
        <w:tc>
          <w:tcPr>
            <w:tcW w:w="487" w:type="pct"/>
            <w:vAlign w:val="center"/>
          </w:tcPr>
          <w:p>
            <w:pPr>
              <w:pStyle w:val="47"/>
            </w:pPr>
            <w:r>
              <w:t>营运期噪声</w:t>
            </w:r>
          </w:p>
        </w:tc>
        <w:tc>
          <w:tcPr>
            <w:tcW w:w="4067" w:type="pct"/>
            <w:gridSpan w:val="3"/>
            <w:vAlign w:val="center"/>
          </w:tcPr>
          <w:p>
            <w:pPr>
              <w:pStyle w:val="47"/>
            </w:pPr>
            <w:r>
              <w:rPr>
                <w:rFonts w:hint="eastAsia"/>
              </w:rPr>
              <w:t>通过采取隔声、减振措施，</w:t>
            </w:r>
            <w:r>
              <w:t>控制噪声污染，减少对周围声环境的影响，</w:t>
            </w:r>
            <w:r>
              <w:rPr>
                <w:rFonts w:hint="eastAsia"/>
              </w:rPr>
              <w:t>项目场界</w:t>
            </w:r>
            <w:r>
              <w:t>达到GB12348-2008《工业企业厂界环境噪声排放标准》</w:t>
            </w:r>
            <w:r>
              <w:rPr>
                <w:rFonts w:hint="eastAsia"/>
              </w:rPr>
              <w:t>3</w:t>
            </w:r>
            <w:r>
              <w:t>类标准</w:t>
            </w:r>
            <w:r>
              <w:rPr>
                <w:rFonts w:hint="eastAsia"/>
              </w:rPr>
              <w:t>，西侧在厂界外7m处能够满足</w:t>
            </w:r>
            <w:r>
              <w:t>《工业企业厂界环境噪声排放标准》</w:t>
            </w:r>
            <w:r>
              <w:rPr>
                <w:rFonts w:hint="eastAsia"/>
              </w:rPr>
              <w:t>3</w:t>
            </w:r>
            <w:r>
              <w:t>类标准。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445" w:type="pct"/>
            <w:vAlign w:val="center"/>
          </w:tcPr>
          <w:p>
            <w:pPr>
              <w:jc w:val="center"/>
              <w:rPr>
                <w:rFonts w:ascii="SimSun" w:hAnsi="SimSun"/>
                <w:b/>
                <w:bCs/>
                <w:sz w:val="21"/>
                <w:szCs w:val="21"/>
              </w:rPr>
            </w:pPr>
            <w:r>
              <w:rPr>
                <w:rFonts w:ascii="SimSun" w:hAnsi="SimSun"/>
                <w:b/>
                <w:sz w:val="21"/>
                <w:szCs w:val="21"/>
              </w:rPr>
              <w:t>其他</w:t>
            </w:r>
          </w:p>
        </w:tc>
        <w:tc>
          <w:tcPr>
            <w:tcW w:w="4555" w:type="pct"/>
            <w:gridSpan w:val="4"/>
            <w:vAlign w:val="center"/>
          </w:tcPr>
          <w:p>
            <w:pPr>
              <w:ind w:firstLine="315" w:firstLineChars="150"/>
              <w:jc w:val="center"/>
              <w:rPr>
                <w:rFonts w:ascii="SimSun" w:hAnsi="SimSun"/>
                <w:sz w:val="21"/>
                <w:szCs w:val="21"/>
              </w:rPr>
            </w:pPr>
            <w:r>
              <w:rPr>
                <w:rFonts w:hint="eastAsia" w:ascii="SimSun" w:hAnsi="SimSun"/>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71" w:hRule="atLeast"/>
        </w:trPr>
        <w:tc>
          <w:tcPr>
            <w:tcW w:w="5000" w:type="pct"/>
            <w:gridSpan w:val="5"/>
          </w:tcPr>
          <w:p>
            <w:pPr>
              <w:pStyle w:val="3"/>
            </w:pPr>
            <w:r>
              <w:t>生态保护措施及预期效果：</w:t>
            </w:r>
          </w:p>
          <w:p>
            <w:pPr>
              <w:pStyle w:val="37"/>
              <w:ind w:firstLine="480"/>
            </w:pPr>
            <w:r>
              <w:rPr>
                <w:rFonts w:hint="eastAsia"/>
              </w:rPr>
              <w:t>根据现场踏勘，本项目为原址改扩建项目，不涉及破坏地表植被，项目建成运营后，各种建筑物的覆盖使土壤表面硬度增高，土壤的使用性质、植被情况发生变化，但通过加强区域绿化后，不会对区域生态产生负面影响。项目建成投产后，产生污染物量较小，对生态环境影响较小。</w:t>
            </w:r>
          </w:p>
        </w:tc>
      </w:tr>
    </w:tbl>
    <w:p/>
    <w:p>
      <w:pPr>
        <w:pStyle w:val="2"/>
      </w:pPr>
      <w:r>
        <w:br w:type="page"/>
      </w:r>
      <w:bookmarkStart w:id="18" w:name="_Toc496518921"/>
      <w:bookmarkStart w:id="19" w:name="_Toc34472029"/>
      <w:r>
        <w:rPr>
          <w:rFonts w:hint="eastAsia"/>
        </w:rPr>
        <w:t>表九结论与建议</w:t>
      </w:r>
      <w:bookmarkEnd w:id="18"/>
      <w:bookmarkEnd w:id="19"/>
    </w:p>
    <w:tbl>
      <w:tblPr>
        <w:tblStyle w:val="25"/>
        <w:tblW w:w="9180"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18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180" w:type="dxa"/>
          </w:tcPr>
          <w:p>
            <w:pPr>
              <w:pStyle w:val="3"/>
            </w:pPr>
            <w:r>
              <w:rPr>
                <w:rFonts w:hint="eastAsia"/>
              </w:rPr>
              <w:t>一、结论</w:t>
            </w:r>
          </w:p>
          <w:p>
            <w:pPr>
              <w:pStyle w:val="37"/>
              <w:ind w:firstLine="480"/>
            </w:pPr>
            <w:r>
              <w:rPr>
                <w:rFonts w:hint="eastAsia"/>
              </w:rPr>
              <w:t>1、项目概况</w:t>
            </w:r>
          </w:p>
          <w:p>
            <w:pPr>
              <w:pStyle w:val="37"/>
              <w:ind w:firstLine="480"/>
            </w:pPr>
            <w:r>
              <w:rPr>
                <w:rFonts w:hint="eastAsia"/>
              </w:rPr>
              <w:t>本项目为年产5万吨高端电磁选钾长石生产线，位于乐山市峨边彝族自治县五渡镇工农村2组（29.279235°N；103.490109°E），建设单位为乐山市峨边盛和矿业有限公司，本项目为原址改扩建，建设内容包括：在原年产15万吨电磁选钾长石生产线的基础上，实行技术改造升级，购置立环式磁选机、浓密机、过滤机等设备，将原厂区水洗生产线改扩建一条年产5万吨高端电磁选钾长石生产线，生产玻璃级钾长石粉料、釉用钾长石粉料两种高端产品。该项目已取得峨边彝族自治县经济和信息化局备案，备案号为：川投资备【2019-511132-10-03-358619】JXQB-0028号。</w:t>
            </w:r>
          </w:p>
          <w:p>
            <w:pPr>
              <w:pStyle w:val="37"/>
              <w:ind w:firstLine="480"/>
            </w:pPr>
            <w:r>
              <w:rPr>
                <w:rFonts w:hint="eastAsia"/>
              </w:rPr>
              <w:t>2、产业政策符合性分析</w:t>
            </w:r>
          </w:p>
          <w:p>
            <w:pPr>
              <w:pStyle w:val="37"/>
              <w:ind w:firstLine="480"/>
              <w:rPr>
                <w:rFonts w:cs="Times New Roman"/>
              </w:rPr>
            </w:pPr>
            <w:r>
              <w:rPr>
                <w:rFonts w:hint="eastAsia" w:cs="Times New Roman"/>
              </w:rPr>
              <w:t>本项目为年产5万吨高端电磁选钾长石生产线，属于N1099其他未列明非金属矿采选，主要设备包括立环式磁选机、过滤机、脱水机等。根据国家发展改革委令2013年第21号《产业结构调整指导目录（2011年本）（修正）》，本项目生产工艺、产品、主要设备等均不属于其中的鼓励类、淘汰类、限制类。根据《促进产业结构调整暂行规定》，本项目属于允许类。同时，项目已在峨边彝族自治县经济和信息化局备案，备案号：川投资备【2019-511132-10-03-358619】JXQB-0028号。</w:t>
            </w:r>
          </w:p>
          <w:p>
            <w:pPr>
              <w:pStyle w:val="37"/>
              <w:ind w:firstLine="480"/>
              <w:rPr>
                <w:rFonts w:cs="Times New Roman"/>
              </w:rPr>
            </w:pPr>
            <w:r>
              <w:rPr>
                <w:rFonts w:cs="Times New Roman"/>
              </w:rPr>
              <w:t>因此，评价认为本项目符合国家产业政策要求，符合地方产业政策要求。</w:t>
            </w:r>
          </w:p>
          <w:p>
            <w:pPr>
              <w:pStyle w:val="37"/>
              <w:ind w:firstLine="480"/>
            </w:pPr>
            <w:r>
              <w:rPr>
                <w:rFonts w:hint="eastAsia"/>
              </w:rPr>
              <w:t>3、规划及选址合理性分析</w:t>
            </w:r>
          </w:p>
          <w:p>
            <w:pPr>
              <w:pStyle w:val="37"/>
              <w:ind w:firstLine="480"/>
            </w:pPr>
            <w:r>
              <w:rPr>
                <w:rFonts w:hint="eastAsia"/>
              </w:rPr>
              <w:t>（1）、建设项目与当地规划的符合性分析</w:t>
            </w:r>
          </w:p>
          <w:p>
            <w:pPr>
              <w:pStyle w:val="37"/>
              <w:ind w:firstLine="480"/>
            </w:pPr>
            <w:r>
              <w:rPr>
                <w:rFonts w:hint="eastAsia"/>
              </w:rPr>
              <w:t>本项目位于峨边彝族自治县五渡镇工农村2组，属于乐山市峨边彝族自治县工业集中区B区内，为原址改扩建。根据已批复的《峨边彝族自治县工业集中区B区规划环境影响报告书》审查意见的函（川环建函[2013]297号），园区规划范围为：总面积2.5km</w:t>
            </w:r>
            <w:r>
              <w:rPr>
                <w:rFonts w:hint="eastAsia"/>
                <w:vertAlign w:val="superscript"/>
              </w:rPr>
              <w:t>2</w:t>
            </w:r>
            <w:r>
              <w:rPr>
                <w:rFonts w:hint="eastAsia"/>
              </w:rPr>
              <w:t>，包括庞沟村0.2km</w:t>
            </w:r>
            <w:r>
              <w:rPr>
                <w:rFonts w:hint="eastAsia"/>
                <w:vertAlign w:val="superscript"/>
              </w:rPr>
              <w:t>2</w:t>
            </w:r>
            <w:r>
              <w:rPr>
                <w:rFonts w:hint="eastAsia"/>
              </w:rPr>
              <w:t>、毛坪片区1.2km</w:t>
            </w:r>
            <w:r>
              <w:rPr>
                <w:rFonts w:hint="eastAsia"/>
                <w:vertAlign w:val="superscript"/>
              </w:rPr>
              <w:t>2</w:t>
            </w:r>
            <w:r>
              <w:rPr>
                <w:rFonts w:hint="eastAsia"/>
              </w:rPr>
              <w:t>（中心村、恒心村、建华村）、五渡片区1.1km2（工农村、郭坝村、双凤村），而本项目位于五渡盘区，其园区产业定位为：矿产品加工、竹林加工、磷化工。</w:t>
            </w:r>
          </w:p>
          <w:p>
            <w:pPr>
              <w:pStyle w:val="37"/>
              <w:ind w:firstLine="480"/>
            </w:pPr>
            <w:r>
              <w:rPr>
                <w:rFonts w:hint="eastAsia"/>
              </w:rPr>
              <w:t>本项目为钾长石矿磁选加工，属于园区主导产业，同时本项目符合国家现行产业政策，符合园区规划。</w:t>
            </w:r>
          </w:p>
          <w:p>
            <w:pPr>
              <w:pStyle w:val="37"/>
              <w:ind w:firstLine="480"/>
            </w:pPr>
            <w:r>
              <w:rPr>
                <w:rFonts w:hint="eastAsia"/>
              </w:rPr>
              <w:t>（</w:t>
            </w:r>
            <w:r>
              <w:t>2</w:t>
            </w:r>
            <w:r>
              <w:rPr>
                <w:rFonts w:hint="eastAsia"/>
              </w:rPr>
              <w:t>）、选址合理性分析</w:t>
            </w:r>
          </w:p>
          <w:p>
            <w:pPr>
              <w:pStyle w:val="37"/>
              <w:ind w:firstLine="480"/>
            </w:pPr>
            <w:r>
              <w:rPr>
                <w:rFonts w:hint="eastAsia"/>
              </w:rPr>
              <w:t>本项目位于峨边彝族自治县五渡镇工农村2组，属于峨边彝族自治县工业集中区B区，本次钾长石磁选生产线是将原有厂区内中部水洗线进行改扩建，便于项目依托原有公辅设施，选址合理，项目西北面为五渡镇场镇（场镇住户约500人），最近距离为60m；项目北面大渡河对岸刘沟村分布有散居住户（17户，50人），最近距离为200m；项目西侧分布有散居住户（6户，18人），最近住户距离本项目西厂界约15m；项目东侧和东南侧紧邻大渡河和柏溪沟，柏溪沟对岸为峨边宇辰矿业开发有限公司；项目距离龚嘴电站约3km，距离铜街子电站约10km。项目与乡村道路相通，交通较为便利。项目周边不涉及自然保护区、风景名胜区、饮用水水源保护区等环境敏感区域。项目周边分布有同类型的钾长石加工企业，如仲豪钾长石矿厂、峨边五渡工农长石矿厂等。</w:t>
            </w:r>
          </w:p>
          <w:p>
            <w:pPr>
              <w:pStyle w:val="37"/>
              <w:ind w:firstLine="480"/>
            </w:pPr>
            <w:r>
              <w:rPr>
                <w:rFonts w:hint="eastAsia"/>
              </w:rPr>
              <w:t>综上所述，从项目外环境关系、环境敏感目标、基础条件等分析，评价认为本项目选址具有合理性。</w:t>
            </w:r>
          </w:p>
          <w:p>
            <w:pPr>
              <w:pStyle w:val="37"/>
              <w:ind w:firstLine="480"/>
            </w:pPr>
            <w:r>
              <w:rPr>
                <w:rFonts w:hint="eastAsia"/>
              </w:rPr>
              <w:t>4、环境质量现状</w:t>
            </w:r>
          </w:p>
          <w:p>
            <w:pPr>
              <w:pStyle w:val="37"/>
              <w:ind w:firstLine="480"/>
            </w:pPr>
            <w:r>
              <w:rPr>
                <w:rFonts w:hint="eastAsia"/>
              </w:rPr>
              <w:t>根据根据2017年峨边彝族自治县环境质量状况监测数据，区域内首要污染物为PM</w:t>
            </w:r>
            <w:r>
              <w:rPr>
                <w:rFonts w:hint="eastAsia"/>
                <w:vertAlign w:val="subscript"/>
              </w:rPr>
              <w:t>10</w:t>
            </w:r>
            <w:r>
              <w:rPr>
                <w:rFonts w:hint="eastAsia"/>
              </w:rPr>
              <w:t>、PM</w:t>
            </w:r>
            <w:r>
              <w:rPr>
                <w:rFonts w:hint="eastAsia"/>
                <w:vertAlign w:val="subscript"/>
              </w:rPr>
              <w:t>2.5</w:t>
            </w:r>
            <w:r>
              <w:rPr>
                <w:rFonts w:hint="eastAsia"/>
              </w:rPr>
              <w:t>，其中PM10年均浓度值为89.2μg/m</w:t>
            </w:r>
            <w:r>
              <w:rPr>
                <w:rFonts w:hint="eastAsia"/>
                <w:vertAlign w:val="superscript"/>
              </w:rPr>
              <w:t>3</w:t>
            </w:r>
            <w:r>
              <w:rPr>
                <w:rFonts w:hint="eastAsia"/>
              </w:rPr>
              <w:t>，超标倍数为0.274，PM2.5年均浓度值为53.9μg/m</w:t>
            </w:r>
            <w:r>
              <w:rPr>
                <w:rFonts w:hint="eastAsia"/>
                <w:vertAlign w:val="superscript"/>
              </w:rPr>
              <w:t>3</w:t>
            </w:r>
            <w:r>
              <w:rPr>
                <w:rFonts w:hint="eastAsia"/>
              </w:rPr>
              <w:t>，超标倍数为0.54，项目所在区域属不达标区域。乐山市于2017年发布了《乐山市大气环境质量限期达标规划（2016年-2025年）》，规划到2020年PM10年均浓度达到《环境空气质量标准》（GB3095-2012）二级标准限值，到2025年PM2.5年均浓度达到《环境空气质量标准》（GB3095-2012）二级标准限值。</w:t>
            </w:r>
          </w:p>
          <w:p>
            <w:pPr>
              <w:pStyle w:val="37"/>
              <w:ind w:firstLine="480"/>
            </w:pPr>
            <w:r>
              <w:rPr>
                <w:rFonts w:hint="eastAsia"/>
              </w:rPr>
              <w:t>根据乐山市2019年</w:t>
            </w:r>
            <w:r>
              <w:t>10</w:t>
            </w:r>
            <w:r>
              <w:rPr>
                <w:rFonts w:hint="eastAsia"/>
              </w:rPr>
              <w:t>月年地表水环境质量例行监测资料，该项目所在区域地表水符合《地表水环境质量标准》（GB3838-2002）中III类水质标准。</w:t>
            </w:r>
          </w:p>
          <w:p>
            <w:pPr>
              <w:pStyle w:val="37"/>
              <w:ind w:firstLine="480"/>
            </w:pPr>
            <w:r>
              <w:rPr>
                <w:rFonts w:hint="eastAsia"/>
              </w:rPr>
              <w:t>根据四川同佳检测有限责任公司监测数据，本项目厂界噪声昼间可达《声环境质量标准》（GB3096-2008）的3类标准。区域声环境质量现状较好。</w:t>
            </w:r>
          </w:p>
          <w:p>
            <w:pPr>
              <w:pStyle w:val="37"/>
              <w:ind w:firstLine="480"/>
            </w:pPr>
            <w:r>
              <w:rPr>
                <w:rFonts w:hint="eastAsia"/>
              </w:rPr>
              <w:t>5、营运期环境影响分析</w:t>
            </w:r>
          </w:p>
          <w:p>
            <w:pPr>
              <w:pStyle w:val="37"/>
              <w:ind w:firstLine="480"/>
            </w:pPr>
            <w:r>
              <w:rPr>
                <w:rFonts w:hint="eastAsia"/>
              </w:rPr>
              <w:t>（1）大气环境影响分析</w:t>
            </w:r>
          </w:p>
          <w:p>
            <w:pPr>
              <w:pStyle w:val="37"/>
              <w:ind w:firstLine="480"/>
            </w:pPr>
            <w:r>
              <w:rPr>
                <w:rFonts w:hint="eastAsia"/>
              </w:rPr>
              <w:t>本项目运营期废气主要是堆场扬尘、道路运输扬尘。评价要求：整个钾长石生产线置于厂房内，厂房密闭，皮带输送机采用封闭式，原料堆存搭棚，产品全部堆存于产品库房，禁止露天堆放。</w:t>
            </w:r>
          </w:p>
          <w:p>
            <w:pPr>
              <w:pStyle w:val="37"/>
              <w:ind w:firstLine="480"/>
              <w:rPr>
                <w:kern w:val="0"/>
              </w:rPr>
            </w:pPr>
            <w:r>
              <w:rPr>
                <w:rFonts w:hint="eastAsia"/>
              </w:rPr>
              <w:t>综上所述，项目运营期产生的污染物能够满足达标排放要求，对周边环境影响较小。</w:t>
            </w:r>
          </w:p>
          <w:p>
            <w:pPr>
              <w:pStyle w:val="37"/>
              <w:ind w:firstLine="480"/>
            </w:pPr>
            <w:r>
              <w:rPr>
                <w:rFonts w:hint="eastAsia"/>
              </w:rPr>
              <w:t>（2）水环境影响分析</w:t>
            </w:r>
          </w:p>
          <w:p>
            <w:pPr>
              <w:pStyle w:val="37"/>
              <w:ind w:firstLine="480"/>
            </w:pPr>
            <w:r>
              <w:rPr>
                <w:rFonts w:hint="eastAsia"/>
              </w:rPr>
              <w:t>本项目运营期废水主要为生活污水及生产废水，其中生产废水主要为水洗废水、脱泥废水、球磨机废水、磁选机废水、过滤废水、产品堆场渗滤液，经浓密机处理后循环使用，不外排。生活污水经化粪池处理后排入乡镇污水管网。</w:t>
            </w:r>
          </w:p>
          <w:p>
            <w:pPr>
              <w:pStyle w:val="37"/>
              <w:ind w:firstLine="480"/>
            </w:pPr>
            <w:r>
              <w:rPr>
                <w:rFonts w:hint="eastAsia"/>
              </w:rPr>
              <w:t>经分析，项目运营期废水不直接排放，对周边地表水环境影响较小。</w:t>
            </w:r>
          </w:p>
          <w:p>
            <w:pPr>
              <w:pStyle w:val="37"/>
              <w:ind w:firstLine="480"/>
            </w:pPr>
            <w:r>
              <w:rPr>
                <w:rFonts w:hint="eastAsia"/>
              </w:rPr>
              <w:t>（3）声环境影响分析</w:t>
            </w:r>
          </w:p>
          <w:p>
            <w:pPr>
              <w:pStyle w:val="37"/>
              <w:ind w:firstLine="480"/>
            </w:pPr>
            <w:r>
              <w:rPr>
                <w:rFonts w:hint="eastAsia"/>
              </w:rPr>
              <w:t>经预测分析，项目昼间产生噪声能够</w:t>
            </w:r>
            <w:r>
              <w:t>达到</w:t>
            </w:r>
            <w:r>
              <w:rPr>
                <w:rFonts w:hint="eastAsia"/>
              </w:rPr>
              <w:t>《工业企业厂界环境噪声排放标准》（GB12348-2008）中3类</w:t>
            </w:r>
            <w:r>
              <w:t>标准</w:t>
            </w:r>
            <w:r>
              <w:rPr>
                <w:rFonts w:hint="eastAsia"/>
              </w:rPr>
              <w:t>，周边声环境质量现状能够满足《声环境质量标准》（GB3096-2008）中3类标准要求，不会对当地声环境质量现状造成明显影响，不会产生扰民影响。</w:t>
            </w:r>
          </w:p>
          <w:p>
            <w:pPr>
              <w:pStyle w:val="37"/>
              <w:ind w:firstLine="480"/>
            </w:pPr>
            <w:r>
              <w:rPr>
                <w:rFonts w:hint="eastAsia"/>
              </w:rPr>
              <w:t>（4）固体废弃物</w:t>
            </w:r>
          </w:p>
          <w:p>
            <w:pPr>
              <w:pStyle w:val="37"/>
              <w:ind w:firstLine="480"/>
            </w:pPr>
            <w:r>
              <w:rPr>
                <w:rFonts w:hint="eastAsia"/>
              </w:rPr>
              <w:t>本项目运营期固体废弃物主要为职工生活垃圾、检修废油、尾砂、黑砂等。产生的生活垃圾通过场区内设置的垃圾桶收集装袋后送环卫部门，由环卫部门清运至垃圾填埋场卫生填埋。检修废油经收集后暂存于危险废物暂存间，定期交由资质单位处置。黑砂作副产品出售，尾砂出售作建筑材料。</w:t>
            </w:r>
          </w:p>
          <w:p>
            <w:pPr>
              <w:pStyle w:val="37"/>
              <w:ind w:firstLine="480"/>
            </w:pPr>
            <w:r>
              <w:rPr>
                <w:rFonts w:hint="eastAsia"/>
              </w:rPr>
              <w:t>综上所述，本项目营运期产生的固体废弃物均得到合理的处理、处置，不会对当地环境造成明显影响。</w:t>
            </w:r>
          </w:p>
          <w:p>
            <w:pPr>
              <w:pStyle w:val="37"/>
              <w:ind w:firstLine="480"/>
            </w:pPr>
            <w:r>
              <w:rPr>
                <w:rFonts w:hint="eastAsia"/>
              </w:rPr>
              <w:t>6、风险分析</w:t>
            </w:r>
          </w:p>
          <w:p>
            <w:pPr>
              <w:pStyle w:val="37"/>
              <w:ind w:firstLine="480"/>
            </w:pPr>
            <w:r>
              <w:rPr>
                <w:rFonts w:hint="eastAsia"/>
              </w:rPr>
              <w:t>经分析，项目营运过程中存在着一定的环境风险，但通过加强管理，建立健全相应的风险防范措施、应急措施，并在管理及运行中认真落实相关规定，确保安全生产，制定相应的事故企业应急预案，并在得到管理部门验收后再营运，则营运期的环境风险可以接受，并且其环境风险事故隐患可降至最低水平。</w:t>
            </w:r>
          </w:p>
          <w:p>
            <w:pPr>
              <w:pStyle w:val="37"/>
              <w:ind w:firstLine="480"/>
            </w:pPr>
            <w:r>
              <w:t>7</w:t>
            </w:r>
            <w:r>
              <w:rPr>
                <w:rFonts w:hint="eastAsia"/>
              </w:rPr>
              <w:t>、</w:t>
            </w:r>
            <w:r>
              <w:rPr>
                <w:rFonts w:hint="eastAsia"/>
                <w:iCs/>
              </w:rPr>
              <w:t>结论</w:t>
            </w:r>
          </w:p>
          <w:p>
            <w:pPr>
              <w:pStyle w:val="37"/>
              <w:ind w:firstLine="482"/>
              <w:rPr>
                <w:b/>
              </w:rPr>
            </w:pPr>
            <w:r>
              <w:rPr>
                <w:rFonts w:hint="eastAsia"/>
                <w:b/>
              </w:rPr>
              <w:t>本项目为原址改扩建项目，其符合国家产业政策，符合当地发展规划，厂址周边不存在重大环境制约因素，环境风险可控，拟采取的污染防治措施能够满足长期稳定达标排放。在落实本报告提出的环境保护措施后，对区域环境影响可接受，不会对当地环境质量现状产生明显影响。从环境影响的角度分析，本项目在峨边彝族自治县五渡镇工农村2组建设是可行的。</w:t>
            </w:r>
          </w:p>
          <w:p>
            <w:pPr>
              <w:pStyle w:val="3"/>
            </w:pPr>
            <w:r>
              <w:rPr>
                <w:rFonts w:hint="eastAsia"/>
              </w:rPr>
              <w:t>二、环保对策与建议</w:t>
            </w:r>
          </w:p>
          <w:p>
            <w:pPr>
              <w:pStyle w:val="37"/>
              <w:ind w:firstLine="480"/>
            </w:pPr>
            <w:r>
              <w:rPr>
                <w:rFonts w:hint="eastAsia"/>
              </w:rPr>
              <w:t>通过对项目的工程分析和环境影响评价，特提出以下几点建议：</w:t>
            </w:r>
          </w:p>
          <w:p>
            <w:pPr>
              <w:pStyle w:val="37"/>
              <w:ind w:firstLine="480"/>
            </w:pPr>
            <w:r>
              <w:rPr>
                <w:rFonts w:hint="eastAsia"/>
              </w:rPr>
              <w:t>1、建设单位应认真落实环保“三同时”，加强运营期的环保管理，确保治理设施的正常运转和污染物的达标排放。</w:t>
            </w:r>
          </w:p>
          <w:p>
            <w:pPr>
              <w:pStyle w:val="37"/>
              <w:ind w:firstLine="480"/>
            </w:pPr>
            <w:r>
              <w:rPr>
                <w:rFonts w:hint="eastAsia"/>
              </w:rPr>
              <w:t>2、项目投入生产或者使用前，应当按照国家及本市建设项目环境保护规定对环境保护设施进行验收。环境保护设施经依法验收合格的，建设项目方可投入生产或者使用。</w:t>
            </w:r>
          </w:p>
          <w:p>
            <w:pPr>
              <w:pStyle w:val="37"/>
              <w:ind w:firstLine="480"/>
              <w:rPr>
                <w:sz w:val="28"/>
              </w:rPr>
            </w:pPr>
            <w:r>
              <w:rPr>
                <w:rFonts w:hint="eastAsia"/>
              </w:rPr>
              <w:t>3、按照《乐山市打赢蓝天保卫战实施方案》要求，在条件满足的情况下，采用天然气作为滚筒烘干机能源，不再采用燃煤。</w:t>
            </w:r>
          </w:p>
        </w:tc>
      </w:tr>
    </w:tbl>
    <w:p/>
    <w:sectPr>
      <w:footerReference r:id="rId9" w:type="first"/>
      <w:pgSz w:w="11906" w:h="16838"/>
      <w:pgMar w:top="1418" w:right="1418" w:bottom="1869" w:left="141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FangSong"/>
    <w:panose1 w:val="00000000000000000000"/>
    <w:charset w:val="86"/>
    <w:family w:val="modern"/>
    <w:pitch w:val="default"/>
    <w:sig w:usb0="00000000" w:usb1="00000000" w:usb2="00000010" w:usb3="00000000" w:csb0="00040000" w:csb1="00000000"/>
  </w:font>
  <w:font w:name="方正仿宋_GBK">
    <w:altName w:val="Microsoft YaHei"/>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dobe 仿宋 Std R">
    <w:altName w:val="SimSun"/>
    <w:panose1 w:val="00000000000000000000"/>
    <w:charset w:val="86"/>
    <w:family w:val="roma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pPr>
    <w:r>
      <w:t xml:space="preserve">- </w:t>
    </w:r>
    <w:r>
      <w:fldChar w:fldCharType="begin"/>
    </w:r>
    <w:r>
      <w:instrText xml:space="preserve"> PAGE </w:instrText>
    </w:r>
    <w:r>
      <w:fldChar w:fldCharType="separate"/>
    </w:r>
    <w:r>
      <w:t>57</w:t>
    </w:r>
    <w:r>
      <w:fldChar w:fldCharType="end"/>
    </w:r>
    <w:r>
      <w:t xml:space="preserve"> -</w: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pPr>
      <w:pStyle w:val="16"/>
      <w:ind w:right="360"/>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1</w:t>
    </w:r>
    <w:r>
      <w:rPr>
        <w:lang w:val="zh-CN"/>
      </w:rPr>
      <w:fldChar w:fldCharType="end"/>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73A58"/>
    <w:multiLevelType w:val="singleLevel"/>
    <w:tmpl w:val="3C173A58"/>
    <w:lvl w:ilvl="0" w:tentative="0">
      <w:start w:val="1"/>
      <w:numFmt w:val="decimal"/>
      <w:suff w:val="nothing"/>
      <w:lvlText w:val="%1、"/>
      <w:lvlJc w:val="left"/>
    </w:lvl>
  </w:abstractNum>
  <w:abstractNum w:abstractNumId="1">
    <w:nsid w:val="4E067720"/>
    <w:multiLevelType w:val="multilevel"/>
    <w:tmpl w:val="4E067720"/>
    <w:lvl w:ilvl="0" w:tentative="0">
      <w:start w:val="5"/>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05"/>
  <w:drawingGridHorizontalSpacing w:val="20"/>
  <w:drawingGridVerticalSpacing w:val="31"/>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2"/>
  </w:compat>
  <w:rsids>
    <w:rsidRoot w:val="00BF21FB"/>
    <w:rsid w:val="000008C8"/>
    <w:rsid w:val="00000A2A"/>
    <w:rsid w:val="00000BE0"/>
    <w:rsid w:val="00000EBB"/>
    <w:rsid w:val="00000F0C"/>
    <w:rsid w:val="00001332"/>
    <w:rsid w:val="00001BF1"/>
    <w:rsid w:val="00001C12"/>
    <w:rsid w:val="00001CDA"/>
    <w:rsid w:val="00002476"/>
    <w:rsid w:val="00002EB1"/>
    <w:rsid w:val="00003884"/>
    <w:rsid w:val="00003CDD"/>
    <w:rsid w:val="00003E8D"/>
    <w:rsid w:val="00004526"/>
    <w:rsid w:val="00004CD5"/>
    <w:rsid w:val="000055C3"/>
    <w:rsid w:val="00005970"/>
    <w:rsid w:val="000061BC"/>
    <w:rsid w:val="00006A7F"/>
    <w:rsid w:val="00006B88"/>
    <w:rsid w:val="00006EB0"/>
    <w:rsid w:val="00006F04"/>
    <w:rsid w:val="000075FB"/>
    <w:rsid w:val="0000769A"/>
    <w:rsid w:val="00007A0C"/>
    <w:rsid w:val="0001030C"/>
    <w:rsid w:val="00010902"/>
    <w:rsid w:val="00010EA1"/>
    <w:rsid w:val="000116B4"/>
    <w:rsid w:val="00011BA4"/>
    <w:rsid w:val="00011E77"/>
    <w:rsid w:val="00011E86"/>
    <w:rsid w:val="0001224D"/>
    <w:rsid w:val="00012EF8"/>
    <w:rsid w:val="00013362"/>
    <w:rsid w:val="00013EE8"/>
    <w:rsid w:val="0001443A"/>
    <w:rsid w:val="0001449E"/>
    <w:rsid w:val="00014553"/>
    <w:rsid w:val="00014C97"/>
    <w:rsid w:val="000161B6"/>
    <w:rsid w:val="000163D2"/>
    <w:rsid w:val="000169A4"/>
    <w:rsid w:val="00016BA1"/>
    <w:rsid w:val="00016BF7"/>
    <w:rsid w:val="000208B2"/>
    <w:rsid w:val="00020A26"/>
    <w:rsid w:val="00020B58"/>
    <w:rsid w:val="00021AA3"/>
    <w:rsid w:val="00022104"/>
    <w:rsid w:val="000224C8"/>
    <w:rsid w:val="00022C46"/>
    <w:rsid w:val="00022D92"/>
    <w:rsid w:val="00023788"/>
    <w:rsid w:val="00023A95"/>
    <w:rsid w:val="00023B92"/>
    <w:rsid w:val="0002416B"/>
    <w:rsid w:val="0002509A"/>
    <w:rsid w:val="0002515C"/>
    <w:rsid w:val="00025CD2"/>
    <w:rsid w:val="00026765"/>
    <w:rsid w:val="00026E2D"/>
    <w:rsid w:val="000270ED"/>
    <w:rsid w:val="0002778F"/>
    <w:rsid w:val="00027BBF"/>
    <w:rsid w:val="00030439"/>
    <w:rsid w:val="0003067C"/>
    <w:rsid w:val="000309B0"/>
    <w:rsid w:val="00031871"/>
    <w:rsid w:val="00031F7C"/>
    <w:rsid w:val="00032DF8"/>
    <w:rsid w:val="00032F9C"/>
    <w:rsid w:val="00033079"/>
    <w:rsid w:val="00033EF4"/>
    <w:rsid w:val="00034A4C"/>
    <w:rsid w:val="00034C29"/>
    <w:rsid w:val="00034D18"/>
    <w:rsid w:val="00034DC4"/>
    <w:rsid w:val="00035124"/>
    <w:rsid w:val="0003661E"/>
    <w:rsid w:val="00036791"/>
    <w:rsid w:val="00036885"/>
    <w:rsid w:val="000374DA"/>
    <w:rsid w:val="000379B5"/>
    <w:rsid w:val="000403B6"/>
    <w:rsid w:val="000407DD"/>
    <w:rsid w:val="00040F31"/>
    <w:rsid w:val="00041104"/>
    <w:rsid w:val="00041374"/>
    <w:rsid w:val="00041647"/>
    <w:rsid w:val="000425C6"/>
    <w:rsid w:val="00042B68"/>
    <w:rsid w:val="00042F5E"/>
    <w:rsid w:val="000432E8"/>
    <w:rsid w:val="000435D3"/>
    <w:rsid w:val="000440B4"/>
    <w:rsid w:val="0004541D"/>
    <w:rsid w:val="000456FC"/>
    <w:rsid w:val="00045B40"/>
    <w:rsid w:val="000460CF"/>
    <w:rsid w:val="000465C3"/>
    <w:rsid w:val="00046734"/>
    <w:rsid w:val="00046ED7"/>
    <w:rsid w:val="00046F3F"/>
    <w:rsid w:val="000476F5"/>
    <w:rsid w:val="00047D20"/>
    <w:rsid w:val="00050823"/>
    <w:rsid w:val="00050904"/>
    <w:rsid w:val="0005098E"/>
    <w:rsid w:val="000509B5"/>
    <w:rsid w:val="00050ADD"/>
    <w:rsid w:val="0005124C"/>
    <w:rsid w:val="00052381"/>
    <w:rsid w:val="000523E3"/>
    <w:rsid w:val="00052835"/>
    <w:rsid w:val="00053AAC"/>
    <w:rsid w:val="0005439C"/>
    <w:rsid w:val="000544C9"/>
    <w:rsid w:val="0005456B"/>
    <w:rsid w:val="000545DC"/>
    <w:rsid w:val="00054871"/>
    <w:rsid w:val="00054F1D"/>
    <w:rsid w:val="00055927"/>
    <w:rsid w:val="00055A92"/>
    <w:rsid w:val="00055B2B"/>
    <w:rsid w:val="00055F86"/>
    <w:rsid w:val="0005614B"/>
    <w:rsid w:val="00056710"/>
    <w:rsid w:val="00056722"/>
    <w:rsid w:val="00056CA5"/>
    <w:rsid w:val="00056E9F"/>
    <w:rsid w:val="00057FD7"/>
    <w:rsid w:val="0006011A"/>
    <w:rsid w:val="0006047E"/>
    <w:rsid w:val="00060A6E"/>
    <w:rsid w:val="00061045"/>
    <w:rsid w:val="00061500"/>
    <w:rsid w:val="00061650"/>
    <w:rsid w:val="00061664"/>
    <w:rsid w:val="00061CE6"/>
    <w:rsid w:val="00061F7B"/>
    <w:rsid w:val="00062653"/>
    <w:rsid w:val="0006274B"/>
    <w:rsid w:val="000635D9"/>
    <w:rsid w:val="00063980"/>
    <w:rsid w:val="00065738"/>
    <w:rsid w:val="00065950"/>
    <w:rsid w:val="00065C25"/>
    <w:rsid w:val="00065CED"/>
    <w:rsid w:val="00065EC3"/>
    <w:rsid w:val="00066A6C"/>
    <w:rsid w:val="00066ACF"/>
    <w:rsid w:val="00066B48"/>
    <w:rsid w:val="00066F63"/>
    <w:rsid w:val="00066F64"/>
    <w:rsid w:val="0006751C"/>
    <w:rsid w:val="000675AA"/>
    <w:rsid w:val="0006780C"/>
    <w:rsid w:val="000679EC"/>
    <w:rsid w:val="00067D80"/>
    <w:rsid w:val="00070169"/>
    <w:rsid w:val="0007023D"/>
    <w:rsid w:val="00070BE3"/>
    <w:rsid w:val="000732BD"/>
    <w:rsid w:val="000734C4"/>
    <w:rsid w:val="00073629"/>
    <w:rsid w:val="00074D96"/>
    <w:rsid w:val="0007657D"/>
    <w:rsid w:val="00076D84"/>
    <w:rsid w:val="00077008"/>
    <w:rsid w:val="00077C26"/>
    <w:rsid w:val="00077CAC"/>
    <w:rsid w:val="00081936"/>
    <w:rsid w:val="00081C4A"/>
    <w:rsid w:val="00082884"/>
    <w:rsid w:val="00083467"/>
    <w:rsid w:val="0008351D"/>
    <w:rsid w:val="00083C50"/>
    <w:rsid w:val="00085E9B"/>
    <w:rsid w:val="00085F3D"/>
    <w:rsid w:val="000874C0"/>
    <w:rsid w:val="00087BDF"/>
    <w:rsid w:val="0009011E"/>
    <w:rsid w:val="0009052E"/>
    <w:rsid w:val="00090A37"/>
    <w:rsid w:val="00090D94"/>
    <w:rsid w:val="00091C53"/>
    <w:rsid w:val="00091F7F"/>
    <w:rsid w:val="00092429"/>
    <w:rsid w:val="00092803"/>
    <w:rsid w:val="00092EDE"/>
    <w:rsid w:val="000941B6"/>
    <w:rsid w:val="000941DC"/>
    <w:rsid w:val="00094640"/>
    <w:rsid w:val="00094D97"/>
    <w:rsid w:val="00094F2A"/>
    <w:rsid w:val="00095270"/>
    <w:rsid w:val="000957C1"/>
    <w:rsid w:val="00095ACD"/>
    <w:rsid w:val="00096147"/>
    <w:rsid w:val="0009630C"/>
    <w:rsid w:val="00097B15"/>
    <w:rsid w:val="00097C12"/>
    <w:rsid w:val="00097C2F"/>
    <w:rsid w:val="00097D49"/>
    <w:rsid w:val="00097FAA"/>
    <w:rsid w:val="000A0440"/>
    <w:rsid w:val="000A0466"/>
    <w:rsid w:val="000A0832"/>
    <w:rsid w:val="000A191F"/>
    <w:rsid w:val="000A1C0D"/>
    <w:rsid w:val="000A1DCF"/>
    <w:rsid w:val="000A235F"/>
    <w:rsid w:val="000A2780"/>
    <w:rsid w:val="000A296E"/>
    <w:rsid w:val="000A316C"/>
    <w:rsid w:val="000A34B4"/>
    <w:rsid w:val="000A392F"/>
    <w:rsid w:val="000A3CEF"/>
    <w:rsid w:val="000A4B1C"/>
    <w:rsid w:val="000A5537"/>
    <w:rsid w:val="000A5A9B"/>
    <w:rsid w:val="000A613F"/>
    <w:rsid w:val="000A6DB2"/>
    <w:rsid w:val="000A6FD0"/>
    <w:rsid w:val="000A705C"/>
    <w:rsid w:val="000A7350"/>
    <w:rsid w:val="000B0CFB"/>
    <w:rsid w:val="000B110B"/>
    <w:rsid w:val="000B1567"/>
    <w:rsid w:val="000B1785"/>
    <w:rsid w:val="000B1ABE"/>
    <w:rsid w:val="000B220B"/>
    <w:rsid w:val="000B2E6B"/>
    <w:rsid w:val="000B32B5"/>
    <w:rsid w:val="000B3706"/>
    <w:rsid w:val="000B3BF0"/>
    <w:rsid w:val="000B4133"/>
    <w:rsid w:val="000B415B"/>
    <w:rsid w:val="000B41FC"/>
    <w:rsid w:val="000B5388"/>
    <w:rsid w:val="000B5508"/>
    <w:rsid w:val="000B5B33"/>
    <w:rsid w:val="000B5F64"/>
    <w:rsid w:val="000B6403"/>
    <w:rsid w:val="000B6AC5"/>
    <w:rsid w:val="000B6F02"/>
    <w:rsid w:val="000B7072"/>
    <w:rsid w:val="000B7BAB"/>
    <w:rsid w:val="000C0490"/>
    <w:rsid w:val="000C05BF"/>
    <w:rsid w:val="000C05DF"/>
    <w:rsid w:val="000C08E7"/>
    <w:rsid w:val="000C09F8"/>
    <w:rsid w:val="000C09FB"/>
    <w:rsid w:val="000C0BB5"/>
    <w:rsid w:val="000C0BDA"/>
    <w:rsid w:val="000C0D80"/>
    <w:rsid w:val="000C0FCB"/>
    <w:rsid w:val="000C2523"/>
    <w:rsid w:val="000C2790"/>
    <w:rsid w:val="000C28EF"/>
    <w:rsid w:val="000C3077"/>
    <w:rsid w:val="000C36EC"/>
    <w:rsid w:val="000C3F61"/>
    <w:rsid w:val="000C5392"/>
    <w:rsid w:val="000C54D8"/>
    <w:rsid w:val="000C562D"/>
    <w:rsid w:val="000C6AF4"/>
    <w:rsid w:val="000C6B96"/>
    <w:rsid w:val="000C7A61"/>
    <w:rsid w:val="000C7BE6"/>
    <w:rsid w:val="000D0A3B"/>
    <w:rsid w:val="000D0B7A"/>
    <w:rsid w:val="000D0CAA"/>
    <w:rsid w:val="000D106A"/>
    <w:rsid w:val="000D272D"/>
    <w:rsid w:val="000D2A9D"/>
    <w:rsid w:val="000D3382"/>
    <w:rsid w:val="000D3CE8"/>
    <w:rsid w:val="000D416A"/>
    <w:rsid w:val="000D44B9"/>
    <w:rsid w:val="000D44EB"/>
    <w:rsid w:val="000D47BB"/>
    <w:rsid w:val="000D4DFE"/>
    <w:rsid w:val="000D5FF8"/>
    <w:rsid w:val="000D672E"/>
    <w:rsid w:val="000D74C7"/>
    <w:rsid w:val="000D7683"/>
    <w:rsid w:val="000D7707"/>
    <w:rsid w:val="000D78FC"/>
    <w:rsid w:val="000D7F4B"/>
    <w:rsid w:val="000E0A8F"/>
    <w:rsid w:val="000E177B"/>
    <w:rsid w:val="000E237F"/>
    <w:rsid w:val="000E2380"/>
    <w:rsid w:val="000E26CB"/>
    <w:rsid w:val="000E278A"/>
    <w:rsid w:val="000E29A5"/>
    <w:rsid w:val="000E367A"/>
    <w:rsid w:val="000E3E09"/>
    <w:rsid w:val="000E44EB"/>
    <w:rsid w:val="000E4AE2"/>
    <w:rsid w:val="000E4C93"/>
    <w:rsid w:val="000E4D65"/>
    <w:rsid w:val="000E53AC"/>
    <w:rsid w:val="000E5AB0"/>
    <w:rsid w:val="000E5FDE"/>
    <w:rsid w:val="000E616C"/>
    <w:rsid w:val="000E622A"/>
    <w:rsid w:val="000E6D93"/>
    <w:rsid w:val="000E6FAD"/>
    <w:rsid w:val="000E722B"/>
    <w:rsid w:val="000E7E0E"/>
    <w:rsid w:val="000F00A3"/>
    <w:rsid w:val="000F099B"/>
    <w:rsid w:val="000F0B2A"/>
    <w:rsid w:val="000F1218"/>
    <w:rsid w:val="000F13E2"/>
    <w:rsid w:val="000F17EA"/>
    <w:rsid w:val="000F1A4F"/>
    <w:rsid w:val="000F22F9"/>
    <w:rsid w:val="000F2409"/>
    <w:rsid w:val="000F2720"/>
    <w:rsid w:val="000F277E"/>
    <w:rsid w:val="000F2DD7"/>
    <w:rsid w:val="000F3631"/>
    <w:rsid w:val="000F3845"/>
    <w:rsid w:val="000F3C56"/>
    <w:rsid w:val="000F4001"/>
    <w:rsid w:val="000F42C2"/>
    <w:rsid w:val="000F4872"/>
    <w:rsid w:val="000F6DE6"/>
    <w:rsid w:val="000F707F"/>
    <w:rsid w:val="000F7C29"/>
    <w:rsid w:val="001006EB"/>
    <w:rsid w:val="00100729"/>
    <w:rsid w:val="0010096D"/>
    <w:rsid w:val="0010127B"/>
    <w:rsid w:val="00101363"/>
    <w:rsid w:val="0010199A"/>
    <w:rsid w:val="00101DCB"/>
    <w:rsid w:val="00101F01"/>
    <w:rsid w:val="00101F45"/>
    <w:rsid w:val="00101FCB"/>
    <w:rsid w:val="0010210C"/>
    <w:rsid w:val="00102C31"/>
    <w:rsid w:val="00102CAC"/>
    <w:rsid w:val="001031C0"/>
    <w:rsid w:val="00103385"/>
    <w:rsid w:val="001042A9"/>
    <w:rsid w:val="00104BF7"/>
    <w:rsid w:val="0010527F"/>
    <w:rsid w:val="00105B60"/>
    <w:rsid w:val="00105CD3"/>
    <w:rsid w:val="00106033"/>
    <w:rsid w:val="0010640F"/>
    <w:rsid w:val="0010678A"/>
    <w:rsid w:val="00106FEE"/>
    <w:rsid w:val="0010758B"/>
    <w:rsid w:val="00107BFA"/>
    <w:rsid w:val="00110441"/>
    <w:rsid w:val="00110A79"/>
    <w:rsid w:val="00110AF6"/>
    <w:rsid w:val="00111099"/>
    <w:rsid w:val="0011111F"/>
    <w:rsid w:val="00111191"/>
    <w:rsid w:val="001113E9"/>
    <w:rsid w:val="001122D1"/>
    <w:rsid w:val="00112B55"/>
    <w:rsid w:val="00113F6F"/>
    <w:rsid w:val="0011476A"/>
    <w:rsid w:val="00114806"/>
    <w:rsid w:val="00114AEC"/>
    <w:rsid w:val="00114BF6"/>
    <w:rsid w:val="00114C51"/>
    <w:rsid w:val="00114CAA"/>
    <w:rsid w:val="001150C4"/>
    <w:rsid w:val="0011626E"/>
    <w:rsid w:val="0011661D"/>
    <w:rsid w:val="001171C0"/>
    <w:rsid w:val="00117342"/>
    <w:rsid w:val="001174B1"/>
    <w:rsid w:val="00117793"/>
    <w:rsid w:val="001179D3"/>
    <w:rsid w:val="00117B95"/>
    <w:rsid w:val="001201F1"/>
    <w:rsid w:val="001206BA"/>
    <w:rsid w:val="00121D4B"/>
    <w:rsid w:val="00122239"/>
    <w:rsid w:val="00122AD5"/>
    <w:rsid w:val="00123930"/>
    <w:rsid w:val="001242AC"/>
    <w:rsid w:val="00124332"/>
    <w:rsid w:val="0012443F"/>
    <w:rsid w:val="00124507"/>
    <w:rsid w:val="001246C5"/>
    <w:rsid w:val="00125083"/>
    <w:rsid w:val="00125EC2"/>
    <w:rsid w:val="0012633B"/>
    <w:rsid w:val="00126B16"/>
    <w:rsid w:val="0012776B"/>
    <w:rsid w:val="00127BE0"/>
    <w:rsid w:val="0013001C"/>
    <w:rsid w:val="0013008F"/>
    <w:rsid w:val="00130283"/>
    <w:rsid w:val="00130338"/>
    <w:rsid w:val="00131017"/>
    <w:rsid w:val="00131C65"/>
    <w:rsid w:val="00131E65"/>
    <w:rsid w:val="00132061"/>
    <w:rsid w:val="001321D5"/>
    <w:rsid w:val="00132736"/>
    <w:rsid w:val="00133041"/>
    <w:rsid w:val="001332F7"/>
    <w:rsid w:val="001335C1"/>
    <w:rsid w:val="0013361D"/>
    <w:rsid w:val="00133FAD"/>
    <w:rsid w:val="001345D5"/>
    <w:rsid w:val="001350C9"/>
    <w:rsid w:val="00135B01"/>
    <w:rsid w:val="00135D3B"/>
    <w:rsid w:val="00136801"/>
    <w:rsid w:val="00136D5C"/>
    <w:rsid w:val="00136EE3"/>
    <w:rsid w:val="00136FEA"/>
    <w:rsid w:val="001370D5"/>
    <w:rsid w:val="00137237"/>
    <w:rsid w:val="00137533"/>
    <w:rsid w:val="00137B03"/>
    <w:rsid w:val="00137BD0"/>
    <w:rsid w:val="00140393"/>
    <w:rsid w:val="00140A5D"/>
    <w:rsid w:val="00142205"/>
    <w:rsid w:val="00142BCF"/>
    <w:rsid w:val="00143872"/>
    <w:rsid w:val="00143997"/>
    <w:rsid w:val="001448EC"/>
    <w:rsid w:val="00145317"/>
    <w:rsid w:val="00145997"/>
    <w:rsid w:val="00145AD3"/>
    <w:rsid w:val="00146206"/>
    <w:rsid w:val="00146630"/>
    <w:rsid w:val="00146B43"/>
    <w:rsid w:val="00146BC0"/>
    <w:rsid w:val="00146C05"/>
    <w:rsid w:val="00146E00"/>
    <w:rsid w:val="001472DC"/>
    <w:rsid w:val="00147A33"/>
    <w:rsid w:val="00147C60"/>
    <w:rsid w:val="00147FB1"/>
    <w:rsid w:val="00150486"/>
    <w:rsid w:val="001507C1"/>
    <w:rsid w:val="001508A2"/>
    <w:rsid w:val="00150CCA"/>
    <w:rsid w:val="00151696"/>
    <w:rsid w:val="00151C05"/>
    <w:rsid w:val="0015255E"/>
    <w:rsid w:val="00152767"/>
    <w:rsid w:val="0015292F"/>
    <w:rsid w:val="00152ECD"/>
    <w:rsid w:val="00153215"/>
    <w:rsid w:val="0015340E"/>
    <w:rsid w:val="00153862"/>
    <w:rsid w:val="00154681"/>
    <w:rsid w:val="0015495B"/>
    <w:rsid w:val="0015573E"/>
    <w:rsid w:val="00155FB2"/>
    <w:rsid w:val="00156B8F"/>
    <w:rsid w:val="001576FE"/>
    <w:rsid w:val="00157B31"/>
    <w:rsid w:val="00160338"/>
    <w:rsid w:val="001604FF"/>
    <w:rsid w:val="001614D4"/>
    <w:rsid w:val="00161E95"/>
    <w:rsid w:val="00161EE2"/>
    <w:rsid w:val="001622D2"/>
    <w:rsid w:val="00162886"/>
    <w:rsid w:val="00163246"/>
    <w:rsid w:val="00164436"/>
    <w:rsid w:val="0016470E"/>
    <w:rsid w:val="0016510E"/>
    <w:rsid w:val="00165219"/>
    <w:rsid w:val="00165602"/>
    <w:rsid w:val="00165804"/>
    <w:rsid w:val="001659F9"/>
    <w:rsid w:val="00165C34"/>
    <w:rsid w:val="001663FD"/>
    <w:rsid w:val="00166A51"/>
    <w:rsid w:val="00167B50"/>
    <w:rsid w:val="00170276"/>
    <w:rsid w:val="001711C2"/>
    <w:rsid w:val="00171CA4"/>
    <w:rsid w:val="00172637"/>
    <w:rsid w:val="00172701"/>
    <w:rsid w:val="00172770"/>
    <w:rsid w:val="001727C5"/>
    <w:rsid w:val="00172A9F"/>
    <w:rsid w:val="00172CBB"/>
    <w:rsid w:val="00173C8D"/>
    <w:rsid w:val="001748B2"/>
    <w:rsid w:val="00174EED"/>
    <w:rsid w:val="001753E7"/>
    <w:rsid w:val="0017588E"/>
    <w:rsid w:val="00175D8E"/>
    <w:rsid w:val="001760F5"/>
    <w:rsid w:val="00176A88"/>
    <w:rsid w:val="00176EFE"/>
    <w:rsid w:val="00177C91"/>
    <w:rsid w:val="001805B4"/>
    <w:rsid w:val="00180D98"/>
    <w:rsid w:val="00181343"/>
    <w:rsid w:val="00181808"/>
    <w:rsid w:val="00181B1A"/>
    <w:rsid w:val="00181CDD"/>
    <w:rsid w:val="00182FDE"/>
    <w:rsid w:val="0018386A"/>
    <w:rsid w:val="00183BF6"/>
    <w:rsid w:val="00183CC9"/>
    <w:rsid w:val="00184539"/>
    <w:rsid w:val="001848D9"/>
    <w:rsid w:val="001854A8"/>
    <w:rsid w:val="001855E0"/>
    <w:rsid w:val="001863D4"/>
    <w:rsid w:val="00186590"/>
    <w:rsid w:val="00187413"/>
    <w:rsid w:val="0018756E"/>
    <w:rsid w:val="00187610"/>
    <w:rsid w:val="0018778A"/>
    <w:rsid w:val="001904D2"/>
    <w:rsid w:val="001904E2"/>
    <w:rsid w:val="001904F3"/>
    <w:rsid w:val="001907E3"/>
    <w:rsid w:val="001913E2"/>
    <w:rsid w:val="001919A9"/>
    <w:rsid w:val="001922F4"/>
    <w:rsid w:val="00192ED7"/>
    <w:rsid w:val="00194461"/>
    <w:rsid w:val="00194589"/>
    <w:rsid w:val="00194795"/>
    <w:rsid w:val="00194DA7"/>
    <w:rsid w:val="001955F3"/>
    <w:rsid w:val="00195653"/>
    <w:rsid w:val="00195654"/>
    <w:rsid w:val="001956A9"/>
    <w:rsid w:val="0019582A"/>
    <w:rsid w:val="00195A62"/>
    <w:rsid w:val="00196114"/>
    <w:rsid w:val="00196289"/>
    <w:rsid w:val="00196471"/>
    <w:rsid w:val="001964D3"/>
    <w:rsid w:val="001965E7"/>
    <w:rsid w:val="00196A78"/>
    <w:rsid w:val="00196FBD"/>
    <w:rsid w:val="00197369"/>
    <w:rsid w:val="00197627"/>
    <w:rsid w:val="001976A4"/>
    <w:rsid w:val="001A0873"/>
    <w:rsid w:val="001A0A0F"/>
    <w:rsid w:val="001A0B2D"/>
    <w:rsid w:val="001A0CD6"/>
    <w:rsid w:val="001A2174"/>
    <w:rsid w:val="001A2EC8"/>
    <w:rsid w:val="001A4111"/>
    <w:rsid w:val="001A491B"/>
    <w:rsid w:val="001A4F9B"/>
    <w:rsid w:val="001A520B"/>
    <w:rsid w:val="001A5A68"/>
    <w:rsid w:val="001A5F18"/>
    <w:rsid w:val="001A64E1"/>
    <w:rsid w:val="001A6F3E"/>
    <w:rsid w:val="001A706A"/>
    <w:rsid w:val="001A737A"/>
    <w:rsid w:val="001A7F0E"/>
    <w:rsid w:val="001B0930"/>
    <w:rsid w:val="001B09E4"/>
    <w:rsid w:val="001B0B6B"/>
    <w:rsid w:val="001B0CA2"/>
    <w:rsid w:val="001B1232"/>
    <w:rsid w:val="001B1792"/>
    <w:rsid w:val="001B19E5"/>
    <w:rsid w:val="001B1ADC"/>
    <w:rsid w:val="001B1F0A"/>
    <w:rsid w:val="001B253D"/>
    <w:rsid w:val="001B2A19"/>
    <w:rsid w:val="001B2CF0"/>
    <w:rsid w:val="001B2DC0"/>
    <w:rsid w:val="001B2EAA"/>
    <w:rsid w:val="001B4053"/>
    <w:rsid w:val="001B4361"/>
    <w:rsid w:val="001B4558"/>
    <w:rsid w:val="001B4E4A"/>
    <w:rsid w:val="001B4F04"/>
    <w:rsid w:val="001B51FD"/>
    <w:rsid w:val="001B5568"/>
    <w:rsid w:val="001B5BB7"/>
    <w:rsid w:val="001B6195"/>
    <w:rsid w:val="001B6372"/>
    <w:rsid w:val="001B68C9"/>
    <w:rsid w:val="001B7019"/>
    <w:rsid w:val="001B75ED"/>
    <w:rsid w:val="001B7E03"/>
    <w:rsid w:val="001C034E"/>
    <w:rsid w:val="001C15A3"/>
    <w:rsid w:val="001C16F1"/>
    <w:rsid w:val="001C17A2"/>
    <w:rsid w:val="001C19AB"/>
    <w:rsid w:val="001C1CB5"/>
    <w:rsid w:val="001C2127"/>
    <w:rsid w:val="001C2703"/>
    <w:rsid w:val="001C2992"/>
    <w:rsid w:val="001C2BFC"/>
    <w:rsid w:val="001C2CA5"/>
    <w:rsid w:val="001C30C0"/>
    <w:rsid w:val="001C368C"/>
    <w:rsid w:val="001C3B0B"/>
    <w:rsid w:val="001C428B"/>
    <w:rsid w:val="001C4740"/>
    <w:rsid w:val="001C6020"/>
    <w:rsid w:val="001C750D"/>
    <w:rsid w:val="001C78A5"/>
    <w:rsid w:val="001C7C3E"/>
    <w:rsid w:val="001C7D7D"/>
    <w:rsid w:val="001D0076"/>
    <w:rsid w:val="001D0172"/>
    <w:rsid w:val="001D02BE"/>
    <w:rsid w:val="001D0424"/>
    <w:rsid w:val="001D15FF"/>
    <w:rsid w:val="001D1871"/>
    <w:rsid w:val="001D1A7F"/>
    <w:rsid w:val="001D1D75"/>
    <w:rsid w:val="001D2D89"/>
    <w:rsid w:val="001D38DC"/>
    <w:rsid w:val="001D3CCD"/>
    <w:rsid w:val="001D3D3A"/>
    <w:rsid w:val="001D3F56"/>
    <w:rsid w:val="001D431E"/>
    <w:rsid w:val="001D5072"/>
    <w:rsid w:val="001D5464"/>
    <w:rsid w:val="001D5518"/>
    <w:rsid w:val="001D5760"/>
    <w:rsid w:val="001E03BB"/>
    <w:rsid w:val="001E03DB"/>
    <w:rsid w:val="001E0ACD"/>
    <w:rsid w:val="001E0CBD"/>
    <w:rsid w:val="001E152E"/>
    <w:rsid w:val="001E1915"/>
    <w:rsid w:val="001E1A5A"/>
    <w:rsid w:val="001E209E"/>
    <w:rsid w:val="001E213B"/>
    <w:rsid w:val="001E29AF"/>
    <w:rsid w:val="001E2A18"/>
    <w:rsid w:val="001E2BBC"/>
    <w:rsid w:val="001E346F"/>
    <w:rsid w:val="001E3A9A"/>
    <w:rsid w:val="001E3CB3"/>
    <w:rsid w:val="001E3D86"/>
    <w:rsid w:val="001E564A"/>
    <w:rsid w:val="001E6343"/>
    <w:rsid w:val="001E640C"/>
    <w:rsid w:val="001E648C"/>
    <w:rsid w:val="001E68A9"/>
    <w:rsid w:val="001E6EC2"/>
    <w:rsid w:val="001F13FF"/>
    <w:rsid w:val="001F1665"/>
    <w:rsid w:val="001F1B6B"/>
    <w:rsid w:val="001F22E8"/>
    <w:rsid w:val="001F2A9D"/>
    <w:rsid w:val="001F2FA3"/>
    <w:rsid w:val="001F31B6"/>
    <w:rsid w:val="001F3450"/>
    <w:rsid w:val="001F3BC1"/>
    <w:rsid w:val="001F489D"/>
    <w:rsid w:val="001F4D61"/>
    <w:rsid w:val="001F4FA8"/>
    <w:rsid w:val="001F559D"/>
    <w:rsid w:val="001F60E3"/>
    <w:rsid w:val="001F65DD"/>
    <w:rsid w:val="001F6640"/>
    <w:rsid w:val="001F727D"/>
    <w:rsid w:val="001F7613"/>
    <w:rsid w:val="002005B2"/>
    <w:rsid w:val="002009FB"/>
    <w:rsid w:val="00200F8D"/>
    <w:rsid w:val="002019C6"/>
    <w:rsid w:val="00202E59"/>
    <w:rsid w:val="00202FE2"/>
    <w:rsid w:val="00203793"/>
    <w:rsid w:val="00203A7F"/>
    <w:rsid w:val="00203DD7"/>
    <w:rsid w:val="00203F47"/>
    <w:rsid w:val="00204577"/>
    <w:rsid w:val="0020458B"/>
    <w:rsid w:val="0020593C"/>
    <w:rsid w:val="00205DCA"/>
    <w:rsid w:val="002066FD"/>
    <w:rsid w:val="00206F02"/>
    <w:rsid w:val="00207170"/>
    <w:rsid w:val="002104EF"/>
    <w:rsid w:val="0021053B"/>
    <w:rsid w:val="00210F3A"/>
    <w:rsid w:val="002111CA"/>
    <w:rsid w:val="00211BAB"/>
    <w:rsid w:val="0021259A"/>
    <w:rsid w:val="0021266F"/>
    <w:rsid w:val="002127CA"/>
    <w:rsid w:val="002128F7"/>
    <w:rsid w:val="00213989"/>
    <w:rsid w:val="00213A2F"/>
    <w:rsid w:val="00213A87"/>
    <w:rsid w:val="00213B35"/>
    <w:rsid w:val="00213EE2"/>
    <w:rsid w:val="002141DC"/>
    <w:rsid w:val="0021466E"/>
    <w:rsid w:val="002147FA"/>
    <w:rsid w:val="002149D4"/>
    <w:rsid w:val="00214A97"/>
    <w:rsid w:val="00215352"/>
    <w:rsid w:val="00215A59"/>
    <w:rsid w:val="002167B9"/>
    <w:rsid w:val="00216A2D"/>
    <w:rsid w:val="00216BB2"/>
    <w:rsid w:val="0021728E"/>
    <w:rsid w:val="00220074"/>
    <w:rsid w:val="002202EC"/>
    <w:rsid w:val="0022072D"/>
    <w:rsid w:val="00220916"/>
    <w:rsid w:val="00221145"/>
    <w:rsid w:val="0022141E"/>
    <w:rsid w:val="00221483"/>
    <w:rsid w:val="00221738"/>
    <w:rsid w:val="00222CD9"/>
    <w:rsid w:val="00223A9D"/>
    <w:rsid w:val="00223D2B"/>
    <w:rsid w:val="0022450E"/>
    <w:rsid w:val="002249E1"/>
    <w:rsid w:val="00224ECD"/>
    <w:rsid w:val="0022577E"/>
    <w:rsid w:val="00225966"/>
    <w:rsid w:val="00226030"/>
    <w:rsid w:val="002262F5"/>
    <w:rsid w:val="00226558"/>
    <w:rsid w:val="00227900"/>
    <w:rsid w:val="00227DE4"/>
    <w:rsid w:val="002305B7"/>
    <w:rsid w:val="00230B5A"/>
    <w:rsid w:val="00230EB0"/>
    <w:rsid w:val="002315D2"/>
    <w:rsid w:val="002327AE"/>
    <w:rsid w:val="002327E0"/>
    <w:rsid w:val="0023299A"/>
    <w:rsid w:val="00232F0A"/>
    <w:rsid w:val="0023377F"/>
    <w:rsid w:val="002337A2"/>
    <w:rsid w:val="00233827"/>
    <w:rsid w:val="00233CDA"/>
    <w:rsid w:val="00234628"/>
    <w:rsid w:val="00234AD0"/>
    <w:rsid w:val="00234E54"/>
    <w:rsid w:val="00234EC4"/>
    <w:rsid w:val="00235013"/>
    <w:rsid w:val="00235338"/>
    <w:rsid w:val="00236319"/>
    <w:rsid w:val="002367B6"/>
    <w:rsid w:val="00236A25"/>
    <w:rsid w:val="00236BBD"/>
    <w:rsid w:val="002401A3"/>
    <w:rsid w:val="00240DDA"/>
    <w:rsid w:val="00241461"/>
    <w:rsid w:val="00241D4E"/>
    <w:rsid w:val="00242264"/>
    <w:rsid w:val="00243A1F"/>
    <w:rsid w:val="00243D34"/>
    <w:rsid w:val="00243F5E"/>
    <w:rsid w:val="002453AE"/>
    <w:rsid w:val="00245B28"/>
    <w:rsid w:val="00245D6B"/>
    <w:rsid w:val="00245F5F"/>
    <w:rsid w:val="002464F8"/>
    <w:rsid w:val="00246BF7"/>
    <w:rsid w:val="002479A7"/>
    <w:rsid w:val="0025009B"/>
    <w:rsid w:val="00250648"/>
    <w:rsid w:val="00250785"/>
    <w:rsid w:val="00250876"/>
    <w:rsid w:val="00250C95"/>
    <w:rsid w:val="00250CCC"/>
    <w:rsid w:val="00250FA5"/>
    <w:rsid w:val="0025170E"/>
    <w:rsid w:val="00252312"/>
    <w:rsid w:val="002529A1"/>
    <w:rsid w:val="0025412B"/>
    <w:rsid w:val="00254595"/>
    <w:rsid w:val="0025558A"/>
    <w:rsid w:val="00255CE1"/>
    <w:rsid w:val="00257B3A"/>
    <w:rsid w:val="00257E98"/>
    <w:rsid w:val="002604EA"/>
    <w:rsid w:val="002606E9"/>
    <w:rsid w:val="00260B9B"/>
    <w:rsid w:val="00260F0C"/>
    <w:rsid w:val="002617B5"/>
    <w:rsid w:val="002618EF"/>
    <w:rsid w:val="00261F4D"/>
    <w:rsid w:val="00262009"/>
    <w:rsid w:val="00262226"/>
    <w:rsid w:val="0026259E"/>
    <w:rsid w:val="00262DF8"/>
    <w:rsid w:val="00262F74"/>
    <w:rsid w:val="00263762"/>
    <w:rsid w:val="00263797"/>
    <w:rsid w:val="002641D5"/>
    <w:rsid w:val="00264264"/>
    <w:rsid w:val="0026533F"/>
    <w:rsid w:val="00265B60"/>
    <w:rsid w:val="00266B63"/>
    <w:rsid w:val="0026710D"/>
    <w:rsid w:val="002701FC"/>
    <w:rsid w:val="002704AC"/>
    <w:rsid w:val="00270690"/>
    <w:rsid w:val="002727A6"/>
    <w:rsid w:val="002743EA"/>
    <w:rsid w:val="00274B8B"/>
    <w:rsid w:val="00274D63"/>
    <w:rsid w:val="0027538B"/>
    <w:rsid w:val="002766E3"/>
    <w:rsid w:val="0027713F"/>
    <w:rsid w:val="00277567"/>
    <w:rsid w:val="002779DD"/>
    <w:rsid w:val="00277C2D"/>
    <w:rsid w:val="00280ACC"/>
    <w:rsid w:val="00280F6B"/>
    <w:rsid w:val="00281411"/>
    <w:rsid w:val="00281ABE"/>
    <w:rsid w:val="0028266E"/>
    <w:rsid w:val="00282911"/>
    <w:rsid w:val="00282BAA"/>
    <w:rsid w:val="00282C08"/>
    <w:rsid w:val="002833B1"/>
    <w:rsid w:val="0028391F"/>
    <w:rsid w:val="00283E45"/>
    <w:rsid w:val="00284D53"/>
    <w:rsid w:val="00284E74"/>
    <w:rsid w:val="00285E27"/>
    <w:rsid w:val="00286A8C"/>
    <w:rsid w:val="0029016E"/>
    <w:rsid w:val="002903E5"/>
    <w:rsid w:val="00290CA2"/>
    <w:rsid w:val="002918AA"/>
    <w:rsid w:val="0029214E"/>
    <w:rsid w:val="002926B2"/>
    <w:rsid w:val="0029275E"/>
    <w:rsid w:val="0029318A"/>
    <w:rsid w:val="002931BB"/>
    <w:rsid w:val="00293D2F"/>
    <w:rsid w:val="00293F87"/>
    <w:rsid w:val="00294731"/>
    <w:rsid w:val="00294A6D"/>
    <w:rsid w:val="00294DFC"/>
    <w:rsid w:val="00294FD6"/>
    <w:rsid w:val="00295E59"/>
    <w:rsid w:val="0029649F"/>
    <w:rsid w:val="00296CDD"/>
    <w:rsid w:val="0029758F"/>
    <w:rsid w:val="00297A40"/>
    <w:rsid w:val="00297C68"/>
    <w:rsid w:val="002A00EF"/>
    <w:rsid w:val="002A020E"/>
    <w:rsid w:val="002A1135"/>
    <w:rsid w:val="002A11B4"/>
    <w:rsid w:val="002A14D3"/>
    <w:rsid w:val="002A1F3C"/>
    <w:rsid w:val="002A28F8"/>
    <w:rsid w:val="002A29E2"/>
    <w:rsid w:val="002A320A"/>
    <w:rsid w:val="002A34DB"/>
    <w:rsid w:val="002A3BC1"/>
    <w:rsid w:val="002A3D2E"/>
    <w:rsid w:val="002A3DBE"/>
    <w:rsid w:val="002A43B2"/>
    <w:rsid w:val="002A43E1"/>
    <w:rsid w:val="002A4695"/>
    <w:rsid w:val="002A492F"/>
    <w:rsid w:val="002A56AF"/>
    <w:rsid w:val="002A579D"/>
    <w:rsid w:val="002A58ED"/>
    <w:rsid w:val="002A6013"/>
    <w:rsid w:val="002A6147"/>
    <w:rsid w:val="002A618B"/>
    <w:rsid w:val="002A63D0"/>
    <w:rsid w:val="002A6B47"/>
    <w:rsid w:val="002A74F0"/>
    <w:rsid w:val="002A7BA9"/>
    <w:rsid w:val="002B0D85"/>
    <w:rsid w:val="002B1549"/>
    <w:rsid w:val="002B1773"/>
    <w:rsid w:val="002B182A"/>
    <w:rsid w:val="002B2792"/>
    <w:rsid w:val="002B281D"/>
    <w:rsid w:val="002B3326"/>
    <w:rsid w:val="002B37BF"/>
    <w:rsid w:val="002B3857"/>
    <w:rsid w:val="002B45AA"/>
    <w:rsid w:val="002B53E0"/>
    <w:rsid w:val="002B599C"/>
    <w:rsid w:val="002B5A27"/>
    <w:rsid w:val="002B5A4C"/>
    <w:rsid w:val="002B5AD7"/>
    <w:rsid w:val="002B5AF7"/>
    <w:rsid w:val="002B5B7F"/>
    <w:rsid w:val="002B5EEE"/>
    <w:rsid w:val="002B6331"/>
    <w:rsid w:val="002B71B9"/>
    <w:rsid w:val="002B7D73"/>
    <w:rsid w:val="002C0073"/>
    <w:rsid w:val="002C0179"/>
    <w:rsid w:val="002C0235"/>
    <w:rsid w:val="002C02A9"/>
    <w:rsid w:val="002C31AA"/>
    <w:rsid w:val="002C332E"/>
    <w:rsid w:val="002C3928"/>
    <w:rsid w:val="002C3DBA"/>
    <w:rsid w:val="002C43A7"/>
    <w:rsid w:val="002C440C"/>
    <w:rsid w:val="002C46B1"/>
    <w:rsid w:val="002C5721"/>
    <w:rsid w:val="002C5AF2"/>
    <w:rsid w:val="002C60BF"/>
    <w:rsid w:val="002C62E3"/>
    <w:rsid w:val="002C6574"/>
    <w:rsid w:val="002C6723"/>
    <w:rsid w:val="002C6C29"/>
    <w:rsid w:val="002C7212"/>
    <w:rsid w:val="002C7506"/>
    <w:rsid w:val="002C775F"/>
    <w:rsid w:val="002C78ED"/>
    <w:rsid w:val="002D0049"/>
    <w:rsid w:val="002D0FD1"/>
    <w:rsid w:val="002D17E1"/>
    <w:rsid w:val="002D19F8"/>
    <w:rsid w:val="002D1DAB"/>
    <w:rsid w:val="002D27F9"/>
    <w:rsid w:val="002D2F17"/>
    <w:rsid w:val="002D2F92"/>
    <w:rsid w:val="002D4060"/>
    <w:rsid w:val="002D4294"/>
    <w:rsid w:val="002D44A0"/>
    <w:rsid w:val="002D4803"/>
    <w:rsid w:val="002D5BCB"/>
    <w:rsid w:val="002D6D98"/>
    <w:rsid w:val="002D7A54"/>
    <w:rsid w:val="002D7E96"/>
    <w:rsid w:val="002E0C07"/>
    <w:rsid w:val="002E18D7"/>
    <w:rsid w:val="002E2362"/>
    <w:rsid w:val="002E238A"/>
    <w:rsid w:val="002E2443"/>
    <w:rsid w:val="002E26C2"/>
    <w:rsid w:val="002E2762"/>
    <w:rsid w:val="002E2F9E"/>
    <w:rsid w:val="002E3183"/>
    <w:rsid w:val="002E377C"/>
    <w:rsid w:val="002E4710"/>
    <w:rsid w:val="002E4914"/>
    <w:rsid w:val="002E5240"/>
    <w:rsid w:val="002E525F"/>
    <w:rsid w:val="002E551E"/>
    <w:rsid w:val="002E5798"/>
    <w:rsid w:val="002E5C68"/>
    <w:rsid w:val="002E5EB4"/>
    <w:rsid w:val="002E5ED5"/>
    <w:rsid w:val="002E5FB5"/>
    <w:rsid w:val="002E615E"/>
    <w:rsid w:val="002E70EE"/>
    <w:rsid w:val="002E7218"/>
    <w:rsid w:val="002F0288"/>
    <w:rsid w:val="002F07FC"/>
    <w:rsid w:val="002F0E66"/>
    <w:rsid w:val="002F135C"/>
    <w:rsid w:val="002F1D16"/>
    <w:rsid w:val="002F1D25"/>
    <w:rsid w:val="002F255B"/>
    <w:rsid w:val="002F2B90"/>
    <w:rsid w:val="002F2BC9"/>
    <w:rsid w:val="002F2D54"/>
    <w:rsid w:val="002F3482"/>
    <w:rsid w:val="002F36A7"/>
    <w:rsid w:val="002F399C"/>
    <w:rsid w:val="002F44CC"/>
    <w:rsid w:val="002F4A29"/>
    <w:rsid w:val="002F50FA"/>
    <w:rsid w:val="002F6856"/>
    <w:rsid w:val="002F6B28"/>
    <w:rsid w:val="002F6EFD"/>
    <w:rsid w:val="002F72D2"/>
    <w:rsid w:val="002F76E8"/>
    <w:rsid w:val="002F7C37"/>
    <w:rsid w:val="002F7C72"/>
    <w:rsid w:val="002F7CE2"/>
    <w:rsid w:val="002F7DCB"/>
    <w:rsid w:val="003001B6"/>
    <w:rsid w:val="0030037F"/>
    <w:rsid w:val="003003EE"/>
    <w:rsid w:val="00300A3C"/>
    <w:rsid w:val="00300BC7"/>
    <w:rsid w:val="00300C77"/>
    <w:rsid w:val="00300F7D"/>
    <w:rsid w:val="00301493"/>
    <w:rsid w:val="003015AD"/>
    <w:rsid w:val="00301A18"/>
    <w:rsid w:val="00301AE4"/>
    <w:rsid w:val="00301CF9"/>
    <w:rsid w:val="003025CC"/>
    <w:rsid w:val="0030274A"/>
    <w:rsid w:val="00303ABA"/>
    <w:rsid w:val="00304F26"/>
    <w:rsid w:val="00304F84"/>
    <w:rsid w:val="003062D1"/>
    <w:rsid w:val="003066F5"/>
    <w:rsid w:val="00306D15"/>
    <w:rsid w:val="00307436"/>
    <w:rsid w:val="00307637"/>
    <w:rsid w:val="00307E9B"/>
    <w:rsid w:val="00310055"/>
    <w:rsid w:val="0031015E"/>
    <w:rsid w:val="003103BA"/>
    <w:rsid w:val="0031049C"/>
    <w:rsid w:val="003106E1"/>
    <w:rsid w:val="00310A1D"/>
    <w:rsid w:val="00310C64"/>
    <w:rsid w:val="00310F74"/>
    <w:rsid w:val="0031126E"/>
    <w:rsid w:val="003114D3"/>
    <w:rsid w:val="00311536"/>
    <w:rsid w:val="003122F4"/>
    <w:rsid w:val="00313366"/>
    <w:rsid w:val="003136A0"/>
    <w:rsid w:val="00313971"/>
    <w:rsid w:val="00313D2C"/>
    <w:rsid w:val="00313E96"/>
    <w:rsid w:val="0031400A"/>
    <w:rsid w:val="003140E2"/>
    <w:rsid w:val="00314144"/>
    <w:rsid w:val="003142CC"/>
    <w:rsid w:val="0031486B"/>
    <w:rsid w:val="00314A66"/>
    <w:rsid w:val="00315571"/>
    <w:rsid w:val="003155DB"/>
    <w:rsid w:val="003157BA"/>
    <w:rsid w:val="00316A28"/>
    <w:rsid w:val="00316AA2"/>
    <w:rsid w:val="00317071"/>
    <w:rsid w:val="00317765"/>
    <w:rsid w:val="00317E7B"/>
    <w:rsid w:val="00317F70"/>
    <w:rsid w:val="00320C2A"/>
    <w:rsid w:val="00320C60"/>
    <w:rsid w:val="00320D78"/>
    <w:rsid w:val="003212F1"/>
    <w:rsid w:val="0032203E"/>
    <w:rsid w:val="00322051"/>
    <w:rsid w:val="003228E9"/>
    <w:rsid w:val="00322F36"/>
    <w:rsid w:val="0032366D"/>
    <w:rsid w:val="00323AFA"/>
    <w:rsid w:val="00324B16"/>
    <w:rsid w:val="00324B3C"/>
    <w:rsid w:val="00324CCB"/>
    <w:rsid w:val="0032515C"/>
    <w:rsid w:val="00325303"/>
    <w:rsid w:val="0032572B"/>
    <w:rsid w:val="0032659C"/>
    <w:rsid w:val="003265B7"/>
    <w:rsid w:val="00326CFF"/>
    <w:rsid w:val="00326D98"/>
    <w:rsid w:val="00326E57"/>
    <w:rsid w:val="00327095"/>
    <w:rsid w:val="00327360"/>
    <w:rsid w:val="00327E60"/>
    <w:rsid w:val="00327F1F"/>
    <w:rsid w:val="00330A1E"/>
    <w:rsid w:val="00331348"/>
    <w:rsid w:val="003314DB"/>
    <w:rsid w:val="00331B68"/>
    <w:rsid w:val="0033245C"/>
    <w:rsid w:val="003326F0"/>
    <w:rsid w:val="003329F8"/>
    <w:rsid w:val="00332ABD"/>
    <w:rsid w:val="00332C7F"/>
    <w:rsid w:val="003333D7"/>
    <w:rsid w:val="00333547"/>
    <w:rsid w:val="00333711"/>
    <w:rsid w:val="003337B7"/>
    <w:rsid w:val="0033399E"/>
    <w:rsid w:val="00333A7E"/>
    <w:rsid w:val="003343E0"/>
    <w:rsid w:val="00334C4D"/>
    <w:rsid w:val="00335259"/>
    <w:rsid w:val="003353F6"/>
    <w:rsid w:val="003355CA"/>
    <w:rsid w:val="00335791"/>
    <w:rsid w:val="003361FA"/>
    <w:rsid w:val="00336A63"/>
    <w:rsid w:val="00336EE2"/>
    <w:rsid w:val="0033746C"/>
    <w:rsid w:val="00337A1E"/>
    <w:rsid w:val="00337CE1"/>
    <w:rsid w:val="003402E3"/>
    <w:rsid w:val="00340305"/>
    <w:rsid w:val="00341AFE"/>
    <w:rsid w:val="003420A8"/>
    <w:rsid w:val="00342474"/>
    <w:rsid w:val="0034259D"/>
    <w:rsid w:val="0034284A"/>
    <w:rsid w:val="0034301E"/>
    <w:rsid w:val="00343115"/>
    <w:rsid w:val="00344004"/>
    <w:rsid w:val="00344010"/>
    <w:rsid w:val="003442CB"/>
    <w:rsid w:val="00344FCF"/>
    <w:rsid w:val="00344FD4"/>
    <w:rsid w:val="00345DAC"/>
    <w:rsid w:val="003462EA"/>
    <w:rsid w:val="00346329"/>
    <w:rsid w:val="003473EA"/>
    <w:rsid w:val="00347E1E"/>
    <w:rsid w:val="00350155"/>
    <w:rsid w:val="003505A4"/>
    <w:rsid w:val="003506A9"/>
    <w:rsid w:val="00350706"/>
    <w:rsid w:val="00350C23"/>
    <w:rsid w:val="00350CE2"/>
    <w:rsid w:val="0035129F"/>
    <w:rsid w:val="00352558"/>
    <w:rsid w:val="00352E55"/>
    <w:rsid w:val="00352FED"/>
    <w:rsid w:val="00353631"/>
    <w:rsid w:val="00353FFE"/>
    <w:rsid w:val="00354861"/>
    <w:rsid w:val="0035516F"/>
    <w:rsid w:val="003554C8"/>
    <w:rsid w:val="0035579B"/>
    <w:rsid w:val="00355921"/>
    <w:rsid w:val="003559EB"/>
    <w:rsid w:val="00355BB0"/>
    <w:rsid w:val="00355FF6"/>
    <w:rsid w:val="003578B4"/>
    <w:rsid w:val="0035793C"/>
    <w:rsid w:val="00361217"/>
    <w:rsid w:val="0036170C"/>
    <w:rsid w:val="003618F1"/>
    <w:rsid w:val="00361C0B"/>
    <w:rsid w:val="003622F1"/>
    <w:rsid w:val="00362363"/>
    <w:rsid w:val="00362F4E"/>
    <w:rsid w:val="00363140"/>
    <w:rsid w:val="00363535"/>
    <w:rsid w:val="003637B1"/>
    <w:rsid w:val="003645BD"/>
    <w:rsid w:val="003649D8"/>
    <w:rsid w:val="00364A37"/>
    <w:rsid w:val="00364C5C"/>
    <w:rsid w:val="00366B37"/>
    <w:rsid w:val="00366C47"/>
    <w:rsid w:val="00367045"/>
    <w:rsid w:val="00370104"/>
    <w:rsid w:val="003710A7"/>
    <w:rsid w:val="0037141A"/>
    <w:rsid w:val="00371493"/>
    <w:rsid w:val="003720C1"/>
    <w:rsid w:val="0037221C"/>
    <w:rsid w:val="0037286B"/>
    <w:rsid w:val="003728BA"/>
    <w:rsid w:val="00372C97"/>
    <w:rsid w:val="0037377E"/>
    <w:rsid w:val="0037379A"/>
    <w:rsid w:val="003747E0"/>
    <w:rsid w:val="00374D59"/>
    <w:rsid w:val="00375118"/>
    <w:rsid w:val="00375498"/>
    <w:rsid w:val="00375D6E"/>
    <w:rsid w:val="0037754F"/>
    <w:rsid w:val="00380304"/>
    <w:rsid w:val="00382517"/>
    <w:rsid w:val="003826D5"/>
    <w:rsid w:val="00382AAE"/>
    <w:rsid w:val="00382D78"/>
    <w:rsid w:val="00382FA5"/>
    <w:rsid w:val="00382FD9"/>
    <w:rsid w:val="003842E8"/>
    <w:rsid w:val="003843BA"/>
    <w:rsid w:val="0038467D"/>
    <w:rsid w:val="003851A6"/>
    <w:rsid w:val="0038568E"/>
    <w:rsid w:val="0038644C"/>
    <w:rsid w:val="00386C29"/>
    <w:rsid w:val="003871EC"/>
    <w:rsid w:val="0038726B"/>
    <w:rsid w:val="00387354"/>
    <w:rsid w:val="0038747F"/>
    <w:rsid w:val="00387631"/>
    <w:rsid w:val="0038771E"/>
    <w:rsid w:val="00387B74"/>
    <w:rsid w:val="00387CB8"/>
    <w:rsid w:val="0039043D"/>
    <w:rsid w:val="00390667"/>
    <w:rsid w:val="00390DE9"/>
    <w:rsid w:val="00391230"/>
    <w:rsid w:val="00391341"/>
    <w:rsid w:val="0039171F"/>
    <w:rsid w:val="003918DF"/>
    <w:rsid w:val="00391DA9"/>
    <w:rsid w:val="0039381B"/>
    <w:rsid w:val="00393B80"/>
    <w:rsid w:val="00393C43"/>
    <w:rsid w:val="00393C7E"/>
    <w:rsid w:val="003943DA"/>
    <w:rsid w:val="003944A5"/>
    <w:rsid w:val="00394F5D"/>
    <w:rsid w:val="00395E68"/>
    <w:rsid w:val="00395F65"/>
    <w:rsid w:val="00395FDC"/>
    <w:rsid w:val="00396728"/>
    <w:rsid w:val="00396C1F"/>
    <w:rsid w:val="00397391"/>
    <w:rsid w:val="0039753F"/>
    <w:rsid w:val="00397AD7"/>
    <w:rsid w:val="00397F8E"/>
    <w:rsid w:val="003A01A4"/>
    <w:rsid w:val="003A0452"/>
    <w:rsid w:val="003A054C"/>
    <w:rsid w:val="003A09D4"/>
    <w:rsid w:val="003A0BAE"/>
    <w:rsid w:val="003A163C"/>
    <w:rsid w:val="003A18D6"/>
    <w:rsid w:val="003A1A6C"/>
    <w:rsid w:val="003A213E"/>
    <w:rsid w:val="003A2520"/>
    <w:rsid w:val="003A36AB"/>
    <w:rsid w:val="003A3BD4"/>
    <w:rsid w:val="003A3CE7"/>
    <w:rsid w:val="003A4158"/>
    <w:rsid w:val="003A42AD"/>
    <w:rsid w:val="003A5ADA"/>
    <w:rsid w:val="003A6279"/>
    <w:rsid w:val="003A62A6"/>
    <w:rsid w:val="003A738B"/>
    <w:rsid w:val="003A77A9"/>
    <w:rsid w:val="003A77C7"/>
    <w:rsid w:val="003A790C"/>
    <w:rsid w:val="003B0038"/>
    <w:rsid w:val="003B03E8"/>
    <w:rsid w:val="003B0A8E"/>
    <w:rsid w:val="003B2155"/>
    <w:rsid w:val="003B225A"/>
    <w:rsid w:val="003B2897"/>
    <w:rsid w:val="003B2C8D"/>
    <w:rsid w:val="003B376D"/>
    <w:rsid w:val="003B4640"/>
    <w:rsid w:val="003B4F7A"/>
    <w:rsid w:val="003B5713"/>
    <w:rsid w:val="003B5D94"/>
    <w:rsid w:val="003B70F8"/>
    <w:rsid w:val="003B7559"/>
    <w:rsid w:val="003B7847"/>
    <w:rsid w:val="003B7F11"/>
    <w:rsid w:val="003C0B91"/>
    <w:rsid w:val="003C0EB7"/>
    <w:rsid w:val="003C1086"/>
    <w:rsid w:val="003C163B"/>
    <w:rsid w:val="003C1AD9"/>
    <w:rsid w:val="003C20CF"/>
    <w:rsid w:val="003C2D11"/>
    <w:rsid w:val="003C30C9"/>
    <w:rsid w:val="003C3853"/>
    <w:rsid w:val="003C3F39"/>
    <w:rsid w:val="003C4223"/>
    <w:rsid w:val="003C4501"/>
    <w:rsid w:val="003C5969"/>
    <w:rsid w:val="003C5BC8"/>
    <w:rsid w:val="003C6567"/>
    <w:rsid w:val="003C673C"/>
    <w:rsid w:val="003C67A4"/>
    <w:rsid w:val="003C7535"/>
    <w:rsid w:val="003C7896"/>
    <w:rsid w:val="003D002E"/>
    <w:rsid w:val="003D08AE"/>
    <w:rsid w:val="003D0FCF"/>
    <w:rsid w:val="003D15D4"/>
    <w:rsid w:val="003D15E0"/>
    <w:rsid w:val="003D25D1"/>
    <w:rsid w:val="003D2605"/>
    <w:rsid w:val="003D2B68"/>
    <w:rsid w:val="003D2DF9"/>
    <w:rsid w:val="003D3EAE"/>
    <w:rsid w:val="003D4691"/>
    <w:rsid w:val="003D49DC"/>
    <w:rsid w:val="003D4E87"/>
    <w:rsid w:val="003D5C07"/>
    <w:rsid w:val="003D5D3D"/>
    <w:rsid w:val="003D6B62"/>
    <w:rsid w:val="003D6C49"/>
    <w:rsid w:val="003D6F02"/>
    <w:rsid w:val="003D783B"/>
    <w:rsid w:val="003D7B49"/>
    <w:rsid w:val="003E058A"/>
    <w:rsid w:val="003E0C87"/>
    <w:rsid w:val="003E1063"/>
    <w:rsid w:val="003E2631"/>
    <w:rsid w:val="003E27A1"/>
    <w:rsid w:val="003E2D4C"/>
    <w:rsid w:val="003E2E51"/>
    <w:rsid w:val="003E3244"/>
    <w:rsid w:val="003E33FE"/>
    <w:rsid w:val="003E36CF"/>
    <w:rsid w:val="003E39EC"/>
    <w:rsid w:val="003E4090"/>
    <w:rsid w:val="003E4412"/>
    <w:rsid w:val="003E47A6"/>
    <w:rsid w:val="003E4AA0"/>
    <w:rsid w:val="003E4ACA"/>
    <w:rsid w:val="003E4EE5"/>
    <w:rsid w:val="003E4F72"/>
    <w:rsid w:val="003E52D8"/>
    <w:rsid w:val="003E550F"/>
    <w:rsid w:val="003E5C4D"/>
    <w:rsid w:val="003E6E17"/>
    <w:rsid w:val="003E6F93"/>
    <w:rsid w:val="003E7615"/>
    <w:rsid w:val="003E77B4"/>
    <w:rsid w:val="003E7D0D"/>
    <w:rsid w:val="003E7F9A"/>
    <w:rsid w:val="003F0823"/>
    <w:rsid w:val="003F1E1C"/>
    <w:rsid w:val="003F1E5C"/>
    <w:rsid w:val="003F2253"/>
    <w:rsid w:val="003F23B4"/>
    <w:rsid w:val="003F249F"/>
    <w:rsid w:val="003F2A53"/>
    <w:rsid w:val="003F2E2B"/>
    <w:rsid w:val="003F30E8"/>
    <w:rsid w:val="003F31F5"/>
    <w:rsid w:val="003F369B"/>
    <w:rsid w:val="003F36CD"/>
    <w:rsid w:val="003F378C"/>
    <w:rsid w:val="003F3E9E"/>
    <w:rsid w:val="003F42EA"/>
    <w:rsid w:val="003F45BA"/>
    <w:rsid w:val="003F4692"/>
    <w:rsid w:val="003F46D7"/>
    <w:rsid w:val="003F49EA"/>
    <w:rsid w:val="003F5F9D"/>
    <w:rsid w:val="003F61A6"/>
    <w:rsid w:val="003F648B"/>
    <w:rsid w:val="003F69CA"/>
    <w:rsid w:val="003F7B18"/>
    <w:rsid w:val="003F7D41"/>
    <w:rsid w:val="003F7EDA"/>
    <w:rsid w:val="003F7F90"/>
    <w:rsid w:val="00401409"/>
    <w:rsid w:val="0040142D"/>
    <w:rsid w:val="004018EF"/>
    <w:rsid w:val="0040198A"/>
    <w:rsid w:val="004022D2"/>
    <w:rsid w:val="00402451"/>
    <w:rsid w:val="0040285B"/>
    <w:rsid w:val="00402DAC"/>
    <w:rsid w:val="0040347D"/>
    <w:rsid w:val="004034E8"/>
    <w:rsid w:val="0040371D"/>
    <w:rsid w:val="00403A79"/>
    <w:rsid w:val="00403BFF"/>
    <w:rsid w:val="00403C00"/>
    <w:rsid w:val="00404945"/>
    <w:rsid w:val="00404CA4"/>
    <w:rsid w:val="00405F76"/>
    <w:rsid w:val="00406991"/>
    <w:rsid w:val="004073A4"/>
    <w:rsid w:val="00407AA3"/>
    <w:rsid w:val="00410AEB"/>
    <w:rsid w:val="004111CF"/>
    <w:rsid w:val="00411732"/>
    <w:rsid w:val="00411818"/>
    <w:rsid w:val="00411BBC"/>
    <w:rsid w:val="00412140"/>
    <w:rsid w:val="00413136"/>
    <w:rsid w:val="0041360A"/>
    <w:rsid w:val="00413879"/>
    <w:rsid w:val="00413AFE"/>
    <w:rsid w:val="00413D8E"/>
    <w:rsid w:val="00414165"/>
    <w:rsid w:val="0041437A"/>
    <w:rsid w:val="00414B25"/>
    <w:rsid w:val="004151D6"/>
    <w:rsid w:val="00415D67"/>
    <w:rsid w:val="00415E31"/>
    <w:rsid w:val="00415F11"/>
    <w:rsid w:val="00416264"/>
    <w:rsid w:val="0041668C"/>
    <w:rsid w:val="00416749"/>
    <w:rsid w:val="00417108"/>
    <w:rsid w:val="0042012D"/>
    <w:rsid w:val="00420730"/>
    <w:rsid w:val="004207DD"/>
    <w:rsid w:val="00421545"/>
    <w:rsid w:val="00421558"/>
    <w:rsid w:val="00421721"/>
    <w:rsid w:val="0042298A"/>
    <w:rsid w:val="00423075"/>
    <w:rsid w:val="0042316D"/>
    <w:rsid w:val="004232D3"/>
    <w:rsid w:val="00423A27"/>
    <w:rsid w:val="00423B98"/>
    <w:rsid w:val="00423C29"/>
    <w:rsid w:val="004242A4"/>
    <w:rsid w:val="004244FA"/>
    <w:rsid w:val="00424513"/>
    <w:rsid w:val="00424822"/>
    <w:rsid w:val="00424AE5"/>
    <w:rsid w:val="00424B54"/>
    <w:rsid w:val="00425836"/>
    <w:rsid w:val="00425FDE"/>
    <w:rsid w:val="0042602D"/>
    <w:rsid w:val="0042615F"/>
    <w:rsid w:val="004268AA"/>
    <w:rsid w:val="0042790C"/>
    <w:rsid w:val="004301B5"/>
    <w:rsid w:val="00430773"/>
    <w:rsid w:val="004314E4"/>
    <w:rsid w:val="00431752"/>
    <w:rsid w:val="00431B15"/>
    <w:rsid w:val="00431F49"/>
    <w:rsid w:val="00432B47"/>
    <w:rsid w:val="00432FC0"/>
    <w:rsid w:val="004332BD"/>
    <w:rsid w:val="00433F0C"/>
    <w:rsid w:val="00434118"/>
    <w:rsid w:val="00434C0F"/>
    <w:rsid w:val="0043569E"/>
    <w:rsid w:val="004363F2"/>
    <w:rsid w:val="00436C7A"/>
    <w:rsid w:val="00436D50"/>
    <w:rsid w:val="00437496"/>
    <w:rsid w:val="00437969"/>
    <w:rsid w:val="00437A58"/>
    <w:rsid w:val="00437B4F"/>
    <w:rsid w:val="00437D05"/>
    <w:rsid w:val="00441085"/>
    <w:rsid w:val="0044131D"/>
    <w:rsid w:val="00441578"/>
    <w:rsid w:val="004416D0"/>
    <w:rsid w:val="00442149"/>
    <w:rsid w:val="00442157"/>
    <w:rsid w:val="0044257C"/>
    <w:rsid w:val="004431CC"/>
    <w:rsid w:val="0044361D"/>
    <w:rsid w:val="00443CD7"/>
    <w:rsid w:val="004441CB"/>
    <w:rsid w:val="004443CE"/>
    <w:rsid w:val="004447A8"/>
    <w:rsid w:val="00447323"/>
    <w:rsid w:val="00447D8F"/>
    <w:rsid w:val="0045007E"/>
    <w:rsid w:val="00450410"/>
    <w:rsid w:val="004509C5"/>
    <w:rsid w:val="00451EA3"/>
    <w:rsid w:val="00452376"/>
    <w:rsid w:val="00452805"/>
    <w:rsid w:val="0045287A"/>
    <w:rsid w:val="00452935"/>
    <w:rsid w:val="00452B3E"/>
    <w:rsid w:val="00452F72"/>
    <w:rsid w:val="00453446"/>
    <w:rsid w:val="0045392E"/>
    <w:rsid w:val="00453E04"/>
    <w:rsid w:val="004544DB"/>
    <w:rsid w:val="004548FE"/>
    <w:rsid w:val="0045677B"/>
    <w:rsid w:val="004567AC"/>
    <w:rsid w:val="00456957"/>
    <w:rsid w:val="00457079"/>
    <w:rsid w:val="00457AFF"/>
    <w:rsid w:val="00457D9C"/>
    <w:rsid w:val="004604D1"/>
    <w:rsid w:val="00460553"/>
    <w:rsid w:val="0046111A"/>
    <w:rsid w:val="00461C87"/>
    <w:rsid w:val="00461F0D"/>
    <w:rsid w:val="004622A9"/>
    <w:rsid w:val="0046258B"/>
    <w:rsid w:val="004627A2"/>
    <w:rsid w:val="0046286B"/>
    <w:rsid w:val="00462AB9"/>
    <w:rsid w:val="00463F62"/>
    <w:rsid w:val="004641CC"/>
    <w:rsid w:val="00466E32"/>
    <w:rsid w:val="004670C5"/>
    <w:rsid w:val="004671D8"/>
    <w:rsid w:val="004672E9"/>
    <w:rsid w:val="004674C8"/>
    <w:rsid w:val="00467531"/>
    <w:rsid w:val="004678E4"/>
    <w:rsid w:val="00467A79"/>
    <w:rsid w:val="0047036D"/>
    <w:rsid w:val="004703A6"/>
    <w:rsid w:val="0047056C"/>
    <w:rsid w:val="00470571"/>
    <w:rsid w:val="00470779"/>
    <w:rsid w:val="00470CBE"/>
    <w:rsid w:val="0047151F"/>
    <w:rsid w:val="0047204E"/>
    <w:rsid w:val="0047228A"/>
    <w:rsid w:val="00472826"/>
    <w:rsid w:val="00473264"/>
    <w:rsid w:val="00473A25"/>
    <w:rsid w:val="004762E8"/>
    <w:rsid w:val="004764CE"/>
    <w:rsid w:val="00476E64"/>
    <w:rsid w:val="00477291"/>
    <w:rsid w:val="00477B1E"/>
    <w:rsid w:val="00477D38"/>
    <w:rsid w:val="00477E94"/>
    <w:rsid w:val="004808F1"/>
    <w:rsid w:val="00480BD2"/>
    <w:rsid w:val="00481188"/>
    <w:rsid w:val="0048160F"/>
    <w:rsid w:val="0048190B"/>
    <w:rsid w:val="00482189"/>
    <w:rsid w:val="00482842"/>
    <w:rsid w:val="0048633C"/>
    <w:rsid w:val="004863CB"/>
    <w:rsid w:val="004869A5"/>
    <w:rsid w:val="00486A44"/>
    <w:rsid w:val="00487070"/>
    <w:rsid w:val="004876A3"/>
    <w:rsid w:val="00487C69"/>
    <w:rsid w:val="00487F1E"/>
    <w:rsid w:val="004926FB"/>
    <w:rsid w:val="004929A7"/>
    <w:rsid w:val="00493274"/>
    <w:rsid w:val="004938BB"/>
    <w:rsid w:val="00493EA5"/>
    <w:rsid w:val="0049413C"/>
    <w:rsid w:val="00494906"/>
    <w:rsid w:val="00494A30"/>
    <w:rsid w:val="00494ADD"/>
    <w:rsid w:val="00494BAA"/>
    <w:rsid w:val="00494F3A"/>
    <w:rsid w:val="004957A4"/>
    <w:rsid w:val="00495A63"/>
    <w:rsid w:val="00495CDD"/>
    <w:rsid w:val="004966FE"/>
    <w:rsid w:val="00496DB6"/>
    <w:rsid w:val="00496EDA"/>
    <w:rsid w:val="0049760E"/>
    <w:rsid w:val="004A0216"/>
    <w:rsid w:val="004A094B"/>
    <w:rsid w:val="004A0BEB"/>
    <w:rsid w:val="004A11D6"/>
    <w:rsid w:val="004A18E9"/>
    <w:rsid w:val="004A2753"/>
    <w:rsid w:val="004A2C15"/>
    <w:rsid w:val="004A32BB"/>
    <w:rsid w:val="004A37E1"/>
    <w:rsid w:val="004A391C"/>
    <w:rsid w:val="004A3E52"/>
    <w:rsid w:val="004A4306"/>
    <w:rsid w:val="004A4424"/>
    <w:rsid w:val="004A45F7"/>
    <w:rsid w:val="004A495E"/>
    <w:rsid w:val="004A4B01"/>
    <w:rsid w:val="004A5812"/>
    <w:rsid w:val="004A5FC0"/>
    <w:rsid w:val="004A63F3"/>
    <w:rsid w:val="004A695A"/>
    <w:rsid w:val="004A6C0E"/>
    <w:rsid w:val="004A71C5"/>
    <w:rsid w:val="004A7540"/>
    <w:rsid w:val="004B071F"/>
    <w:rsid w:val="004B0DE7"/>
    <w:rsid w:val="004B1737"/>
    <w:rsid w:val="004B24EC"/>
    <w:rsid w:val="004B26E2"/>
    <w:rsid w:val="004B2B5F"/>
    <w:rsid w:val="004B2CE8"/>
    <w:rsid w:val="004B32FD"/>
    <w:rsid w:val="004B3353"/>
    <w:rsid w:val="004B4036"/>
    <w:rsid w:val="004B43A3"/>
    <w:rsid w:val="004B4958"/>
    <w:rsid w:val="004B4C2C"/>
    <w:rsid w:val="004B4DC2"/>
    <w:rsid w:val="004B4F99"/>
    <w:rsid w:val="004B566E"/>
    <w:rsid w:val="004B5CF6"/>
    <w:rsid w:val="004B6928"/>
    <w:rsid w:val="004B69B1"/>
    <w:rsid w:val="004B6CDE"/>
    <w:rsid w:val="004B7540"/>
    <w:rsid w:val="004B754C"/>
    <w:rsid w:val="004B7604"/>
    <w:rsid w:val="004B7FCF"/>
    <w:rsid w:val="004C0327"/>
    <w:rsid w:val="004C1322"/>
    <w:rsid w:val="004C1370"/>
    <w:rsid w:val="004C169F"/>
    <w:rsid w:val="004C2041"/>
    <w:rsid w:val="004C2DFD"/>
    <w:rsid w:val="004C34E2"/>
    <w:rsid w:val="004C380D"/>
    <w:rsid w:val="004C3855"/>
    <w:rsid w:val="004C456D"/>
    <w:rsid w:val="004C4786"/>
    <w:rsid w:val="004C484F"/>
    <w:rsid w:val="004C49AF"/>
    <w:rsid w:val="004C4B02"/>
    <w:rsid w:val="004C4F80"/>
    <w:rsid w:val="004C5F1E"/>
    <w:rsid w:val="004C62B5"/>
    <w:rsid w:val="004C6993"/>
    <w:rsid w:val="004C6B60"/>
    <w:rsid w:val="004C7A38"/>
    <w:rsid w:val="004D0140"/>
    <w:rsid w:val="004D19CF"/>
    <w:rsid w:val="004D1C86"/>
    <w:rsid w:val="004D241E"/>
    <w:rsid w:val="004D2E04"/>
    <w:rsid w:val="004D3A4C"/>
    <w:rsid w:val="004D4BE3"/>
    <w:rsid w:val="004D4E3B"/>
    <w:rsid w:val="004D56BE"/>
    <w:rsid w:val="004D5772"/>
    <w:rsid w:val="004D59D4"/>
    <w:rsid w:val="004D5A64"/>
    <w:rsid w:val="004D5AA5"/>
    <w:rsid w:val="004D718E"/>
    <w:rsid w:val="004D7FBF"/>
    <w:rsid w:val="004E0E9A"/>
    <w:rsid w:val="004E1098"/>
    <w:rsid w:val="004E175D"/>
    <w:rsid w:val="004E317D"/>
    <w:rsid w:val="004E332C"/>
    <w:rsid w:val="004E3835"/>
    <w:rsid w:val="004E41E4"/>
    <w:rsid w:val="004E46EB"/>
    <w:rsid w:val="004E4C90"/>
    <w:rsid w:val="004E548C"/>
    <w:rsid w:val="004E5729"/>
    <w:rsid w:val="004E58CB"/>
    <w:rsid w:val="004E58D1"/>
    <w:rsid w:val="004E5A0D"/>
    <w:rsid w:val="004E5A14"/>
    <w:rsid w:val="004E6035"/>
    <w:rsid w:val="004E6292"/>
    <w:rsid w:val="004E6544"/>
    <w:rsid w:val="004E6575"/>
    <w:rsid w:val="004E69E3"/>
    <w:rsid w:val="004E6A25"/>
    <w:rsid w:val="004E76BF"/>
    <w:rsid w:val="004E7FC0"/>
    <w:rsid w:val="004F04A5"/>
    <w:rsid w:val="004F166B"/>
    <w:rsid w:val="004F1C73"/>
    <w:rsid w:val="004F1FA4"/>
    <w:rsid w:val="004F2201"/>
    <w:rsid w:val="004F266E"/>
    <w:rsid w:val="004F330F"/>
    <w:rsid w:val="004F3C92"/>
    <w:rsid w:val="004F4663"/>
    <w:rsid w:val="004F5386"/>
    <w:rsid w:val="004F6097"/>
    <w:rsid w:val="004F74DB"/>
    <w:rsid w:val="004F7C36"/>
    <w:rsid w:val="0050012A"/>
    <w:rsid w:val="00500496"/>
    <w:rsid w:val="00500629"/>
    <w:rsid w:val="00500C90"/>
    <w:rsid w:val="00500CA9"/>
    <w:rsid w:val="00500CBF"/>
    <w:rsid w:val="0050106C"/>
    <w:rsid w:val="005019B6"/>
    <w:rsid w:val="00501B6A"/>
    <w:rsid w:val="00501DA5"/>
    <w:rsid w:val="0050233C"/>
    <w:rsid w:val="00502972"/>
    <w:rsid w:val="0050305B"/>
    <w:rsid w:val="00503391"/>
    <w:rsid w:val="00503652"/>
    <w:rsid w:val="0050377A"/>
    <w:rsid w:val="005037AB"/>
    <w:rsid w:val="005044F0"/>
    <w:rsid w:val="00504FB7"/>
    <w:rsid w:val="005056B8"/>
    <w:rsid w:val="00505944"/>
    <w:rsid w:val="00505B43"/>
    <w:rsid w:val="00505DBE"/>
    <w:rsid w:val="0050614B"/>
    <w:rsid w:val="005062C7"/>
    <w:rsid w:val="005064CC"/>
    <w:rsid w:val="00506741"/>
    <w:rsid w:val="00506E52"/>
    <w:rsid w:val="00506E9E"/>
    <w:rsid w:val="005073C2"/>
    <w:rsid w:val="005078EB"/>
    <w:rsid w:val="0051003F"/>
    <w:rsid w:val="00510948"/>
    <w:rsid w:val="00510A9A"/>
    <w:rsid w:val="00510C9E"/>
    <w:rsid w:val="00510DA1"/>
    <w:rsid w:val="005128CA"/>
    <w:rsid w:val="00512A30"/>
    <w:rsid w:val="00512F37"/>
    <w:rsid w:val="005131D8"/>
    <w:rsid w:val="0051399E"/>
    <w:rsid w:val="00513CB6"/>
    <w:rsid w:val="005147AA"/>
    <w:rsid w:val="00514A18"/>
    <w:rsid w:val="00514C68"/>
    <w:rsid w:val="005157EB"/>
    <w:rsid w:val="005159DA"/>
    <w:rsid w:val="005162EB"/>
    <w:rsid w:val="0051643F"/>
    <w:rsid w:val="005166EE"/>
    <w:rsid w:val="00517843"/>
    <w:rsid w:val="00517A78"/>
    <w:rsid w:val="00517AE5"/>
    <w:rsid w:val="00517B65"/>
    <w:rsid w:val="0052101A"/>
    <w:rsid w:val="005213CF"/>
    <w:rsid w:val="00521920"/>
    <w:rsid w:val="00521AE8"/>
    <w:rsid w:val="00521FD0"/>
    <w:rsid w:val="005221F8"/>
    <w:rsid w:val="00523260"/>
    <w:rsid w:val="005238CB"/>
    <w:rsid w:val="00523BC4"/>
    <w:rsid w:val="00524F33"/>
    <w:rsid w:val="00525E46"/>
    <w:rsid w:val="005262A3"/>
    <w:rsid w:val="00526402"/>
    <w:rsid w:val="00526702"/>
    <w:rsid w:val="00526B01"/>
    <w:rsid w:val="005270F4"/>
    <w:rsid w:val="00527570"/>
    <w:rsid w:val="0052764D"/>
    <w:rsid w:val="00527814"/>
    <w:rsid w:val="00527F2E"/>
    <w:rsid w:val="00530546"/>
    <w:rsid w:val="005309DD"/>
    <w:rsid w:val="0053140F"/>
    <w:rsid w:val="00532ADD"/>
    <w:rsid w:val="00532C12"/>
    <w:rsid w:val="0053301C"/>
    <w:rsid w:val="005330FF"/>
    <w:rsid w:val="00533F0F"/>
    <w:rsid w:val="00534843"/>
    <w:rsid w:val="00534964"/>
    <w:rsid w:val="00534E47"/>
    <w:rsid w:val="00534F0F"/>
    <w:rsid w:val="00535316"/>
    <w:rsid w:val="00535505"/>
    <w:rsid w:val="00535755"/>
    <w:rsid w:val="00535AF2"/>
    <w:rsid w:val="0053624D"/>
    <w:rsid w:val="0053639D"/>
    <w:rsid w:val="005365DD"/>
    <w:rsid w:val="0053677C"/>
    <w:rsid w:val="0053713A"/>
    <w:rsid w:val="005376DA"/>
    <w:rsid w:val="00537B95"/>
    <w:rsid w:val="00537BFF"/>
    <w:rsid w:val="0054084C"/>
    <w:rsid w:val="00540E7E"/>
    <w:rsid w:val="00540FEA"/>
    <w:rsid w:val="005410D8"/>
    <w:rsid w:val="00541489"/>
    <w:rsid w:val="005418CA"/>
    <w:rsid w:val="00541D2F"/>
    <w:rsid w:val="00541E84"/>
    <w:rsid w:val="00542EB1"/>
    <w:rsid w:val="005434A4"/>
    <w:rsid w:val="0054404B"/>
    <w:rsid w:val="0054423A"/>
    <w:rsid w:val="00546EBB"/>
    <w:rsid w:val="00546F93"/>
    <w:rsid w:val="005473E2"/>
    <w:rsid w:val="00547BA2"/>
    <w:rsid w:val="00547D84"/>
    <w:rsid w:val="00547DA5"/>
    <w:rsid w:val="00547EFE"/>
    <w:rsid w:val="00550499"/>
    <w:rsid w:val="00550AEF"/>
    <w:rsid w:val="00551530"/>
    <w:rsid w:val="00552A39"/>
    <w:rsid w:val="00553237"/>
    <w:rsid w:val="00553570"/>
    <w:rsid w:val="00553C9F"/>
    <w:rsid w:val="00554676"/>
    <w:rsid w:val="0055493D"/>
    <w:rsid w:val="00554F2F"/>
    <w:rsid w:val="00554F8E"/>
    <w:rsid w:val="005553F6"/>
    <w:rsid w:val="005561AB"/>
    <w:rsid w:val="005567E9"/>
    <w:rsid w:val="00557011"/>
    <w:rsid w:val="00557879"/>
    <w:rsid w:val="00560018"/>
    <w:rsid w:val="005602DD"/>
    <w:rsid w:val="00560EF7"/>
    <w:rsid w:val="005612F9"/>
    <w:rsid w:val="0056425E"/>
    <w:rsid w:val="0056562B"/>
    <w:rsid w:val="005656C9"/>
    <w:rsid w:val="00565A80"/>
    <w:rsid w:val="0056607F"/>
    <w:rsid w:val="00566AF8"/>
    <w:rsid w:val="0057093A"/>
    <w:rsid w:val="0057211D"/>
    <w:rsid w:val="00574048"/>
    <w:rsid w:val="00574185"/>
    <w:rsid w:val="00574AFC"/>
    <w:rsid w:val="005751F3"/>
    <w:rsid w:val="00575507"/>
    <w:rsid w:val="0057606F"/>
    <w:rsid w:val="0057609B"/>
    <w:rsid w:val="00576300"/>
    <w:rsid w:val="0057670F"/>
    <w:rsid w:val="00576A93"/>
    <w:rsid w:val="00577B62"/>
    <w:rsid w:val="005800D6"/>
    <w:rsid w:val="00580EE9"/>
    <w:rsid w:val="0058113E"/>
    <w:rsid w:val="005819DB"/>
    <w:rsid w:val="00582932"/>
    <w:rsid w:val="005829F2"/>
    <w:rsid w:val="00583249"/>
    <w:rsid w:val="00584233"/>
    <w:rsid w:val="0058496E"/>
    <w:rsid w:val="00586202"/>
    <w:rsid w:val="00586669"/>
    <w:rsid w:val="00586F4C"/>
    <w:rsid w:val="0058733B"/>
    <w:rsid w:val="0058775E"/>
    <w:rsid w:val="00587AC7"/>
    <w:rsid w:val="00587BE6"/>
    <w:rsid w:val="00590381"/>
    <w:rsid w:val="0059111B"/>
    <w:rsid w:val="00592D3E"/>
    <w:rsid w:val="00592F9E"/>
    <w:rsid w:val="00593DA7"/>
    <w:rsid w:val="00593EE1"/>
    <w:rsid w:val="0059428D"/>
    <w:rsid w:val="005944E3"/>
    <w:rsid w:val="005948A2"/>
    <w:rsid w:val="00594CD8"/>
    <w:rsid w:val="00595A89"/>
    <w:rsid w:val="00597AEA"/>
    <w:rsid w:val="005A0619"/>
    <w:rsid w:val="005A093C"/>
    <w:rsid w:val="005A0D8B"/>
    <w:rsid w:val="005A0DC1"/>
    <w:rsid w:val="005A1312"/>
    <w:rsid w:val="005A14D6"/>
    <w:rsid w:val="005A201E"/>
    <w:rsid w:val="005A2A0C"/>
    <w:rsid w:val="005A2C27"/>
    <w:rsid w:val="005A2CDD"/>
    <w:rsid w:val="005A33F8"/>
    <w:rsid w:val="005A3856"/>
    <w:rsid w:val="005A3981"/>
    <w:rsid w:val="005A3BC6"/>
    <w:rsid w:val="005A3D4D"/>
    <w:rsid w:val="005A4751"/>
    <w:rsid w:val="005A4A65"/>
    <w:rsid w:val="005A4A91"/>
    <w:rsid w:val="005A4FE3"/>
    <w:rsid w:val="005A528D"/>
    <w:rsid w:val="005A5788"/>
    <w:rsid w:val="005A5D33"/>
    <w:rsid w:val="005A62E1"/>
    <w:rsid w:val="005A6482"/>
    <w:rsid w:val="005A6496"/>
    <w:rsid w:val="005A6631"/>
    <w:rsid w:val="005A697C"/>
    <w:rsid w:val="005A6E6E"/>
    <w:rsid w:val="005A70F3"/>
    <w:rsid w:val="005A7D5E"/>
    <w:rsid w:val="005B0208"/>
    <w:rsid w:val="005B0A03"/>
    <w:rsid w:val="005B1128"/>
    <w:rsid w:val="005B1E3E"/>
    <w:rsid w:val="005B2951"/>
    <w:rsid w:val="005B2AC6"/>
    <w:rsid w:val="005B2CE4"/>
    <w:rsid w:val="005B2E55"/>
    <w:rsid w:val="005B2F8C"/>
    <w:rsid w:val="005B353F"/>
    <w:rsid w:val="005B4402"/>
    <w:rsid w:val="005B6202"/>
    <w:rsid w:val="005B6536"/>
    <w:rsid w:val="005B7426"/>
    <w:rsid w:val="005B78E3"/>
    <w:rsid w:val="005B7D89"/>
    <w:rsid w:val="005C0EC1"/>
    <w:rsid w:val="005C2960"/>
    <w:rsid w:val="005C2DDC"/>
    <w:rsid w:val="005C30AA"/>
    <w:rsid w:val="005C3AEC"/>
    <w:rsid w:val="005C3B68"/>
    <w:rsid w:val="005C45DD"/>
    <w:rsid w:val="005C4DA3"/>
    <w:rsid w:val="005C4F09"/>
    <w:rsid w:val="005C5852"/>
    <w:rsid w:val="005C590C"/>
    <w:rsid w:val="005C5F06"/>
    <w:rsid w:val="005C673F"/>
    <w:rsid w:val="005C7982"/>
    <w:rsid w:val="005D0390"/>
    <w:rsid w:val="005D04BA"/>
    <w:rsid w:val="005D0A46"/>
    <w:rsid w:val="005D0AFA"/>
    <w:rsid w:val="005D14CA"/>
    <w:rsid w:val="005D1BD7"/>
    <w:rsid w:val="005D2612"/>
    <w:rsid w:val="005D2915"/>
    <w:rsid w:val="005D2A07"/>
    <w:rsid w:val="005D2C4F"/>
    <w:rsid w:val="005D3791"/>
    <w:rsid w:val="005D3D9B"/>
    <w:rsid w:val="005D3F38"/>
    <w:rsid w:val="005D421D"/>
    <w:rsid w:val="005D4979"/>
    <w:rsid w:val="005D53D0"/>
    <w:rsid w:val="005D5DEA"/>
    <w:rsid w:val="005D607F"/>
    <w:rsid w:val="005D609D"/>
    <w:rsid w:val="005D794F"/>
    <w:rsid w:val="005E00BF"/>
    <w:rsid w:val="005E0432"/>
    <w:rsid w:val="005E04C2"/>
    <w:rsid w:val="005E08E6"/>
    <w:rsid w:val="005E0959"/>
    <w:rsid w:val="005E0A90"/>
    <w:rsid w:val="005E0D14"/>
    <w:rsid w:val="005E0EA3"/>
    <w:rsid w:val="005E15F2"/>
    <w:rsid w:val="005E1660"/>
    <w:rsid w:val="005E245A"/>
    <w:rsid w:val="005E2EEF"/>
    <w:rsid w:val="005E3815"/>
    <w:rsid w:val="005E3BED"/>
    <w:rsid w:val="005E3EAE"/>
    <w:rsid w:val="005E416A"/>
    <w:rsid w:val="005E4A4A"/>
    <w:rsid w:val="005E5A0C"/>
    <w:rsid w:val="005E5D5B"/>
    <w:rsid w:val="005E6795"/>
    <w:rsid w:val="005E6897"/>
    <w:rsid w:val="005F0AF5"/>
    <w:rsid w:val="005F0C41"/>
    <w:rsid w:val="005F0D3D"/>
    <w:rsid w:val="005F13E6"/>
    <w:rsid w:val="005F3305"/>
    <w:rsid w:val="005F37A1"/>
    <w:rsid w:val="005F4CD3"/>
    <w:rsid w:val="005F4EF7"/>
    <w:rsid w:val="005F6A7C"/>
    <w:rsid w:val="005F6D91"/>
    <w:rsid w:val="005F7D0F"/>
    <w:rsid w:val="006001BE"/>
    <w:rsid w:val="006012AC"/>
    <w:rsid w:val="00601D97"/>
    <w:rsid w:val="006021CB"/>
    <w:rsid w:val="0060254B"/>
    <w:rsid w:val="00602A76"/>
    <w:rsid w:val="00602C26"/>
    <w:rsid w:val="00602E67"/>
    <w:rsid w:val="00603EC7"/>
    <w:rsid w:val="00603F14"/>
    <w:rsid w:val="00603FB7"/>
    <w:rsid w:val="0060476E"/>
    <w:rsid w:val="0060494B"/>
    <w:rsid w:val="00604A12"/>
    <w:rsid w:val="00606052"/>
    <w:rsid w:val="006063E0"/>
    <w:rsid w:val="00606431"/>
    <w:rsid w:val="006065FD"/>
    <w:rsid w:val="006068D7"/>
    <w:rsid w:val="00606D18"/>
    <w:rsid w:val="006074CF"/>
    <w:rsid w:val="00611DD9"/>
    <w:rsid w:val="006124FA"/>
    <w:rsid w:val="00612681"/>
    <w:rsid w:val="00612D54"/>
    <w:rsid w:val="00613750"/>
    <w:rsid w:val="00613A73"/>
    <w:rsid w:val="00613DF1"/>
    <w:rsid w:val="00613E9B"/>
    <w:rsid w:val="00614736"/>
    <w:rsid w:val="006152B8"/>
    <w:rsid w:val="00615B6B"/>
    <w:rsid w:val="00615E78"/>
    <w:rsid w:val="00615E82"/>
    <w:rsid w:val="00616881"/>
    <w:rsid w:val="00616B8F"/>
    <w:rsid w:val="00616F25"/>
    <w:rsid w:val="00617A99"/>
    <w:rsid w:val="006210B5"/>
    <w:rsid w:val="006210E5"/>
    <w:rsid w:val="00621410"/>
    <w:rsid w:val="00621B09"/>
    <w:rsid w:val="00621C8C"/>
    <w:rsid w:val="0062222A"/>
    <w:rsid w:val="0062230C"/>
    <w:rsid w:val="00622B4B"/>
    <w:rsid w:val="00622FBC"/>
    <w:rsid w:val="00623281"/>
    <w:rsid w:val="0062397E"/>
    <w:rsid w:val="00623C7F"/>
    <w:rsid w:val="00623EFF"/>
    <w:rsid w:val="00624907"/>
    <w:rsid w:val="00626029"/>
    <w:rsid w:val="00626334"/>
    <w:rsid w:val="0062673B"/>
    <w:rsid w:val="00626FA2"/>
    <w:rsid w:val="0063063C"/>
    <w:rsid w:val="006307DC"/>
    <w:rsid w:val="006308AB"/>
    <w:rsid w:val="006308D3"/>
    <w:rsid w:val="00630DF4"/>
    <w:rsid w:val="00630E95"/>
    <w:rsid w:val="00630EC9"/>
    <w:rsid w:val="00631738"/>
    <w:rsid w:val="00631A75"/>
    <w:rsid w:val="00632807"/>
    <w:rsid w:val="00632C72"/>
    <w:rsid w:val="00633581"/>
    <w:rsid w:val="00633640"/>
    <w:rsid w:val="00633E8D"/>
    <w:rsid w:val="00633F73"/>
    <w:rsid w:val="0063488F"/>
    <w:rsid w:val="00634A5B"/>
    <w:rsid w:val="00634D3B"/>
    <w:rsid w:val="00635D32"/>
    <w:rsid w:val="0063605C"/>
    <w:rsid w:val="00637553"/>
    <w:rsid w:val="006375F8"/>
    <w:rsid w:val="006377F4"/>
    <w:rsid w:val="00640687"/>
    <w:rsid w:val="00640E7C"/>
    <w:rsid w:val="00641325"/>
    <w:rsid w:val="0064174A"/>
    <w:rsid w:val="00641884"/>
    <w:rsid w:val="00641899"/>
    <w:rsid w:val="00641F62"/>
    <w:rsid w:val="00642045"/>
    <w:rsid w:val="00642254"/>
    <w:rsid w:val="006424DA"/>
    <w:rsid w:val="00642A72"/>
    <w:rsid w:val="00643548"/>
    <w:rsid w:val="00643893"/>
    <w:rsid w:val="00644530"/>
    <w:rsid w:val="0064482C"/>
    <w:rsid w:val="00644927"/>
    <w:rsid w:val="00644A72"/>
    <w:rsid w:val="006452F3"/>
    <w:rsid w:val="00646358"/>
    <w:rsid w:val="0064648D"/>
    <w:rsid w:val="00646742"/>
    <w:rsid w:val="00646D33"/>
    <w:rsid w:val="00647171"/>
    <w:rsid w:val="0064734F"/>
    <w:rsid w:val="0064759F"/>
    <w:rsid w:val="006478CC"/>
    <w:rsid w:val="0065031C"/>
    <w:rsid w:val="00650671"/>
    <w:rsid w:val="00650920"/>
    <w:rsid w:val="00650C90"/>
    <w:rsid w:val="00650FA2"/>
    <w:rsid w:val="006514DE"/>
    <w:rsid w:val="00651DE0"/>
    <w:rsid w:val="00652182"/>
    <w:rsid w:val="00652A81"/>
    <w:rsid w:val="00652BC1"/>
    <w:rsid w:val="0065360E"/>
    <w:rsid w:val="0065363F"/>
    <w:rsid w:val="006536D2"/>
    <w:rsid w:val="00653A14"/>
    <w:rsid w:val="00653D29"/>
    <w:rsid w:val="006543F1"/>
    <w:rsid w:val="00654A11"/>
    <w:rsid w:val="00654BFA"/>
    <w:rsid w:val="00654D12"/>
    <w:rsid w:val="0065631D"/>
    <w:rsid w:val="006570F2"/>
    <w:rsid w:val="0065764A"/>
    <w:rsid w:val="00657B46"/>
    <w:rsid w:val="00657C3A"/>
    <w:rsid w:val="00657EB7"/>
    <w:rsid w:val="00657F73"/>
    <w:rsid w:val="00660181"/>
    <w:rsid w:val="00660462"/>
    <w:rsid w:val="00660797"/>
    <w:rsid w:val="00660A1E"/>
    <w:rsid w:val="00660B8C"/>
    <w:rsid w:val="006610CC"/>
    <w:rsid w:val="00661B46"/>
    <w:rsid w:val="00661C38"/>
    <w:rsid w:val="006626F5"/>
    <w:rsid w:val="006630D7"/>
    <w:rsid w:val="0066324E"/>
    <w:rsid w:val="00663DAE"/>
    <w:rsid w:val="00665540"/>
    <w:rsid w:val="00665574"/>
    <w:rsid w:val="00665CE4"/>
    <w:rsid w:val="00665F10"/>
    <w:rsid w:val="006661A6"/>
    <w:rsid w:val="006661FF"/>
    <w:rsid w:val="006663C2"/>
    <w:rsid w:val="00666452"/>
    <w:rsid w:val="006664B7"/>
    <w:rsid w:val="0066668B"/>
    <w:rsid w:val="006666BE"/>
    <w:rsid w:val="00666B73"/>
    <w:rsid w:val="00666E5B"/>
    <w:rsid w:val="0066746F"/>
    <w:rsid w:val="0066751F"/>
    <w:rsid w:val="00667A97"/>
    <w:rsid w:val="00667E30"/>
    <w:rsid w:val="00667F54"/>
    <w:rsid w:val="00670892"/>
    <w:rsid w:val="00670A7E"/>
    <w:rsid w:val="00670C21"/>
    <w:rsid w:val="00671571"/>
    <w:rsid w:val="006718B8"/>
    <w:rsid w:val="00671C85"/>
    <w:rsid w:val="0067334E"/>
    <w:rsid w:val="00673506"/>
    <w:rsid w:val="006737AC"/>
    <w:rsid w:val="00674E48"/>
    <w:rsid w:val="00675C46"/>
    <w:rsid w:val="00676A46"/>
    <w:rsid w:val="00676C06"/>
    <w:rsid w:val="00676D20"/>
    <w:rsid w:val="00677755"/>
    <w:rsid w:val="00677AB2"/>
    <w:rsid w:val="0068011D"/>
    <w:rsid w:val="00681392"/>
    <w:rsid w:val="0068167B"/>
    <w:rsid w:val="006816A0"/>
    <w:rsid w:val="00681BE0"/>
    <w:rsid w:val="00681DFD"/>
    <w:rsid w:val="0068245F"/>
    <w:rsid w:val="00682FE8"/>
    <w:rsid w:val="00683A6D"/>
    <w:rsid w:val="00683CAC"/>
    <w:rsid w:val="00683DB4"/>
    <w:rsid w:val="00683FA0"/>
    <w:rsid w:val="0068404E"/>
    <w:rsid w:val="00684E06"/>
    <w:rsid w:val="00684E24"/>
    <w:rsid w:val="00684FB3"/>
    <w:rsid w:val="00685018"/>
    <w:rsid w:val="00685313"/>
    <w:rsid w:val="0068588D"/>
    <w:rsid w:val="00685914"/>
    <w:rsid w:val="00685B44"/>
    <w:rsid w:val="00685BFC"/>
    <w:rsid w:val="00685EBE"/>
    <w:rsid w:val="00685F59"/>
    <w:rsid w:val="006860C3"/>
    <w:rsid w:val="0068682C"/>
    <w:rsid w:val="00687220"/>
    <w:rsid w:val="00687C22"/>
    <w:rsid w:val="00687D93"/>
    <w:rsid w:val="00687F08"/>
    <w:rsid w:val="00690901"/>
    <w:rsid w:val="00690E23"/>
    <w:rsid w:val="00690F3D"/>
    <w:rsid w:val="0069131A"/>
    <w:rsid w:val="006913ED"/>
    <w:rsid w:val="00691EE3"/>
    <w:rsid w:val="00692197"/>
    <w:rsid w:val="00692CC4"/>
    <w:rsid w:val="00692DBF"/>
    <w:rsid w:val="006932D6"/>
    <w:rsid w:val="00693535"/>
    <w:rsid w:val="006936BC"/>
    <w:rsid w:val="0069431A"/>
    <w:rsid w:val="00694563"/>
    <w:rsid w:val="00694A67"/>
    <w:rsid w:val="00694C42"/>
    <w:rsid w:val="00694FF8"/>
    <w:rsid w:val="0069593A"/>
    <w:rsid w:val="00695B6A"/>
    <w:rsid w:val="0069607D"/>
    <w:rsid w:val="0069652D"/>
    <w:rsid w:val="00696645"/>
    <w:rsid w:val="006973E1"/>
    <w:rsid w:val="006979DB"/>
    <w:rsid w:val="006A048A"/>
    <w:rsid w:val="006A0D35"/>
    <w:rsid w:val="006A119E"/>
    <w:rsid w:val="006A1916"/>
    <w:rsid w:val="006A1A2F"/>
    <w:rsid w:val="006A26E7"/>
    <w:rsid w:val="006A2B8C"/>
    <w:rsid w:val="006A2BD4"/>
    <w:rsid w:val="006A383F"/>
    <w:rsid w:val="006A3D8D"/>
    <w:rsid w:val="006A4B17"/>
    <w:rsid w:val="006A4F36"/>
    <w:rsid w:val="006A62F7"/>
    <w:rsid w:val="006A6672"/>
    <w:rsid w:val="006A6D6D"/>
    <w:rsid w:val="006A7312"/>
    <w:rsid w:val="006A73C4"/>
    <w:rsid w:val="006A7589"/>
    <w:rsid w:val="006A772A"/>
    <w:rsid w:val="006A7E36"/>
    <w:rsid w:val="006B0DA2"/>
    <w:rsid w:val="006B10ED"/>
    <w:rsid w:val="006B1182"/>
    <w:rsid w:val="006B19F9"/>
    <w:rsid w:val="006B27FD"/>
    <w:rsid w:val="006B2FD9"/>
    <w:rsid w:val="006B32A1"/>
    <w:rsid w:val="006B37E3"/>
    <w:rsid w:val="006B3F94"/>
    <w:rsid w:val="006B40F3"/>
    <w:rsid w:val="006B44FD"/>
    <w:rsid w:val="006B495A"/>
    <w:rsid w:val="006B4FA3"/>
    <w:rsid w:val="006B5DA1"/>
    <w:rsid w:val="006B6416"/>
    <w:rsid w:val="006B6DD3"/>
    <w:rsid w:val="006B729B"/>
    <w:rsid w:val="006B7368"/>
    <w:rsid w:val="006B74D6"/>
    <w:rsid w:val="006B756C"/>
    <w:rsid w:val="006C05A8"/>
    <w:rsid w:val="006C069D"/>
    <w:rsid w:val="006C10BC"/>
    <w:rsid w:val="006C18B9"/>
    <w:rsid w:val="006C21F1"/>
    <w:rsid w:val="006C267A"/>
    <w:rsid w:val="006C29CC"/>
    <w:rsid w:val="006C2A2B"/>
    <w:rsid w:val="006C3A08"/>
    <w:rsid w:val="006C3A4E"/>
    <w:rsid w:val="006C5250"/>
    <w:rsid w:val="006C5465"/>
    <w:rsid w:val="006C5647"/>
    <w:rsid w:val="006C589E"/>
    <w:rsid w:val="006C6028"/>
    <w:rsid w:val="006C65E9"/>
    <w:rsid w:val="006C6742"/>
    <w:rsid w:val="006C6B14"/>
    <w:rsid w:val="006C6ED5"/>
    <w:rsid w:val="006C70AA"/>
    <w:rsid w:val="006C715F"/>
    <w:rsid w:val="006C73C0"/>
    <w:rsid w:val="006C768A"/>
    <w:rsid w:val="006D0574"/>
    <w:rsid w:val="006D1227"/>
    <w:rsid w:val="006D12BD"/>
    <w:rsid w:val="006D1DFC"/>
    <w:rsid w:val="006D29A7"/>
    <w:rsid w:val="006D3E42"/>
    <w:rsid w:val="006D4098"/>
    <w:rsid w:val="006D4489"/>
    <w:rsid w:val="006D4E57"/>
    <w:rsid w:val="006D5261"/>
    <w:rsid w:val="006D54E1"/>
    <w:rsid w:val="006D5BF1"/>
    <w:rsid w:val="006D6B6D"/>
    <w:rsid w:val="006D6BE3"/>
    <w:rsid w:val="006D74C6"/>
    <w:rsid w:val="006D78EB"/>
    <w:rsid w:val="006E0763"/>
    <w:rsid w:val="006E0B72"/>
    <w:rsid w:val="006E0E25"/>
    <w:rsid w:val="006E0ECB"/>
    <w:rsid w:val="006E1942"/>
    <w:rsid w:val="006E1AC2"/>
    <w:rsid w:val="006E2332"/>
    <w:rsid w:val="006E290F"/>
    <w:rsid w:val="006E2AD4"/>
    <w:rsid w:val="006E3573"/>
    <w:rsid w:val="006E385A"/>
    <w:rsid w:val="006E3AF2"/>
    <w:rsid w:val="006E3F21"/>
    <w:rsid w:val="006E436B"/>
    <w:rsid w:val="006E4A7E"/>
    <w:rsid w:val="006E4C38"/>
    <w:rsid w:val="006E5961"/>
    <w:rsid w:val="006E6053"/>
    <w:rsid w:val="006E6B74"/>
    <w:rsid w:val="006E7AE6"/>
    <w:rsid w:val="006F058C"/>
    <w:rsid w:val="006F0A80"/>
    <w:rsid w:val="006F0D7F"/>
    <w:rsid w:val="006F0DFE"/>
    <w:rsid w:val="006F0F24"/>
    <w:rsid w:val="006F11DA"/>
    <w:rsid w:val="006F1266"/>
    <w:rsid w:val="006F158B"/>
    <w:rsid w:val="006F1F9C"/>
    <w:rsid w:val="006F2288"/>
    <w:rsid w:val="006F2655"/>
    <w:rsid w:val="006F288E"/>
    <w:rsid w:val="006F323A"/>
    <w:rsid w:val="006F3E7C"/>
    <w:rsid w:val="006F44CD"/>
    <w:rsid w:val="006F4762"/>
    <w:rsid w:val="006F4B61"/>
    <w:rsid w:val="006F4C0B"/>
    <w:rsid w:val="006F556B"/>
    <w:rsid w:val="006F5A56"/>
    <w:rsid w:val="006F5A84"/>
    <w:rsid w:val="006F5B78"/>
    <w:rsid w:val="006F60DF"/>
    <w:rsid w:val="006F6A91"/>
    <w:rsid w:val="006F713A"/>
    <w:rsid w:val="006F7969"/>
    <w:rsid w:val="006F79B2"/>
    <w:rsid w:val="006F7A04"/>
    <w:rsid w:val="006F7A67"/>
    <w:rsid w:val="006F7A7D"/>
    <w:rsid w:val="007004B6"/>
    <w:rsid w:val="007005BB"/>
    <w:rsid w:val="00700952"/>
    <w:rsid w:val="00700A5A"/>
    <w:rsid w:val="00700DD4"/>
    <w:rsid w:val="00700ED8"/>
    <w:rsid w:val="007032AD"/>
    <w:rsid w:val="007043C1"/>
    <w:rsid w:val="00704DED"/>
    <w:rsid w:val="0070515F"/>
    <w:rsid w:val="00705465"/>
    <w:rsid w:val="00705AD7"/>
    <w:rsid w:val="00706468"/>
    <w:rsid w:val="0070708E"/>
    <w:rsid w:val="007070DE"/>
    <w:rsid w:val="007074A2"/>
    <w:rsid w:val="00707755"/>
    <w:rsid w:val="00707B83"/>
    <w:rsid w:val="007100C3"/>
    <w:rsid w:val="007103AF"/>
    <w:rsid w:val="0071046C"/>
    <w:rsid w:val="0071065E"/>
    <w:rsid w:val="0071079A"/>
    <w:rsid w:val="007109ED"/>
    <w:rsid w:val="00710A93"/>
    <w:rsid w:val="00710C5D"/>
    <w:rsid w:val="00711022"/>
    <w:rsid w:val="0071112C"/>
    <w:rsid w:val="007125C5"/>
    <w:rsid w:val="00712CAF"/>
    <w:rsid w:val="0071352E"/>
    <w:rsid w:val="007137E4"/>
    <w:rsid w:val="00713C35"/>
    <w:rsid w:val="00713C7D"/>
    <w:rsid w:val="00714673"/>
    <w:rsid w:val="007148C1"/>
    <w:rsid w:val="007149AF"/>
    <w:rsid w:val="007149D7"/>
    <w:rsid w:val="00714A45"/>
    <w:rsid w:val="0071563E"/>
    <w:rsid w:val="007157D4"/>
    <w:rsid w:val="00715BEA"/>
    <w:rsid w:val="00716176"/>
    <w:rsid w:val="00716339"/>
    <w:rsid w:val="00716DD4"/>
    <w:rsid w:val="007173A8"/>
    <w:rsid w:val="00720226"/>
    <w:rsid w:val="00720DE3"/>
    <w:rsid w:val="007214D1"/>
    <w:rsid w:val="00722410"/>
    <w:rsid w:val="00723303"/>
    <w:rsid w:val="007238F3"/>
    <w:rsid w:val="00723D8C"/>
    <w:rsid w:val="00723ED0"/>
    <w:rsid w:val="007248CA"/>
    <w:rsid w:val="00724CB2"/>
    <w:rsid w:val="00724E83"/>
    <w:rsid w:val="00725660"/>
    <w:rsid w:val="00725A80"/>
    <w:rsid w:val="007267D1"/>
    <w:rsid w:val="00726EDC"/>
    <w:rsid w:val="00726F11"/>
    <w:rsid w:val="0072773C"/>
    <w:rsid w:val="0073022E"/>
    <w:rsid w:val="0073024A"/>
    <w:rsid w:val="00731187"/>
    <w:rsid w:val="0073119F"/>
    <w:rsid w:val="00732150"/>
    <w:rsid w:val="007332C6"/>
    <w:rsid w:val="00733442"/>
    <w:rsid w:val="00733DD0"/>
    <w:rsid w:val="0073545C"/>
    <w:rsid w:val="00735804"/>
    <w:rsid w:val="00735C0F"/>
    <w:rsid w:val="0073745C"/>
    <w:rsid w:val="007375B4"/>
    <w:rsid w:val="007376A8"/>
    <w:rsid w:val="00737B12"/>
    <w:rsid w:val="00737E43"/>
    <w:rsid w:val="007405DA"/>
    <w:rsid w:val="00740CD4"/>
    <w:rsid w:val="00740D0C"/>
    <w:rsid w:val="00740D6B"/>
    <w:rsid w:val="00740F4D"/>
    <w:rsid w:val="00741F5E"/>
    <w:rsid w:val="00742AD8"/>
    <w:rsid w:val="007431F3"/>
    <w:rsid w:val="00743732"/>
    <w:rsid w:val="0074385F"/>
    <w:rsid w:val="00743973"/>
    <w:rsid w:val="00743BC4"/>
    <w:rsid w:val="00744559"/>
    <w:rsid w:val="00744E2C"/>
    <w:rsid w:val="00744F8D"/>
    <w:rsid w:val="0074533F"/>
    <w:rsid w:val="00745E02"/>
    <w:rsid w:val="007466B5"/>
    <w:rsid w:val="00746B14"/>
    <w:rsid w:val="00747147"/>
    <w:rsid w:val="00747257"/>
    <w:rsid w:val="0074793C"/>
    <w:rsid w:val="00747ADE"/>
    <w:rsid w:val="00747B7A"/>
    <w:rsid w:val="00747CF8"/>
    <w:rsid w:val="007504F7"/>
    <w:rsid w:val="00750932"/>
    <w:rsid w:val="00750A42"/>
    <w:rsid w:val="00750D01"/>
    <w:rsid w:val="00750DA7"/>
    <w:rsid w:val="007514CA"/>
    <w:rsid w:val="007515FF"/>
    <w:rsid w:val="00751850"/>
    <w:rsid w:val="007523F4"/>
    <w:rsid w:val="00752450"/>
    <w:rsid w:val="00752F10"/>
    <w:rsid w:val="00752F1F"/>
    <w:rsid w:val="00753A3F"/>
    <w:rsid w:val="00753BA4"/>
    <w:rsid w:val="00753C1B"/>
    <w:rsid w:val="00754ABF"/>
    <w:rsid w:val="00755825"/>
    <w:rsid w:val="007558F6"/>
    <w:rsid w:val="007562A4"/>
    <w:rsid w:val="00757E74"/>
    <w:rsid w:val="0076113C"/>
    <w:rsid w:val="007612A3"/>
    <w:rsid w:val="007613C6"/>
    <w:rsid w:val="0076199B"/>
    <w:rsid w:val="007619E6"/>
    <w:rsid w:val="00761E38"/>
    <w:rsid w:val="00762162"/>
    <w:rsid w:val="00762518"/>
    <w:rsid w:val="007627B9"/>
    <w:rsid w:val="00762B67"/>
    <w:rsid w:val="0076360B"/>
    <w:rsid w:val="00763A33"/>
    <w:rsid w:val="00763E7F"/>
    <w:rsid w:val="00764051"/>
    <w:rsid w:val="00764300"/>
    <w:rsid w:val="0076434A"/>
    <w:rsid w:val="00765078"/>
    <w:rsid w:val="0076565E"/>
    <w:rsid w:val="00765887"/>
    <w:rsid w:val="00765DF2"/>
    <w:rsid w:val="00765EF2"/>
    <w:rsid w:val="00766303"/>
    <w:rsid w:val="007666BC"/>
    <w:rsid w:val="0076689C"/>
    <w:rsid w:val="00766E7B"/>
    <w:rsid w:val="00766F45"/>
    <w:rsid w:val="00767C76"/>
    <w:rsid w:val="00767EED"/>
    <w:rsid w:val="007704EA"/>
    <w:rsid w:val="00770EEC"/>
    <w:rsid w:val="0077140B"/>
    <w:rsid w:val="007717C2"/>
    <w:rsid w:val="0077304E"/>
    <w:rsid w:val="00773CEA"/>
    <w:rsid w:val="007742CC"/>
    <w:rsid w:val="007745DD"/>
    <w:rsid w:val="00775836"/>
    <w:rsid w:val="00775E75"/>
    <w:rsid w:val="007760B6"/>
    <w:rsid w:val="007763D3"/>
    <w:rsid w:val="00776C1A"/>
    <w:rsid w:val="00776DAA"/>
    <w:rsid w:val="0077734E"/>
    <w:rsid w:val="00780630"/>
    <w:rsid w:val="007811AD"/>
    <w:rsid w:val="00781251"/>
    <w:rsid w:val="007814FC"/>
    <w:rsid w:val="007821B1"/>
    <w:rsid w:val="007828CC"/>
    <w:rsid w:val="00782EE4"/>
    <w:rsid w:val="00783058"/>
    <w:rsid w:val="0078394F"/>
    <w:rsid w:val="00783A73"/>
    <w:rsid w:val="00784025"/>
    <w:rsid w:val="00784512"/>
    <w:rsid w:val="00784B52"/>
    <w:rsid w:val="007852F5"/>
    <w:rsid w:val="007853B0"/>
    <w:rsid w:val="007862E5"/>
    <w:rsid w:val="007867B6"/>
    <w:rsid w:val="00786D80"/>
    <w:rsid w:val="00787AA6"/>
    <w:rsid w:val="00787E00"/>
    <w:rsid w:val="00787FC7"/>
    <w:rsid w:val="00790AE0"/>
    <w:rsid w:val="00791059"/>
    <w:rsid w:val="007915CD"/>
    <w:rsid w:val="00791B93"/>
    <w:rsid w:val="00791F2D"/>
    <w:rsid w:val="007921BB"/>
    <w:rsid w:val="00792C15"/>
    <w:rsid w:val="00794587"/>
    <w:rsid w:val="00795960"/>
    <w:rsid w:val="0079658E"/>
    <w:rsid w:val="0079659E"/>
    <w:rsid w:val="007968D1"/>
    <w:rsid w:val="00796AAD"/>
    <w:rsid w:val="00796B46"/>
    <w:rsid w:val="007971DB"/>
    <w:rsid w:val="0079732E"/>
    <w:rsid w:val="00797330"/>
    <w:rsid w:val="00797581"/>
    <w:rsid w:val="007977E1"/>
    <w:rsid w:val="00797E46"/>
    <w:rsid w:val="007A0035"/>
    <w:rsid w:val="007A04CB"/>
    <w:rsid w:val="007A054E"/>
    <w:rsid w:val="007A06E9"/>
    <w:rsid w:val="007A082C"/>
    <w:rsid w:val="007A08D6"/>
    <w:rsid w:val="007A0A99"/>
    <w:rsid w:val="007A0E26"/>
    <w:rsid w:val="007A0F55"/>
    <w:rsid w:val="007A1207"/>
    <w:rsid w:val="007A19C2"/>
    <w:rsid w:val="007A1B15"/>
    <w:rsid w:val="007A2107"/>
    <w:rsid w:val="007A2720"/>
    <w:rsid w:val="007A2E6B"/>
    <w:rsid w:val="007A3044"/>
    <w:rsid w:val="007A3306"/>
    <w:rsid w:val="007A433A"/>
    <w:rsid w:val="007A61DF"/>
    <w:rsid w:val="007A6629"/>
    <w:rsid w:val="007A68D8"/>
    <w:rsid w:val="007A6CBF"/>
    <w:rsid w:val="007A71F0"/>
    <w:rsid w:val="007A74EA"/>
    <w:rsid w:val="007A77F8"/>
    <w:rsid w:val="007A7EB5"/>
    <w:rsid w:val="007B0341"/>
    <w:rsid w:val="007B04A2"/>
    <w:rsid w:val="007B0790"/>
    <w:rsid w:val="007B0E66"/>
    <w:rsid w:val="007B0F1E"/>
    <w:rsid w:val="007B1108"/>
    <w:rsid w:val="007B12E6"/>
    <w:rsid w:val="007B1652"/>
    <w:rsid w:val="007B1C11"/>
    <w:rsid w:val="007B1F00"/>
    <w:rsid w:val="007B21DE"/>
    <w:rsid w:val="007B2599"/>
    <w:rsid w:val="007B28C7"/>
    <w:rsid w:val="007B2A20"/>
    <w:rsid w:val="007B2A84"/>
    <w:rsid w:val="007B322C"/>
    <w:rsid w:val="007B3E21"/>
    <w:rsid w:val="007B404C"/>
    <w:rsid w:val="007B425B"/>
    <w:rsid w:val="007B5C86"/>
    <w:rsid w:val="007B646B"/>
    <w:rsid w:val="007B6BB8"/>
    <w:rsid w:val="007B7472"/>
    <w:rsid w:val="007C0684"/>
    <w:rsid w:val="007C0CC5"/>
    <w:rsid w:val="007C156A"/>
    <w:rsid w:val="007C1CC8"/>
    <w:rsid w:val="007C20DE"/>
    <w:rsid w:val="007C25A9"/>
    <w:rsid w:val="007C2D75"/>
    <w:rsid w:val="007C40E0"/>
    <w:rsid w:val="007C456E"/>
    <w:rsid w:val="007C46A7"/>
    <w:rsid w:val="007C4C3C"/>
    <w:rsid w:val="007C5145"/>
    <w:rsid w:val="007C53D5"/>
    <w:rsid w:val="007C7388"/>
    <w:rsid w:val="007C7633"/>
    <w:rsid w:val="007C7999"/>
    <w:rsid w:val="007D1326"/>
    <w:rsid w:val="007D1DE8"/>
    <w:rsid w:val="007D23E3"/>
    <w:rsid w:val="007D2E5B"/>
    <w:rsid w:val="007D3A12"/>
    <w:rsid w:val="007D3D67"/>
    <w:rsid w:val="007D40E9"/>
    <w:rsid w:val="007D4107"/>
    <w:rsid w:val="007D4312"/>
    <w:rsid w:val="007D44B6"/>
    <w:rsid w:val="007D4CC8"/>
    <w:rsid w:val="007D577C"/>
    <w:rsid w:val="007D61B0"/>
    <w:rsid w:val="007D66BA"/>
    <w:rsid w:val="007D6988"/>
    <w:rsid w:val="007D6A73"/>
    <w:rsid w:val="007D7917"/>
    <w:rsid w:val="007D7CED"/>
    <w:rsid w:val="007E00E6"/>
    <w:rsid w:val="007E0181"/>
    <w:rsid w:val="007E03E2"/>
    <w:rsid w:val="007E09E5"/>
    <w:rsid w:val="007E0F23"/>
    <w:rsid w:val="007E1763"/>
    <w:rsid w:val="007E1A6A"/>
    <w:rsid w:val="007E1DEF"/>
    <w:rsid w:val="007E1EE4"/>
    <w:rsid w:val="007E1FF4"/>
    <w:rsid w:val="007E2BAF"/>
    <w:rsid w:val="007E2D32"/>
    <w:rsid w:val="007E2E18"/>
    <w:rsid w:val="007E2FFF"/>
    <w:rsid w:val="007E3D79"/>
    <w:rsid w:val="007E4138"/>
    <w:rsid w:val="007E4907"/>
    <w:rsid w:val="007E4BAF"/>
    <w:rsid w:val="007E4FF0"/>
    <w:rsid w:val="007E50F2"/>
    <w:rsid w:val="007E5221"/>
    <w:rsid w:val="007E5C70"/>
    <w:rsid w:val="007E5D57"/>
    <w:rsid w:val="007E5F5A"/>
    <w:rsid w:val="007E6274"/>
    <w:rsid w:val="007E6336"/>
    <w:rsid w:val="007E64A3"/>
    <w:rsid w:val="007E6761"/>
    <w:rsid w:val="007E6846"/>
    <w:rsid w:val="007E6F50"/>
    <w:rsid w:val="007E719C"/>
    <w:rsid w:val="007E78C3"/>
    <w:rsid w:val="007F02FE"/>
    <w:rsid w:val="007F046E"/>
    <w:rsid w:val="007F056F"/>
    <w:rsid w:val="007F09E2"/>
    <w:rsid w:val="007F1D63"/>
    <w:rsid w:val="007F202A"/>
    <w:rsid w:val="007F2DDB"/>
    <w:rsid w:val="007F3046"/>
    <w:rsid w:val="007F3585"/>
    <w:rsid w:val="007F4015"/>
    <w:rsid w:val="007F544C"/>
    <w:rsid w:val="007F564F"/>
    <w:rsid w:val="007F6247"/>
    <w:rsid w:val="007F6388"/>
    <w:rsid w:val="007F6E05"/>
    <w:rsid w:val="007F6EF0"/>
    <w:rsid w:val="007F7604"/>
    <w:rsid w:val="00800B25"/>
    <w:rsid w:val="00800C4C"/>
    <w:rsid w:val="008011A8"/>
    <w:rsid w:val="00801BD9"/>
    <w:rsid w:val="00802C19"/>
    <w:rsid w:val="00803095"/>
    <w:rsid w:val="0080357C"/>
    <w:rsid w:val="0080440C"/>
    <w:rsid w:val="008048AF"/>
    <w:rsid w:val="00804A1C"/>
    <w:rsid w:val="00804A54"/>
    <w:rsid w:val="00805634"/>
    <w:rsid w:val="00805D27"/>
    <w:rsid w:val="00805F0F"/>
    <w:rsid w:val="008061D6"/>
    <w:rsid w:val="0080649B"/>
    <w:rsid w:val="00806B24"/>
    <w:rsid w:val="00806BC4"/>
    <w:rsid w:val="00807139"/>
    <w:rsid w:val="00807D6A"/>
    <w:rsid w:val="00807DBA"/>
    <w:rsid w:val="00810241"/>
    <w:rsid w:val="00811131"/>
    <w:rsid w:val="0081158B"/>
    <w:rsid w:val="00811722"/>
    <w:rsid w:val="00811CD0"/>
    <w:rsid w:val="00811E98"/>
    <w:rsid w:val="00811EB2"/>
    <w:rsid w:val="008127BF"/>
    <w:rsid w:val="0081332F"/>
    <w:rsid w:val="0081362A"/>
    <w:rsid w:val="00813D72"/>
    <w:rsid w:val="008149D3"/>
    <w:rsid w:val="0081536A"/>
    <w:rsid w:val="00815665"/>
    <w:rsid w:val="00815BA5"/>
    <w:rsid w:val="00815E32"/>
    <w:rsid w:val="00815EC4"/>
    <w:rsid w:val="008165CA"/>
    <w:rsid w:val="008167BF"/>
    <w:rsid w:val="00816D5E"/>
    <w:rsid w:val="00817B47"/>
    <w:rsid w:val="00817D4A"/>
    <w:rsid w:val="00817DD8"/>
    <w:rsid w:val="008211D8"/>
    <w:rsid w:val="00821641"/>
    <w:rsid w:val="008223CE"/>
    <w:rsid w:val="00823131"/>
    <w:rsid w:val="0082357E"/>
    <w:rsid w:val="00823620"/>
    <w:rsid w:val="00823E35"/>
    <w:rsid w:val="00824A61"/>
    <w:rsid w:val="00824BE2"/>
    <w:rsid w:val="00825021"/>
    <w:rsid w:val="0082522A"/>
    <w:rsid w:val="00825436"/>
    <w:rsid w:val="008258D4"/>
    <w:rsid w:val="00825AE0"/>
    <w:rsid w:val="00825F3C"/>
    <w:rsid w:val="008276E0"/>
    <w:rsid w:val="008277BE"/>
    <w:rsid w:val="00827AC1"/>
    <w:rsid w:val="00827CF3"/>
    <w:rsid w:val="00827F8B"/>
    <w:rsid w:val="00827FB9"/>
    <w:rsid w:val="00830391"/>
    <w:rsid w:val="008315F6"/>
    <w:rsid w:val="00832A13"/>
    <w:rsid w:val="008331B4"/>
    <w:rsid w:val="0083339E"/>
    <w:rsid w:val="00834007"/>
    <w:rsid w:val="00834C32"/>
    <w:rsid w:val="00834EFD"/>
    <w:rsid w:val="00835107"/>
    <w:rsid w:val="00835137"/>
    <w:rsid w:val="008357A2"/>
    <w:rsid w:val="00835AA2"/>
    <w:rsid w:val="00835B0E"/>
    <w:rsid w:val="008361A3"/>
    <w:rsid w:val="0083662E"/>
    <w:rsid w:val="00837077"/>
    <w:rsid w:val="008371DB"/>
    <w:rsid w:val="008402A6"/>
    <w:rsid w:val="00840B37"/>
    <w:rsid w:val="00840BDA"/>
    <w:rsid w:val="00840FF8"/>
    <w:rsid w:val="00841510"/>
    <w:rsid w:val="00841A88"/>
    <w:rsid w:val="00841FBE"/>
    <w:rsid w:val="00841FCA"/>
    <w:rsid w:val="008422A1"/>
    <w:rsid w:val="00842317"/>
    <w:rsid w:val="00842E36"/>
    <w:rsid w:val="00843178"/>
    <w:rsid w:val="00843D4C"/>
    <w:rsid w:val="008444DC"/>
    <w:rsid w:val="00845320"/>
    <w:rsid w:val="00845ABA"/>
    <w:rsid w:val="00846160"/>
    <w:rsid w:val="0084644C"/>
    <w:rsid w:val="0084689C"/>
    <w:rsid w:val="00846BA3"/>
    <w:rsid w:val="00847455"/>
    <w:rsid w:val="00847856"/>
    <w:rsid w:val="0085094F"/>
    <w:rsid w:val="00852BEE"/>
    <w:rsid w:val="00853800"/>
    <w:rsid w:val="00853BF6"/>
    <w:rsid w:val="008543A2"/>
    <w:rsid w:val="00854495"/>
    <w:rsid w:val="00854C3A"/>
    <w:rsid w:val="00854CF5"/>
    <w:rsid w:val="0085513C"/>
    <w:rsid w:val="008556FC"/>
    <w:rsid w:val="008562E1"/>
    <w:rsid w:val="00856463"/>
    <w:rsid w:val="00856636"/>
    <w:rsid w:val="0085746C"/>
    <w:rsid w:val="008574F3"/>
    <w:rsid w:val="0085799E"/>
    <w:rsid w:val="008600A1"/>
    <w:rsid w:val="0086027C"/>
    <w:rsid w:val="008609AC"/>
    <w:rsid w:val="00860A0E"/>
    <w:rsid w:val="008611E8"/>
    <w:rsid w:val="0086139E"/>
    <w:rsid w:val="00861A78"/>
    <w:rsid w:val="00861CDB"/>
    <w:rsid w:val="00861DAB"/>
    <w:rsid w:val="00862182"/>
    <w:rsid w:val="008622C9"/>
    <w:rsid w:val="00862587"/>
    <w:rsid w:val="0086276C"/>
    <w:rsid w:val="008629D3"/>
    <w:rsid w:val="00862D89"/>
    <w:rsid w:val="00862F2B"/>
    <w:rsid w:val="008637D1"/>
    <w:rsid w:val="00863955"/>
    <w:rsid w:val="00863991"/>
    <w:rsid w:val="00863A9F"/>
    <w:rsid w:val="008642D6"/>
    <w:rsid w:val="00864801"/>
    <w:rsid w:val="008653A2"/>
    <w:rsid w:val="0086582F"/>
    <w:rsid w:val="00865CAE"/>
    <w:rsid w:val="00866021"/>
    <w:rsid w:val="0086615C"/>
    <w:rsid w:val="00866C6C"/>
    <w:rsid w:val="008700A5"/>
    <w:rsid w:val="008706E1"/>
    <w:rsid w:val="008709DA"/>
    <w:rsid w:val="0087138E"/>
    <w:rsid w:val="00871A16"/>
    <w:rsid w:val="00871A57"/>
    <w:rsid w:val="008727A9"/>
    <w:rsid w:val="008729ED"/>
    <w:rsid w:val="00872CB3"/>
    <w:rsid w:val="00873199"/>
    <w:rsid w:val="0087349D"/>
    <w:rsid w:val="00873CA6"/>
    <w:rsid w:val="0087414F"/>
    <w:rsid w:val="00874220"/>
    <w:rsid w:val="00874BF3"/>
    <w:rsid w:val="00875984"/>
    <w:rsid w:val="0087646B"/>
    <w:rsid w:val="00877330"/>
    <w:rsid w:val="0087763A"/>
    <w:rsid w:val="0088037A"/>
    <w:rsid w:val="00880EA7"/>
    <w:rsid w:val="008815EF"/>
    <w:rsid w:val="008816BE"/>
    <w:rsid w:val="00881722"/>
    <w:rsid w:val="0088186F"/>
    <w:rsid w:val="00882187"/>
    <w:rsid w:val="0088230B"/>
    <w:rsid w:val="008827ED"/>
    <w:rsid w:val="00882A20"/>
    <w:rsid w:val="00882C3D"/>
    <w:rsid w:val="00882DA0"/>
    <w:rsid w:val="008830F0"/>
    <w:rsid w:val="008836A1"/>
    <w:rsid w:val="008836AE"/>
    <w:rsid w:val="00883AA9"/>
    <w:rsid w:val="00884AD2"/>
    <w:rsid w:val="00884FF8"/>
    <w:rsid w:val="008851D4"/>
    <w:rsid w:val="00885438"/>
    <w:rsid w:val="00885E23"/>
    <w:rsid w:val="008862AC"/>
    <w:rsid w:val="0088636D"/>
    <w:rsid w:val="0088715C"/>
    <w:rsid w:val="008873F1"/>
    <w:rsid w:val="00887B68"/>
    <w:rsid w:val="00887FC6"/>
    <w:rsid w:val="00890B76"/>
    <w:rsid w:val="008929FB"/>
    <w:rsid w:val="00892DC8"/>
    <w:rsid w:val="008932AE"/>
    <w:rsid w:val="00893C19"/>
    <w:rsid w:val="00893D5A"/>
    <w:rsid w:val="00894E6F"/>
    <w:rsid w:val="00895840"/>
    <w:rsid w:val="00896B1F"/>
    <w:rsid w:val="00896EFE"/>
    <w:rsid w:val="008970AB"/>
    <w:rsid w:val="00897175"/>
    <w:rsid w:val="008972CC"/>
    <w:rsid w:val="008974B2"/>
    <w:rsid w:val="00897D85"/>
    <w:rsid w:val="008A048E"/>
    <w:rsid w:val="008A049C"/>
    <w:rsid w:val="008A09E7"/>
    <w:rsid w:val="008A0CE2"/>
    <w:rsid w:val="008A195D"/>
    <w:rsid w:val="008A1BC5"/>
    <w:rsid w:val="008A1E11"/>
    <w:rsid w:val="008A21FE"/>
    <w:rsid w:val="008A2EF1"/>
    <w:rsid w:val="008A4150"/>
    <w:rsid w:val="008A4E61"/>
    <w:rsid w:val="008A50E2"/>
    <w:rsid w:val="008A5134"/>
    <w:rsid w:val="008A5CCF"/>
    <w:rsid w:val="008A5D1E"/>
    <w:rsid w:val="008A61C6"/>
    <w:rsid w:val="008A7096"/>
    <w:rsid w:val="008A77AD"/>
    <w:rsid w:val="008A7E3A"/>
    <w:rsid w:val="008B005F"/>
    <w:rsid w:val="008B08EE"/>
    <w:rsid w:val="008B191A"/>
    <w:rsid w:val="008B1994"/>
    <w:rsid w:val="008B23A7"/>
    <w:rsid w:val="008B2456"/>
    <w:rsid w:val="008B296F"/>
    <w:rsid w:val="008B29D0"/>
    <w:rsid w:val="008B3050"/>
    <w:rsid w:val="008B3354"/>
    <w:rsid w:val="008B3383"/>
    <w:rsid w:val="008B4076"/>
    <w:rsid w:val="008B5C7B"/>
    <w:rsid w:val="008B5FA5"/>
    <w:rsid w:val="008B60A0"/>
    <w:rsid w:val="008B66A7"/>
    <w:rsid w:val="008B6C2E"/>
    <w:rsid w:val="008B6D7B"/>
    <w:rsid w:val="008B788A"/>
    <w:rsid w:val="008B7BD2"/>
    <w:rsid w:val="008C1130"/>
    <w:rsid w:val="008C11D8"/>
    <w:rsid w:val="008C1775"/>
    <w:rsid w:val="008C1B1B"/>
    <w:rsid w:val="008C1D43"/>
    <w:rsid w:val="008C2905"/>
    <w:rsid w:val="008C29BF"/>
    <w:rsid w:val="008C2FA8"/>
    <w:rsid w:val="008C313A"/>
    <w:rsid w:val="008C3754"/>
    <w:rsid w:val="008C377F"/>
    <w:rsid w:val="008C38B4"/>
    <w:rsid w:val="008C3B13"/>
    <w:rsid w:val="008C3EF5"/>
    <w:rsid w:val="008C3F32"/>
    <w:rsid w:val="008C43F8"/>
    <w:rsid w:val="008C4B98"/>
    <w:rsid w:val="008C4E03"/>
    <w:rsid w:val="008C548C"/>
    <w:rsid w:val="008C5FD0"/>
    <w:rsid w:val="008C7065"/>
    <w:rsid w:val="008C7749"/>
    <w:rsid w:val="008C7B4B"/>
    <w:rsid w:val="008D07C7"/>
    <w:rsid w:val="008D086D"/>
    <w:rsid w:val="008D0997"/>
    <w:rsid w:val="008D136C"/>
    <w:rsid w:val="008D162A"/>
    <w:rsid w:val="008D1CD1"/>
    <w:rsid w:val="008D22BA"/>
    <w:rsid w:val="008D2C43"/>
    <w:rsid w:val="008D31F1"/>
    <w:rsid w:val="008D356F"/>
    <w:rsid w:val="008D4133"/>
    <w:rsid w:val="008D45AC"/>
    <w:rsid w:val="008D4A32"/>
    <w:rsid w:val="008D4C15"/>
    <w:rsid w:val="008D55C8"/>
    <w:rsid w:val="008D5761"/>
    <w:rsid w:val="008D67E6"/>
    <w:rsid w:val="008D6B7C"/>
    <w:rsid w:val="008D713C"/>
    <w:rsid w:val="008D75AF"/>
    <w:rsid w:val="008E0575"/>
    <w:rsid w:val="008E061D"/>
    <w:rsid w:val="008E0E05"/>
    <w:rsid w:val="008E13E5"/>
    <w:rsid w:val="008E175F"/>
    <w:rsid w:val="008E29DE"/>
    <w:rsid w:val="008E2C47"/>
    <w:rsid w:val="008E3A12"/>
    <w:rsid w:val="008E4460"/>
    <w:rsid w:val="008E4F09"/>
    <w:rsid w:val="008E53AD"/>
    <w:rsid w:val="008E5CBF"/>
    <w:rsid w:val="008E612F"/>
    <w:rsid w:val="008E70AD"/>
    <w:rsid w:val="008E70CA"/>
    <w:rsid w:val="008E73DC"/>
    <w:rsid w:val="008E75DA"/>
    <w:rsid w:val="008E77B5"/>
    <w:rsid w:val="008E7E4C"/>
    <w:rsid w:val="008F00BD"/>
    <w:rsid w:val="008F18D3"/>
    <w:rsid w:val="008F1D3D"/>
    <w:rsid w:val="008F1F7E"/>
    <w:rsid w:val="008F26D1"/>
    <w:rsid w:val="008F26E6"/>
    <w:rsid w:val="008F2FB6"/>
    <w:rsid w:val="008F4229"/>
    <w:rsid w:val="008F4E0D"/>
    <w:rsid w:val="008F4FEF"/>
    <w:rsid w:val="008F5935"/>
    <w:rsid w:val="008F5B10"/>
    <w:rsid w:val="008F5E12"/>
    <w:rsid w:val="008F5E9A"/>
    <w:rsid w:val="008F5F01"/>
    <w:rsid w:val="008F61A4"/>
    <w:rsid w:val="008F687F"/>
    <w:rsid w:val="009005CD"/>
    <w:rsid w:val="00900C23"/>
    <w:rsid w:val="00900D3E"/>
    <w:rsid w:val="009010C0"/>
    <w:rsid w:val="009021F7"/>
    <w:rsid w:val="00902693"/>
    <w:rsid w:val="00902A5B"/>
    <w:rsid w:val="00903055"/>
    <w:rsid w:val="009031AA"/>
    <w:rsid w:val="00903230"/>
    <w:rsid w:val="0090455E"/>
    <w:rsid w:val="00904895"/>
    <w:rsid w:val="0090494D"/>
    <w:rsid w:val="00904E2F"/>
    <w:rsid w:val="00905109"/>
    <w:rsid w:val="0090515E"/>
    <w:rsid w:val="00905665"/>
    <w:rsid w:val="00905856"/>
    <w:rsid w:val="00905A2C"/>
    <w:rsid w:val="00905A85"/>
    <w:rsid w:val="00905E3E"/>
    <w:rsid w:val="0090662E"/>
    <w:rsid w:val="0090665A"/>
    <w:rsid w:val="00906A7E"/>
    <w:rsid w:val="00906C92"/>
    <w:rsid w:val="00906D59"/>
    <w:rsid w:val="0090756E"/>
    <w:rsid w:val="009101B2"/>
    <w:rsid w:val="00910578"/>
    <w:rsid w:val="009106F4"/>
    <w:rsid w:val="009110E1"/>
    <w:rsid w:val="00911144"/>
    <w:rsid w:val="00911916"/>
    <w:rsid w:val="0091208F"/>
    <w:rsid w:val="009129B3"/>
    <w:rsid w:val="009134CB"/>
    <w:rsid w:val="009139A3"/>
    <w:rsid w:val="00913C03"/>
    <w:rsid w:val="009145F0"/>
    <w:rsid w:val="009147E7"/>
    <w:rsid w:val="00914824"/>
    <w:rsid w:val="009153E4"/>
    <w:rsid w:val="0091677A"/>
    <w:rsid w:val="009168EF"/>
    <w:rsid w:val="00916CE8"/>
    <w:rsid w:val="00916EBE"/>
    <w:rsid w:val="0091735B"/>
    <w:rsid w:val="0091786B"/>
    <w:rsid w:val="00920003"/>
    <w:rsid w:val="009205C6"/>
    <w:rsid w:val="009206B6"/>
    <w:rsid w:val="009210EE"/>
    <w:rsid w:val="00921271"/>
    <w:rsid w:val="009216E6"/>
    <w:rsid w:val="009218FD"/>
    <w:rsid w:val="009228C6"/>
    <w:rsid w:val="00922A8D"/>
    <w:rsid w:val="00922DF6"/>
    <w:rsid w:val="00922FA5"/>
    <w:rsid w:val="009232A6"/>
    <w:rsid w:val="00923463"/>
    <w:rsid w:val="009246AD"/>
    <w:rsid w:val="00924D0B"/>
    <w:rsid w:val="00924E37"/>
    <w:rsid w:val="00925F88"/>
    <w:rsid w:val="00926065"/>
    <w:rsid w:val="00930014"/>
    <w:rsid w:val="009300B1"/>
    <w:rsid w:val="0093025D"/>
    <w:rsid w:val="0093041D"/>
    <w:rsid w:val="009308C9"/>
    <w:rsid w:val="00930D12"/>
    <w:rsid w:val="0093191B"/>
    <w:rsid w:val="00931DE2"/>
    <w:rsid w:val="00931E17"/>
    <w:rsid w:val="00931F36"/>
    <w:rsid w:val="00932575"/>
    <w:rsid w:val="00932590"/>
    <w:rsid w:val="00932673"/>
    <w:rsid w:val="0093308D"/>
    <w:rsid w:val="009340E1"/>
    <w:rsid w:val="00934139"/>
    <w:rsid w:val="00934189"/>
    <w:rsid w:val="00934289"/>
    <w:rsid w:val="00934DB9"/>
    <w:rsid w:val="00935402"/>
    <w:rsid w:val="009364CE"/>
    <w:rsid w:val="009365A4"/>
    <w:rsid w:val="009404CD"/>
    <w:rsid w:val="00940542"/>
    <w:rsid w:val="00940550"/>
    <w:rsid w:val="0094086B"/>
    <w:rsid w:val="00940D72"/>
    <w:rsid w:val="00941008"/>
    <w:rsid w:val="00942045"/>
    <w:rsid w:val="009426DF"/>
    <w:rsid w:val="00942C3B"/>
    <w:rsid w:val="0094314A"/>
    <w:rsid w:val="00943299"/>
    <w:rsid w:val="00943D8C"/>
    <w:rsid w:val="00944031"/>
    <w:rsid w:val="00944AB6"/>
    <w:rsid w:val="00945298"/>
    <w:rsid w:val="00945B3C"/>
    <w:rsid w:val="0094650A"/>
    <w:rsid w:val="00946601"/>
    <w:rsid w:val="00946872"/>
    <w:rsid w:val="009468E0"/>
    <w:rsid w:val="00946A40"/>
    <w:rsid w:val="00946CB6"/>
    <w:rsid w:val="00947225"/>
    <w:rsid w:val="00947514"/>
    <w:rsid w:val="00947A34"/>
    <w:rsid w:val="00952454"/>
    <w:rsid w:val="009524B0"/>
    <w:rsid w:val="0095313B"/>
    <w:rsid w:val="00953E62"/>
    <w:rsid w:val="00954464"/>
    <w:rsid w:val="009545E5"/>
    <w:rsid w:val="0095477A"/>
    <w:rsid w:val="00954BB4"/>
    <w:rsid w:val="00954DCF"/>
    <w:rsid w:val="00955066"/>
    <w:rsid w:val="0095571B"/>
    <w:rsid w:val="00955FCF"/>
    <w:rsid w:val="00956AE6"/>
    <w:rsid w:val="00957B93"/>
    <w:rsid w:val="00957E2F"/>
    <w:rsid w:val="009602DC"/>
    <w:rsid w:val="009608A2"/>
    <w:rsid w:val="00960931"/>
    <w:rsid w:val="00961071"/>
    <w:rsid w:val="0096151E"/>
    <w:rsid w:val="00961BBC"/>
    <w:rsid w:val="0096215A"/>
    <w:rsid w:val="0096229E"/>
    <w:rsid w:val="00962437"/>
    <w:rsid w:val="009624AD"/>
    <w:rsid w:val="009628FA"/>
    <w:rsid w:val="00962A99"/>
    <w:rsid w:val="00964CFF"/>
    <w:rsid w:val="00964E0F"/>
    <w:rsid w:val="00966B3D"/>
    <w:rsid w:val="00967248"/>
    <w:rsid w:val="00967620"/>
    <w:rsid w:val="009678A5"/>
    <w:rsid w:val="00967F7A"/>
    <w:rsid w:val="00970860"/>
    <w:rsid w:val="009710B6"/>
    <w:rsid w:val="00971324"/>
    <w:rsid w:val="00971653"/>
    <w:rsid w:val="00972292"/>
    <w:rsid w:val="00972831"/>
    <w:rsid w:val="0097413D"/>
    <w:rsid w:val="009742D6"/>
    <w:rsid w:val="00974CDB"/>
    <w:rsid w:val="0097509D"/>
    <w:rsid w:val="0097542E"/>
    <w:rsid w:val="009757FE"/>
    <w:rsid w:val="00975FB2"/>
    <w:rsid w:val="00976D0B"/>
    <w:rsid w:val="00977413"/>
    <w:rsid w:val="00977514"/>
    <w:rsid w:val="00977B3B"/>
    <w:rsid w:val="009801A2"/>
    <w:rsid w:val="00980D95"/>
    <w:rsid w:val="009814F7"/>
    <w:rsid w:val="00981F48"/>
    <w:rsid w:val="00982C37"/>
    <w:rsid w:val="00982F36"/>
    <w:rsid w:val="0098336E"/>
    <w:rsid w:val="009833A3"/>
    <w:rsid w:val="009837DD"/>
    <w:rsid w:val="00983904"/>
    <w:rsid w:val="009840B6"/>
    <w:rsid w:val="0098419B"/>
    <w:rsid w:val="0098492B"/>
    <w:rsid w:val="00984DED"/>
    <w:rsid w:val="00985450"/>
    <w:rsid w:val="00985F13"/>
    <w:rsid w:val="0098610B"/>
    <w:rsid w:val="00986231"/>
    <w:rsid w:val="00986363"/>
    <w:rsid w:val="00986568"/>
    <w:rsid w:val="009865D8"/>
    <w:rsid w:val="009866D5"/>
    <w:rsid w:val="0098670A"/>
    <w:rsid w:val="009868DA"/>
    <w:rsid w:val="00986AF1"/>
    <w:rsid w:val="00986ECE"/>
    <w:rsid w:val="00986F99"/>
    <w:rsid w:val="0098783B"/>
    <w:rsid w:val="00987A6F"/>
    <w:rsid w:val="009907AF"/>
    <w:rsid w:val="00991C86"/>
    <w:rsid w:val="00991FE7"/>
    <w:rsid w:val="00992328"/>
    <w:rsid w:val="009925AD"/>
    <w:rsid w:val="0099299A"/>
    <w:rsid w:val="00992A10"/>
    <w:rsid w:val="009949C9"/>
    <w:rsid w:val="0099582E"/>
    <w:rsid w:val="00995A6C"/>
    <w:rsid w:val="00995D9A"/>
    <w:rsid w:val="009961AE"/>
    <w:rsid w:val="0099648A"/>
    <w:rsid w:val="00996DEB"/>
    <w:rsid w:val="009972F9"/>
    <w:rsid w:val="009977C6"/>
    <w:rsid w:val="00997C9A"/>
    <w:rsid w:val="009A05DD"/>
    <w:rsid w:val="009A0833"/>
    <w:rsid w:val="009A0AD4"/>
    <w:rsid w:val="009A1995"/>
    <w:rsid w:val="009A1A30"/>
    <w:rsid w:val="009A1E9F"/>
    <w:rsid w:val="009A2972"/>
    <w:rsid w:val="009A33BA"/>
    <w:rsid w:val="009A397E"/>
    <w:rsid w:val="009A3DA8"/>
    <w:rsid w:val="009A40E5"/>
    <w:rsid w:val="009A484E"/>
    <w:rsid w:val="009A4E6F"/>
    <w:rsid w:val="009A4F9A"/>
    <w:rsid w:val="009A5C05"/>
    <w:rsid w:val="009A5EDD"/>
    <w:rsid w:val="009A61C4"/>
    <w:rsid w:val="009A644C"/>
    <w:rsid w:val="009A6E91"/>
    <w:rsid w:val="009A769D"/>
    <w:rsid w:val="009B0DAA"/>
    <w:rsid w:val="009B12A1"/>
    <w:rsid w:val="009B1615"/>
    <w:rsid w:val="009B1C17"/>
    <w:rsid w:val="009B1CC7"/>
    <w:rsid w:val="009B2006"/>
    <w:rsid w:val="009B245A"/>
    <w:rsid w:val="009B4B45"/>
    <w:rsid w:val="009B53E4"/>
    <w:rsid w:val="009B568C"/>
    <w:rsid w:val="009B5973"/>
    <w:rsid w:val="009B5FBE"/>
    <w:rsid w:val="009B5FDE"/>
    <w:rsid w:val="009B62DF"/>
    <w:rsid w:val="009B7573"/>
    <w:rsid w:val="009B7B88"/>
    <w:rsid w:val="009B7D89"/>
    <w:rsid w:val="009C1434"/>
    <w:rsid w:val="009C171E"/>
    <w:rsid w:val="009C179D"/>
    <w:rsid w:val="009C1872"/>
    <w:rsid w:val="009C1BD6"/>
    <w:rsid w:val="009C29E4"/>
    <w:rsid w:val="009C34EB"/>
    <w:rsid w:val="009C377C"/>
    <w:rsid w:val="009C4146"/>
    <w:rsid w:val="009C4AE4"/>
    <w:rsid w:val="009C4D39"/>
    <w:rsid w:val="009C523E"/>
    <w:rsid w:val="009C5727"/>
    <w:rsid w:val="009C5C0B"/>
    <w:rsid w:val="009C5CC0"/>
    <w:rsid w:val="009C64AA"/>
    <w:rsid w:val="009C6624"/>
    <w:rsid w:val="009C747F"/>
    <w:rsid w:val="009C7534"/>
    <w:rsid w:val="009C7DAE"/>
    <w:rsid w:val="009C7F59"/>
    <w:rsid w:val="009D1492"/>
    <w:rsid w:val="009D2A8A"/>
    <w:rsid w:val="009D2E1F"/>
    <w:rsid w:val="009D382F"/>
    <w:rsid w:val="009D3A2C"/>
    <w:rsid w:val="009D42F5"/>
    <w:rsid w:val="009D4419"/>
    <w:rsid w:val="009D4D11"/>
    <w:rsid w:val="009D59BC"/>
    <w:rsid w:val="009D5AD3"/>
    <w:rsid w:val="009D5FA8"/>
    <w:rsid w:val="009D7625"/>
    <w:rsid w:val="009D7A65"/>
    <w:rsid w:val="009E05CC"/>
    <w:rsid w:val="009E09CF"/>
    <w:rsid w:val="009E0BB0"/>
    <w:rsid w:val="009E1528"/>
    <w:rsid w:val="009E1A52"/>
    <w:rsid w:val="009E1B12"/>
    <w:rsid w:val="009E1E38"/>
    <w:rsid w:val="009E2342"/>
    <w:rsid w:val="009E3071"/>
    <w:rsid w:val="009E30E2"/>
    <w:rsid w:val="009E3337"/>
    <w:rsid w:val="009E3DC9"/>
    <w:rsid w:val="009E3F17"/>
    <w:rsid w:val="009E4041"/>
    <w:rsid w:val="009E4162"/>
    <w:rsid w:val="009E49C9"/>
    <w:rsid w:val="009E5E67"/>
    <w:rsid w:val="009E65D8"/>
    <w:rsid w:val="009E674F"/>
    <w:rsid w:val="009E6FDB"/>
    <w:rsid w:val="009E716D"/>
    <w:rsid w:val="009E73F6"/>
    <w:rsid w:val="009E7687"/>
    <w:rsid w:val="009F03C7"/>
    <w:rsid w:val="009F0466"/>
    <w:rsid w:val="009F05D7"/>
    <w:rsid w:val="009F0754"/>
    <w:rsid w:val="009F0764"/>
    <w:rsid w:val="009F0926"/>
    <w:rsid w:val="009F1218"/>
    <w:rsid w:val="009F15D7"/>
    <w:rsid w:val="009F1888"/>
    <w:rsid w:val="009F18CC"/>
    <w:rsid w:val="009F1DFD"/>
    <w:rsid w:val="009F2294"/>
    <w:rsid w:val="009F2468"/>
    <w:rsid w:val="009F2594"/>
    <w:rsid w:val="009F34BD"/>
    <w:rsid w:val="009F3A7F"/>
    <w:rsid w:val="009F43F9"/>
    <w:rsid w:val="009F50EE"/>
    <w:rsid w:val="009F63B2"/>
    <w:rsid w:val="009F6819"/>
    <w:rsid w:val="009F6BC9"/>
    <w:rsid w:val="009F6FCD"/>
    <w:rsid w:val="009F72EE"/>
    <w:rsid w:val="009F785B"/>
    <w:rsid w:val="009F7886"/>
    <w:rsid w:val="00A00880"/>
    <w:rsid w:val="00A00C58"/>
    <w:rsid w:val="00A0144A"/>
    <w:rsid w:val="00A02ACF"/>
    <w:rsid w:val="00A02C8A"/>
    <w:rsid w:val="00A03FF2"/>
    <w:rsid w:val="00A04903"/>
    <w:rsid w:val="00A05400"/>
    <w:rsid w:val="00A054EF"/>
    <w:rsid w:val="00A05815"/>
    <w:rsid w:val="00A06DF9"/>
    <w:rsid w:val="00A0728F"/>
    <w:rsid w:val="00A073F4"/>
    <w:rsid w:val="00A07807"/>
    <w:rsid w:val="00A07A35"/>
    <w:rsid w:val="00A07A9F"/>
    <w:rsid w:val="00A103FA"/>
    <w:rsid w:val="00A1104A"/>
    <w:rsid w:val="00A12827"/>
    <w:rsid w:val="00A130E3"/>
    <w:rsid w:val="00A1348E"/>
    <w:rsid w:val="00A13743"/>
    <w:rsid w:val="00A13E33"/>
    <w:rsid w:val="00A14A6E"/>
    <w:rsid w:val="00A14D62"/>
    <w:rsid w:val="00A14DBD"/>
    <w:rsid w:val="00A14E41"/>
    <w:rsid w:val="00A15601"/>
    <w:rsid w:val="00A157A5"/>
    <w:rsid w:val="00A15960"/>
    <w:rsid w:val="00A16D8E"/>
    <w:rsid w:val="00A17499"/>
    <w:rsid w:val="00A176F2"/>
    <w:rsid w:val="00A17877"/>
    <w:rsid w:val="00A1796A"/>
    <w:rsid w:val="00A17BF1"/>
    <w:rsid w:val="00A17F37"/>
    <w:rsid w:val="00A20280"/>
    <w:rsid w:val="00A20FB2"/>
    <w:rsid w:val="00A22792"/>
    <w:rsid w:val="00A230AA"/>
    <w:rsid w:val="00A232D7"/>
    <w:rsid w:val="00A23F47"/>
    <w:rsid w:val="00A24242"/>
    <w:rsid w:val="00A2447D"/>
    <w:rsid w:val="00A24503"/>
    <w:rsid w:val="00A2456F"/>
    <w:rsid w:val="00A2486C"/>
    <w:rsid w:val="00A249D5"/>
    <w:rsid w:val="00A24E6F"/>
    <w:rsid w:val="00A25137"/>
    <w:rsid w:val="00A268A3"/>
    <w:rsid w:val="00A27360"/>
    <w:rsid w:val="00A305FF"/>
    <w:rsid w:val="00A30B42"/>
    <w:rsid w:val="00A30D89"/>
    <w:rsid w:val="00A3140C"/>
    <w:rsid w:val="00A3151F"/>
    <w:rsid w:val="00A315CB"/>
    <w:rsid w:val="00A31FCA"/>
    <w:rsid w:val="00A320B4"/>
    <w:rsid w:val="00A32C6F"/>
    <w:rsid w:val="00A32FE9"/>
    <w:rsid w:val="00A3332F"/>
    <w:rsid w:val="00A33ADC"/>
    <w:rsid w:val="00A33E20"/>
    <w:rsid w:val="00A33F5B"/>
    <w:rsid w:val="00A34296"/>
    <w:rsid w:val="00A343B1"/>
    <w:rsid w:val="00A34760"/>
    <w:rsid w:val="00A34D14"/>
    <w:rsid w:val="00A34D9A"/>
    <w:rsid w:val="00A351F5"/>
    <w:rsid w:val="00A35803"/>
    <w:rsid w:val="00A369C3"/>
    <w:rsid w:val="00A37CD6"/>
    <w:rsid w:val="00A37D13"/>
    <w:rsid w:val="00A37E98"/>
    <w:rsid w:val="00A4065D"/>
    <w:rsid w:val="00A40EAA"/>
    <w:rsid w:val="00A41BC5"/>
    <w:rsid w:val="00A431A3"/>
    <w:rsid w:val="00A43403"/>
    <w:rsid w:val="00A4365C"/>
    <w:rsid w:val="00A4368B"/>
    <w:rsid w:val="00A4408B"/>
    <w:rsid w:val="00A44689"/>
    <w:rsid w:val="00A4495B"/>
    <w:rsid w:val="00A4505B"/>
    <w:rsid w:val="00A45528"/>
    <w:rsid w:val="00A4580F"/>
    <w:rsid w:val="00A45F9D"/>
    <w:rsid w:val="00A4607F"/>
    <w:rsid w:val="00A4714A"/>
    <w:rsid w:val="00A47B8C"/>
    <w:rsid w:val="00A47BE3"/>
    <w:rsid w:val="00A5000E"/>
    <w:rsid w:val="00A50253"/>
    <w:rsid w:val="00A517B0"/>
    <w:rsid w:val="00A519A4"/>
    <w:rsid w:val="00A51B66"/>
    <w:rsid w:val="00A51D50"/>
    <w:rsid w:val="00A51FC5"/>
    <w:rsid w:val="00A52D1F"/>
    <w:rsid w:val="00A52FFD"/>
    <w:rsid w:val="00A53E95"/>
    <w:rsid w:val="00A53F2D"/>
    <w:rsid w:val="00A5403B"/>
    <w:rsid w:val="00A541DB"/>
    <w:rsid w:val="00A54C7E"/>
    <w:rsid w:val="00A54FFB"/>
    <w:rsid w:val="00A5518B"/>
    <w:rsid w:val="00A555B4"/>
    <w:rsid w:val="00A5576C"/>
    <w:rsid w:val="00A55786"/>
    <w:rsid w:val="00A56476"/>
    <w:rsid w:val="00A565B0"/>
    <w:rsid w:val="00A5684B"/>
    <w:rsid w:val="00A5688A"/>
    <w:rsid w:val="00A57299"/>
    <w:rsid w:val="00A6100A"/>
    <w:rsid w:val="00A610A3"/>
    <w:rsid w:val="00A611F9"/>
    <w:rsid w:val="00A613B5"/>
    <w:rsid w:val="00A6149C"/>
    <w:rsid w:val="00A61A35"/>
    <w:rsid w:val="00A620FC"/>
    <w:rsid w:val="00A626F3"/>
    <w:rsid w:val="00A62D78"/>
    <w:rsid w:val="00A62D8C"/>
    <w:rsid w:val="00A63752"/>
    <w:rsid w:val="00A63796"/>
    <w:rsid w:val="00A63925"/>
    <w:rsid w:val="00A63CE4"/>
    <w:rsid w:val="00A63FF8"/>
    <w:rsid w:val="00A64065"/>
    <w:rsid w:val="00A642BB"/>
    <w:rsid w:val="00A64BB0"/>
    <w:rsid w:val="00A64D36"/>
    <w:rsid w:val="00A64E50"/>
    <w:rsid w:val="00A65A6C"/>
    <w:rsid w:val="00A65F96"/>
    <w:rsid w:val="00A65FC8"/>
    <w:rsid w:val="00A66AF4"/>
    <w:rsid w:val="00A671A1"/>
    <w:rsid w:val="00A6789F"/>
    <w:rsid w:val="00A67E32"/>
    <w:rsid w:val="00A67E63"/>
    <w:rsid w:val="00A70E3C"/>
    <w:rsid w:val="00A71065"/>
    <w:rsid w:val="00A71222"/>
    <w:rsid w:val="00A712EF"/>
    <w:rsid w:val="00A71432"/>
    <w:rsid w:val="00A714D4"/>
    <w:rsid w:val="00A717E7"/>
    <w:rsid w:val="00A721B9"/>
    <w:rsid w:val="00A72700"/>
    <w:rsid w:val="00A72957"/>
    <w:rsid w:val="00A729F0"/>
    <w:rsid w:val="00A738B4"/>
    <w:rsid w:val="00A7408B"/>
    <w:rsid w:val="00A74661"/>
    <w:rsid w:val="00A74B06"/>
    <w:rsid w:val="00A74BB4"/>
    <w:rsid w:val="00A757AD"/>
    <w:rsid w:val="00A75BE6"/>
    <w:rsid w:val="00A76015"/>
    <w:rsid w:val="00A764AD"/>
    <w:rsid w:val="00A76915"/>
    <w:rsid w:val="00A76EDF"/>
    <w:rsid w:val="00A77155"/>
    <w:rsid w:val="00A7743C"/>
    <w:rsid w:val="00A77807"/>
    <w:rsid w:val="00A77B7E"/>
    <w:rsid w:val="00A80D45"/>
    <w:rsid w:val="00A81E39"/>
    <w:rsid w:val="00A82348"/>
    <w:rsid w:val="00A826D6"/>
    <w:rsid w:val="00A82BE9"/>
    <w:rsid w:val="00A82DEA"/>
    <w:rsid w:val="00A82F81"/>
    <w:rsid w:val="00A834F2"/>
    <w:rsid w:val="00A838B3"/>
    <w:rsid w:val="00A839BD"/>
    <w:rsid w:val="00A8437D"/>
    <w:rsid w:val="00A8501F"/>
    <w:rsid w:val="00A857BB"/>
    <w:rsid w:val="00A859E2"/>
    <w:rsid w:val="00A85E44"/>
    <w:rsid w:val="00A86288"/>
    <w:rsid w:val="00A86C4D"/>
    <w:rsid w:val="00A874E0"/>
    <w:rsid w:val="00A875EE"/>
    <w:rsid w:val="00A87736"/>
    <w:rsid w:val="00A87BA3"/>
    <w:rsid w:val="00A87FB6"/>
    <w:rsid w:val="00A906F6"/>
    <w:rsid w:val="00A9088F"/>
    <w:rsid w:val="00A90E36"/>
    <w:rsid w:val="00A90E8F"/>
    <w:rsid w:val="00A90FEB"/>
    <w:rsid w:val="00A9192D"/>
    <w:rsid w:val="00A919BF"/>
    <w:rsid w:val="00A91B0F"/>
    <w:rsid w:val="00A91DE6"/>
    <w:rsid w:val="00A92485"/>
    <w:rsid w:val="00A92878"/>
    <w:rsid w:val="00A928C3"/>
    <w:rsid w:val="00A92F9E"/>
    <w:rsid w:val="00A92FD1"/>
    <w:rsid w:val="00A92FFD"/>
    <w:rsid w:val="00A932F0"/>
    <w:rsid w:val="00A93775"/>
    <w:rsid w:val="00A93EB0"/>
    <w:rsid w:val="00A95061"/>
    <w:rsid w:val="00A96AFD"/>
    <w:rsid w:val="00A96CD1"/>
    <w:rsid w:val="00A97004"/>
    <w:rsid w:val="00A972EA"/>
    <w:rsid w:val="00A9760B"/>
    <w:rsid w:val="00AA04E9"/>
    <w:rsid w:val="00AA108E"/>
    <w:rsid w:val="00AA1D8F"/>
    <w:rsid w:val="00AA25A1"/>
    <w:rsid w:val="00AA31FD"/>
    <w:rsid w:val="00AA3567"/>
    <w:rsid w:val="00AA35C0"/>
    <w:rsid w:val="00AA37F3"/>
    <w:rsid w:val="00AA4036"/>
    <w:rsid w:val="00AA4245"/>
    <w:rsid w:val="00AA4386"/>
    <w:rsid w:val="00AA4424"/>
    <w:rsid w:val="00AA67E2"/>
    <w:rsid w:val="00AA6ABD"/>
    <w:rsid w:val="00AA7166"/>
    <w:rsid w:val="00AA722D"/>
    <w:rsid w:val="00AA7E22"/>
    <w:rsid w:val="00AB1013"/>
    <w:rsid w:val="00AB1595"/>
    <w:rsid w:val="00AB176A"/>
    <w:rsid w:val="00AB1782"/>
    <w:rsid w:val="00AB19B2"/>
    <w:rsid w:val="00AB1A81"/>
    <w:rsid w:val="00AB1CD8"/>
    <w:rsid w:val="00AB22FC"/>
    <w:rsid w:val="00AB26B4"/>
    <w:rsid w:val="00AB2884"/>
    <w:rsid w:val="00AB389B"/>
    <w:rsid w:val="00AB3CFC"/>
    <w:rsid w:val="00AB3DA1"/>
    <w:rsid w:val="00AB3E20"/>
    <w:rsid w:val="00AB4CB2"/>
    <w:rsid w:val="00AB600E"/>
    <w:rsid w:val="00AB6225"/>
    <w:rsid w:val="00AB64C5"/>
    <w:rsid w:val="00AB6C79"/>
    <w:rsid w:val="00AB6CEF"/>
    <w:rsid w:val="00AB7274"/>
    <w:rsid w:val="00AB737F"/>
    <w:rsid w:val="00AB7897"/>
    <w:rsid w:val="00AC00DF"/>
    <w:rsid w:val="00AC09A1"/>
    <w:rsid w:val="00AC0A98"/>
    <w:rsid w:val="00AC1355"/>
    <w:rsid w:val="00AC1BA7"/>
    <w:rsid w:val="00AC2217"/>
    <w:rsid w:val="00AC2BF7"/>
    <w:rsid w:val="00AC2D97"/>
    <w:rsid w:val="00AC2E3C"/>
    <w:rsid w:val="00AC340C"/>
    <w:rsid w:val="00AC35E4"/>
    <w:rsid w:val="00AC3C86"/>
    <w:rsid w:val="00AC56E8"/>
    <w:rsid w:val="00AC58D3"/>
    <w:rsid w:val="00AC62BC"/>
    <w:rsid w:val="00AC6ED0"/>
    <w:rsid w:val="00AC7148"/>
    <w:rsid w:val="00AC71CE"/>
    <w:rsid w:val="00AC78BF"/>
    <w:rsid w:val="00AD0465"/>
    <w:rsid w:val="00AD0F8D"/>
    <w:rsid w:val="00AD121D"/>
    <w:rsid w:val="00AD14BE"/>
    <w:rsid w:val="00AD1632"/>
    <w:rsid w:val="00AD1694"/>
    <w:rsid w:val="00AD172F"/>
    <w:rsid w:val="00AD1B62"/>
    <w:rsid w:val="00AD1B6A"/>
    <w:rsid w:val="00AD2CF8"/>
    <w:rsid w:val="00AD3141"/>
    <w:rsid w:val="00AD3A4F"/>
    <w:rsid w:val="00AD4173"/>
    <w:rsid w:val="00AD41ED"/>
    <w:rsid w:val="00AD42E3"/>
    <w:rsid w:val="00AD481D"/>
    <w:rsid w:val="00AD5015"/>
    <w:rsid w:val="00AD52A7"/>
    <w:rsid w:val="00AD55F7"/>
    <w:rsid w:val="00AD5CB0"/>
    <w:rsid w:val="00AD6265"/>
    <w:rsid w:val="00AD63A8"/>
    <w:rsid w:val="00AD64DE"/>
    <w:rsid w:val="00AD653B"/>
    <w:rsid w:val="00AD6B26"/>
    <w:rsid w:val="00AD7377"/>
    <w:rsid w:val="00AD7A99"/>
    <w:rsid w:val="00AD7C5B"/>
    <w:rsid w:val="00AD7D2F"/>
    <w:rsid w:val="00AD7E9C"/>
    <w:rsid w:val="00AD7EDF"/>
    <w:rsid w:val="00AE020F"/>
    <w:rsid w:val="00AE0FE9"/>
    <w:rsid w:val="00AE22F6"/>
    <w:rsid w:val="00AE3B4E"/>
    <w:rsid w:val="00AE40B4"/>
    <w:rsid w:val="00AE4215"/>
    <w:rsid w:val="00AE48F5"/>
    <w:rsid w:val="00AE4C29"/>
    <w:rsid w:val="00AE5137"/>
    <w:rsid w:val="00AE6365"/>
    <w:rsid w:val="00AE6427"/>
    <w:rsid w:val="00AE6777"/>
    <w:rsid w:val="00AE702F"/>
    <w:rsid w:val="00AE73DE"/>
    <w:rsid w:val="00AE781A"/>
    <w:rsid w:val="00AF0040"/>
    <w:rsid w:val="00AF032F"/>
    <w:rsid w:val="00AF0F4C"/>
    <w:rsid w:val="00AF130F"/>
    <w:rsid w:val="00AF1494"/>
    <w:rsid w:val="00AF1E20"/>
    <w:rsid w:val="00AF2526"/>
    <w:rsid w:val="00AF2B6D"/>
    <w:rsid w:val="00AF2BE3"/>
    <w:rsid w:val="00AF2D4A"/>
    <w:rsid w:val="00AF3AC8"/>
    <w:rsid w:val="00AF3AD4"/>
    <w:rsid w:val="00AF4E04"/>
    <w:rsid w:val="00AF4FE8"/>
    <w:rsid w:val="00AF52AA"/>
    <w:rsid w:val="00AF5417"/>
    <w:rsid w:val="00AF5482"/>
    <w:rsid w:val="00AF577A"/>
    <w:rsid w:val="00AF5872"/>
    <w:rsid w:val="00AF5D85"/>
    <w:rsid w:val="00AF60C6"/>
    <w:rsid w:val="00AF6792"/>
    <w:rsid w:val="00AF6D9C"/>
    <w:rsid w:val="00B015EB"/>
    <w:rsid w:val="00B01826"/>
    <w:rsid w:val="00B018D9"/>
    <w:rsid w:val="00B020E0"/>
    <w:rsid w:val="00B02EE5"/>
    <w:rsid w:val="00B030D2"/>
    <w:rsid w:val="00B031CC"/>
    <w:rsid w:val="00B0346A"/>
    <w:rsid w:val="00B03D3A"/>
    <w:rsid w:val="00B04030"/>
    <w:rsid w:val="00B04A98"/>
    <w:rsid w:val="00B04D87"/>
    <w:rsid w:val="00B05160"/>
    <w:rsid w:val="00B0539A"/>
    <w:rsid w:val="00B053C3"/>
    <w:rsid w:val="00B054AD"/>
    <w:rsid w:val="00B056AF"/>
    <w:rsid w:val="00B05CCB"/>
    <w:rsid w:val="00B073B3"/>
    <w:rsid w:val="00B0777E"/>
    <w:rsid w:val="00B07A74"/>
    <w:rsid w:val="00B07E4E"/>
    <w:rsid w:val="00B07EF4"/>
    <w:rsid w:val="00B10222"/>
    <w:rsid w:val="00B10501"/>
    <w:rsid w:val="00B105E7"/>
    <w:rsid w:val="00B10865"/>
    <w:rsid w:val="00B10A9C"/>
    <w:rsid w:val="00B10D20"/>
    <w:rsid w:val="00B11447"/>
    <w:rsid w:val="00B11670"/>
    <w:rsid w:val="00B12247"/>
    <w:rsid w:val="00B1231B"/>
    <w:rsid w:val="00B13132"/>
    <w:rsid w:val="00B13386"/>
    <w:rsid w:val="00B13D5F"/>
    <w:rsid w:val="00B13F2D"/>
    <w:rsid w:val="00B1428F"/>
    <w:rsid w:val="00B14BAA"/>
    <w:rsid w:val="00B14BD1"/>
    <w:rsid w:val="00B15185"/>
    <w:rsid w:val="00B1529B"/>
    <w:rsid w:val="00B15762"/>
    <w:rsid w:val="00B167AC"/>
    <w:rsid w:val="00B16A2F"/>
    <w:rsid w:val="00B170D2"/>
    <w:rsid w:val="00B178A7"/>
    <w:rsid w:val="00B17B74"/>
    <w:rsid w:val="00B17E7D"/>
    <w:rsid w:val="00B204B5"/>
    <w:rsid w:val="00B20E01"/>
    <w:rsid w:val="00B21089"/>
    <w:rsid w:val="00B2124D"/>
    <w:rsid w:val="00B213CE"/>
    <w:rsid w:val="00B21D5A"/>
    <w:rsid w:val="00B21F36"/>
    <w:rsid w:val="00B22211"/>
    <w:rsid w:val="00B22408"/>
    <w:rsid w:val="00B227F6"/>
    <w:rsid w:val="00B23984"/>
    <w:rsid w:val="00B23BC6"/>
    <w:rsid w:val="00B23CD8"/>
    <w:rsid w:val="00B240A5"/>
    <w:rsid w:val="00B24172"/>
    <w:rsid w:val="00B24BB9"/>
    <w:rsid w:val="00B25956"/>
    <w:rsid w:val="00B25D02"/>
    <w:rsid w:val="00B25D73"/>
    <w:rsid w:val="00B25F12"/>
    <w:rsid w:val="00B263F3"/>
    <w:rsid w:val="00B26E60"/>
    <w:rsid w:val="00B27478"/>
    <w:rsid w:val="00B30F3D"/>
    <w:rsid w:val="00B310F2"/>
    <w:rsid w:val="00B31998"/>
    <w:rsid w:val="00B31FA8"/>
    <w:rsid w:val="00B32136"/>
    <w:rsid w:val="00B32E76"/>
    <w:rsid w:val="00B33683"/>
    <w:rsid w:val="00B33AEB"/>
    <w:rsid w:val="00B33C53"/>
    <w:rsid w:val="00B33D59"/>
    <w:rsid w:val="00B34E44"/>
    <w:rsid w:val="00B34EE5"/>
    <w:rsid w:val="00B3514D"/>
    <w:rsid w:val="00B353F1"/>
    <w:rsid w:val="00B35FDC"/>
    <w:rsid w:val="00B36CF3"/>
    <w:rsid w:val="00B372FD"/>
    <w:rsid w:val="00B37783"/>
    <w:rsid w:val="00B37E85"/>
    <w:rsid w:val="00B400C9"/>
    <w:rsid w:val="00B40313"/>
    <w:rsid w:val="00B4131B"/>
    <w:rsid w:val="00B41EE3"/>
    <w:rsid w:val="00B429E2"/>
    <w:rsid w:val="00B43045"/>
    <w:rsid w:val="00B43387"/>
    <w:rsid w:val="00B4414D"/>
    <w:rsid w:val="00B4462C"/>
    <w:rsid w:val="00B448C1"/>
    <w:rsid w:val="00B45109"/>
    <w:rsid w:val="00B45BCF"/>
    <w:rsid w:val="00B462E5"/>
    <w:rsid w:val="00B466F5"/>
    <w:rsid w:val="00B468C3"/>
    <w:rsid w:val="00B46950"/>
    <w:rsid w:val="00B471EB"/>
    <w:rsid w:val="00B475D0"/>
    <w:rsid w:val="00B50184"/>
    <w:rsid w:val="00B50654"/>
    <w:rsid w:val="00B50991"/>
    <w:rsid w:val="00B50D84"/>
    <w:rsid w:val="00B5223C"/>
    <w:rsid w:val="00B539AB"/>
    <w:rsid w:val="00B53A56"/>
    <w:rsid w:val="00B54446"/>
    <w:rsid w:val="00B546AD"/>
    <w:rsid w:val="00B5508F"/>
    <w:rsid w:val="00B55281"/>
    <w:rsid w:val="00B552C5"/>
    <w:rsid w:val="00B5535A"/>
    <w:rsid w:val="00B5596A"/>
    <w:rsid w:val="00B56F5B"/>
    <w:rsid w:val="00B572ED"/>
    <w:rsid w:val="00B578D1"/>
    <w:rsid w:val="00B604B0"/>
    <w:rsid w:val="00B60C2A"/>
    <w:rsid w:val="00B60D7E"/>
    <w:rsid w:val="00B61494"/>
    <w:rsid w:val="00B621F2"/>
    <w:rsid w:val="00B627B0"/>
    <w:rsid w:val="00B62B0B"/>
    <w:rsid w:val="00B62ED7"/>
    <w:rsid w:val="00B632A0"/>
    <w:rsid w:val="00B635FE"/>
    <w:rsid w:val="00B63944"/>
    <w:rsid w:val="00B64083"/>
    <w:rsid w:val="00B641B7"/>
    <w:rsid w:val="00B6451F"/>
    <w:rsid w:val="00B64606"/>
    <w:rsid w:val="00B648A0"/>
    <w:rsid w:val="00B64C35"/>
    <w:rsid w:val="00B65C8B"/>
    <w:rsid w:val="00B6608E"/>
    <w:rsid w:val="00B66233"/>
    <w:rsid w:val="00B66739"/>
    <w:rsid w:val="00B66B5F"/>
    <w:rsid w:val="00B66D9B"/>
    <w:rsid w:val="00B66FA2"/>
    <w:rsid w:val="00B672A7"/>
    <w:rsid w:val="00B6793D"/>
    <w:rsid w:val="00B702EE"/>
    <w:rsid w:val="00B7102D"/>
    <w:rsid w:val="00B712A7"/>
    <w:rsid w:val="00B71814"/>
    <w:rsid w:val="00B71E1F"/>
    <w:rsid w:val="00B726A5"/>
    <w:rsid w:val="00B7294B"/>
    <w:rsid w:val="00B73204"/>
    <w:rsid w:val="00B73490"/>
    <w:rsid w:val="00B74601"/>
    <w:rsid w:val="00B7466A"/>
    <w:rsid w:val="00B75057"/>
    <w:rsid w:val="00B758F8"/>
    <w:rsid w:val="00B75F8D"/>
    <w:rsid w:val="00B76578"/>
    <w:rsid w:val="00B768BB"/>
    <w:rsid w:val="00B76948"/>
    <w:rsid w:val="00B76C07"/>
    <w:rsid w:val="00B77122"/>
    <w:rsid w:val="00B77C94"/>
    <w:rsid w:val="00B77DE6"/>
    <w:rsid w:val="00B77E08"/>
    <w:rsid w:val="00B802FF"/>
    <w:rsid w:val="00B8095D"/>
    <w:rsid w:val="00B80A6B"/>
    <w:rsid w:val="00B81795"/>
    <w:rsid w:val="00B81A76"/>
    <w:rsid w:val="00B8464F"/>
    <w:rsid w:val="00B84A35"/>
    <w:rsid w:val="00B84C5F"/>
    <w:rsid w:val="00B8603C"/>
    <w:rsid w:val="00B861D2"/>
    <w:rsid w:val="00B86822"/>
    <w:rsid w:val="00B86E01"/>
    <w:rsid w:val="00B874C6"/>
    <w:rsid w:val="00B87726"/>
    <w:rsid w:val="00B90055"/>
    <w:rsid w:val="00B91677"/>
    <w:rsid w:val="00B91D42"/>
    <w:rsid w:val="00B91E5C"/>
    <w:rsid w:val="00B91F85"/>
    <w:rsid w:val="00B921B7"/>
    <w:rsid w:val="00B923A0"/>
    <w:rsid w:val="00B92BAA"/>
    <w:rsid w:val="00B92C6F"/>
    <w:rsid w:val="00B92D68"/>
    <w:rsid w:val="00B932CA"/>
    <w:rsid w:val="00B933DE"/>
    <w:rsid w:val="00B934EE"/>
    <w:rsid w:val="00B93ABC"/>
    <w:rsid w:val="00B94BE2"/>
    <w:rsid w:val="00B95343"/>
    <w:rsid w:val="00B953B7"/>
    <w:rsid w:val="00B95D40"/>
    <w:rsid w:val="00B96236"/>
    <w:rsid w:val="00B9725D"/>
    <w:rsid w:val="00B9732F"/>
    <w:rsid w:val="00B97384"/>
    <w:rsid w:val="00B9776B"/>
    <w:rsid w:val="00B97851"/>
    <w:rsid w:val="00BA0082"/>
    <w:rsid w:val="00BA0632"/>
    <w:rsid w:val="00BA197A"/>
    <w:rsid w:val="00BA1F02"/>
    <w:rsid w:val="00BA2071"/>
    <w:rsid w:val="00BA22B2"/>
    <w:rsid w:val="00BA2719"/>
    <w:rsid w:val="00BA275F"/>
    <w:rsid w:val="00BA2857"/>
    <w:rsid w:val="00BA381A"/>
    <w:rsid w:val="00BA3D8B"/>
    <w:rsid w:val="00BA3E8A"/>
    <w:rsid w:val="00BA4059"/>
    <w:rsid w:val="00BA4062"/>
    <w:rsid w:val="00BA409E"/>
    <w:rsid w:val="00BA4D97"/>
    <w:rsid w:val="00BA5332"/>
    <w:rsid w:val="00BA5CEE"/>
    <w:rsid w:val="00BA61BA"/>
    <w:rsid w:val="00BA633E"/>
    <w:rsid w:val="00BA6B58"/>
    <w:rsid w:val="00BA6D21"/>
    <w:rsid w:val="00BA70F7"/>
    <w:rsid w:val="00BA7A5D"/>
    <w:rsid w:val="00BB03FA"/>
    <w:rsid w:val="00BB0944"/>
    <w:rsid w:val="00BB0A54"/>
    <w:rsid w:val="00BB0E66"/>
    <w:rsid w:val="00BB1009"/>
    <w:rsid w:val="00BB101D"/>
    <w:rsid w:val="00BB1FCA"/>
    <w:rsid w:val="00BB2184"/>
    <w:rsid w:val="00BB2D9D"/>
    <w:rsid w:val="00BB352C"/>
    <w:rsid w:val="00BB4BFB"/>
    <w:rsid w:val="00BB4C51"/>
    <w:rsid w:val="00BB5179"/>
    <w:rsid w:val="00BB59AD"/>
    <w:rsid w:val="00BB61F8"/>
    <w:rsid w:val="00BB6B0A"/>
    <w:rsid w:val="00BB6C1F"/>
    <w:rsid w:val="00BB6DE0"/>
    <w:rsid w:val="00BB761E"/>
    <w:rsid w:val="00BB7666"/>
    <w:rsid w:val="00BC03A0"/>
    <w:rsid w:val="00BC087E"/>
    <w:rsid w:val="00BC0A16"/>
    <w:rsid w:val="00BC0B3A"/>
    <w:rsid w:val="00BC0DF7"/>
    <w:rsid w:val="00BC1685"/>
    <w:rsid w:val="00BC1973"/>
    <w:rsid w:val="00BC19CF"/>
    <w:rsid w:val="00BC3692"/>
    <w:rsid w:val="00BC47F0"/>
    <w:rsid w:val="00BC5698"/>
    <w:rsid w:val="00BC5A3F"/>
    <w:rsid w:val="00BC6C15"/>
    <w:rsid w:val="00BC71D7"/>
    <w:rsid w:val="00BC7D98"/>
    <w:rsid w:val="00BC7FE0"/>
    <w:rsid w:val="00BD17DE"/>
    <w:rsid w:val="00BD220D"/>
    <w:rsid w:val="00BD2CA8"/>
    <w:rsid w:val="00BD35A6"/>
    <w:rsid w:val="00BD3ACB"/>
    <w:rsid w:val="00BD4546"/>
    <w:rsid w:val="00BD4B56"/>
    <w:rsid w:val="00BD59CF"/>
    <w:rsid w:val="00BD60D7"/>
    <w:rsid w:val="00BD6668"/>
    <w:rsid w:val="00BD6BDA"/>
    <w:rsid w:val="00BD7129"/>
    <w:rsid w:val="00BE0201"/>
    <w:rsid w:val="00BE0422"/>
    <w:rsid w:val="00BE05E4"/>
    <w:rsid w:val="00BE0C7B"/>
    <w:rsid w:val="00BE119C"/>
    <w:rsid w:val="00BE1EAA"/>
    <w:rsid w:val="00BE214B"/>
    <w:rsid w:val="00BE2416"/>
    <w:rsid w:val="00BE27E3"/>
    <w:rsid w:val="00BE3C3C"/>
    <w:rsid w:val="00BE500B"/>
    <w:rsid w:val="00BE5233"/>
    <w:rsid w:val="00BE591A"/>
    <w:rsid w:val="00BE62A6"/>
    <w:rsid w:val="00BE6309"/>
    <w:rsid w:val="00BE666E"/>
    <w:rsid w:val="00BE6BEE"/>
    <w:rsid w:val="00BE77B7"/>
    <w:rsid w:val="00BE7817"/>
    <w:rsid w:val="00BF043D"/>
    <w:rsid w:val="00BF0C8D"/>
    <w:rsid w:val="00BF1113"/>
    <w:rsid w:val="00BF17A8"/>
    <w:rsid w:val="00BF20EE"/>
    <w:rsid w:val="00BF21FB"/>
    <w:rsid w:val="00BF2662"/>
    <w:rsid w:val="00BF2935"/>
    <w:rsid w:val="00BF29A5"/>
    <w:rsid w:val="00BF38E6"/>
    <w:rsid w:val="00BF3C8C"/>
    <w:rsid w:val="00BF4CC0"/>
    <w:rsid w:val="00BF541D"/>
    <w:rsid w:val="00BF5531"/>
    <w:rsid w:val="00BF5572"/>
    <w:rsid w:val="00BF5853"/>
    <w:rsid w:val="00BF5BB3"/>
    <w:rsid w:val="00BF6161"/>
    <w:rsid w:val="00BF6B94"/>
    <w:rsid w:val="00C0022D"/>
    <w:rsid w:val="00C00365"/>
    <w:rsid w:val="00C0062F"/>
    <w:rsid w:val="00C00E0C"/>
    <w:rsid w:val="00C00E83"/>
    <w:rsid w:val="00C0163C"/>
    <w:rsid w:val="00C018F2"/>
    <w:rsid w:val="00C01E5F"/>
    <w:rsid w:val="00C01F9E"/>
    <w:rsid w:val="00C02052"/>
    <w:rsid w:val="00C021E4"/>
    <w:rsid w:val="00C029D4"/>
    <w:rsid w:val="00C0367A"/>
    <w:rsid w:val="00C03863"/>
    <w:rsid w:val="00C03DD4"/>
    <w:rsid w:val="00C049DF"/>
    <w:rsid w:val="00C056EA"/>
    <w:rsid w:val="00C05F8E"/>
    <w:rsid w:val="00C06916"/>
    <w:rsid w:val="00C0694B"/>
    <w:rsid w:val="00C06C47"/>
    <w:rsid w:val="00C06E17"/>
    <w:rsid w:val="00C07032"/>
    <w:rsid w:val="00C07114"/>
    <w:rsid w:val="00C0745B"/>
    <w:rsid w:val="00C07CDA"/>
    <w:rsid w:val="00C07F45"/>
    <w:rsid w:val="00C103F4"/>
    <w:rsid w:val="00C109CD"/>
    <w:rsid w:val="00C1100D"/>
    <w:rsid w:val="00C1124B"/>
    <w:rsid w:val="00C114B6"/>
    <w:rsid w:val="00C119AB"/>
    <w:rsid w:val="00C11D38"/>
    <w:rsid w:val="00C12259"/>
    <w:rsid w:val="00C123B3"/>
    <w:rsid w:val="00C1261C"/>
    <w:rsid w:val="00C126DE"/>
    <w:rsid w:val="00C127E0"/>
    <w:rsid w:val="00C12DDF"/>
    <w:rsid w:val="00C13114"/>
    <w:rsid w:val="00C13392"/>
    <w:rsid w:val="00C13640"/>
    <w:rsid w:val="00C13969"/>
    <w:rsid w:val="00C147DD"/>
    <w:rsid w:val="00C14BF7"/>
    <w:rsid w:val="00C16556"/>
    <w:rsid w:val="00C1660B"/>
    <w:rsid w:val="00C1684E"/>
    <w:rsid w:val="00C17773"/>
    <w:rsid w:val="00C20084"/>
    <w:rsid w:val="00C200A2"/>
    <w:rsid w:val="00C203D3"/>
    <w:rsid w:val="00C2048F"/>
    <w:rsid w:val="00C20C2C"/>
    <w:rsid w:val="00C20FBE"/>
    <w:rsid w:val="00C21384"/>
    <w:rsid w:val="00C22FCF"/>
    <w:rsid w:val="00C23310"/>
    <w:rsid w:val="00C23447"/>
    <w:rsid w:val="00C238F1"/>
    <w:rsid w:val="00C23AA7"/>
    <w:rsid w:val="00C23F93"/>
    <w:rsid w:val="00C2541A"/>
    <w:rsid w:val="00C255A2"/>
    <w:rsid w:val="00C25862"/>
    <w:rsid w:val="00C25CDD"/>
    <w:rsid w:val="00C25E1F"/>
    <w:rsid w:val="00C25EE4"/>
    <w:rsid w:val="00C267BA"/>
    <w:rsid w:val="00C2706B"/>
    <w:rsid w:val="00C276E5"/>
    <w:rsid w:val="00C27C5F"/>
    <w:rsid w:val="00C303F2"/>
    <w:rsid w:val="00C306D1"/>
    <w:rsid w:val="00C3071E"/>
    <w:rsid w:val="00C30F84"/>
    <w:rsid w:val="00C313BA"/>
    <w:rsid w:val="00C31840"/>
    <w:rsid w:val="00C31AE1"/>
    <w:rsid w:val="00C31C77"/>
    <w:rsid w:val="00C31DA7"/>
    <w:rsid w:val="00C32219"/>
    <w:rsid w:val="00C32629"/>
    <w:rsid w:val="00C32986"/>
    <w:rsid w:val="00C32ABC"/>
    <w:rsid w:val="00C331AA"/>
    <w:rsid w:val="00C33C78"/>
    <w:rsid w:val="00C34028"/>
    <w:rsid w:val="00C340FE"/>
    <w:rsid w:val="00C3458D"/>
    <w:rsid w:val="00C34B06"/>
    <w:rsid w:val="00C34DB1"/>
    <w:rsid w:val="00C34F53"/>
    <w:rsid w:val="00C350EC"/>
    <w:rsid w:val="00C3558F"/>
    <w:rsid w:val="00C3598C"/>
    <w:rsid w:val="00C35F35"/>
    <w:rsid w:val="00C3616F"/>
    <w:rsid w:val="00C3636C"/>
    <w:rsid w:val="00C3675E"/>
    <w:rsid w:val="00C37010"/>
    <w:rsid w:val="00C37532"/>
    <w:rsid w:val="00C37A45"/>
    <w:rsid w:val="00C37C1F"/>
    <w:rsid w:val="00C40AF9"/>
    <w:rsid w:val="00C40BFF"/>
    <w:rsid w:val="00C413F3"/>
    <w:rsid w:val="00C4167A"/>
    <w:rsid w:val="00C41783"/>
    <w:rsid w:val="00C41890"/>
    <w:rsid w:val="00C419B7"/>
    <w:rsid w:val="00C41AC2"/>
    <w:rsid w:val="00C42678"/>
    <w:rsid w:val="00C426FA"/>
    <w:rsid w:val="00C42A80"/>
    <w:rsid w:val="00C42BAE"/>
    <w:rsid w:val="00C42F9C"/>
    <w:rsid w:val="00C432E1"/>
    <w:rsid w:val="00C43B5F"/>
    <w:rsid w:val="00C43B71"/>
    <w:rsid w:val="00C44D12"/>
    <w:rsid w:val="00C44F9E"/>
    <w:rsid w:val="00C4511A"/>
    <w:rsid w:val="00C453AD"/>
    <w:rsid w:val="00C45411"/>
    <w:rsid w:val="00C45C35"/>
    <w:rsid w:val="00C45D38"/>
    <w:rsid w:val="00C45F6F"/>
    <w:rsid w:val="00C466C2"/>
    <w:rsid w:val="00C46AB2"/>
    <w:rsid w:val="00C46AD9"/>
    <w:rsid w:val="00C46C1B"/>
    <w:rsid w:val="00C47332"/>
    <w:rsid w:val="00C47528"/>
    <w:rsid w:val="00C47FD6"/>
    <w:rsid w:val="00C502F3"/>
    <w:rsid w:val="00C50520"/>
    <w:rsid w:val="00C508FE"/>
    <w:rsid w:val="00C50D8F"/>
    <w:rsid w:val="00C50E9F"/>
    <w:rsid w:val="00C51047"/>
    <w:rsid w:val="00C512D3"/>
    <w:rsid w:val="00C513D2"/>
    <w:rsid w:val="00C515E6"/>
    <w:rsid w:val="00C519AC"/>
    <w:rsid w:val="00C51DB9"/>
    <w:rsid w:val="00C51EFF"/>
    <w:rsid w:val="00C5204D"/>
    <w:rsid w:val="00C5213F"/>
    <w:rsid w:val="00C522AE"/>
    <w:rsid w:val="00C52D84"/>
    <w:rsid w:val="00C5356A"/>
    <w:rsid w:val="00C535E6"/>
    <w:rsid w:val="00C53813"/>
    <w:rsid w:val="00C54B53"/>
    <w:rsid w:val="00C54B97"/>
    <w:rsid w:val="00C54F6A"/>
    <w:rsid w:val="00C54FE9"/>
    <w:rsid w:val="00C55514"/>
    <w:rsid w:val="00C5570F"/>
    <w:rsid w:val="00C55ACE"/>
    <w:rsid w:val="00C56420"/>
    <w:rsid w:val="00C565B6"/>
    <w:rsid w:val="00C5674C"/>
    <w:rsid w:val="00C57776"/>
    <w:rsid w:val="00C57DDA"/>
    <w:rsid w:val="00C60CAB"/>
    <w:rsid w:val="00C631EB"/>
    <w:rsid w:val="00C63338"/>
    <w:rsid w:val="00C6363B"/>
    <w:rsid w:val="00C63D24"/>
    <w:rsid w:val="00C6417E"/>
    <w:rsid w:val="00C64359"/>
    <w:rsid w:val="00C649CD"/>
    <w:rsid w:val="00C64D23"/>
    <w:rsid w:val="00C64D69"/>
    <w:rsid w:val="00C65634"/>
    <w:rsid w:val="00C65FC5"/>
    <w:rsid w:val="00C66735"/>
    <w:rsid w:val="00C6681B"/>
    <w:rsid w:val="00C67217"/>
    <w:rsid w:val="00C674B7"/>
    <w:rsid w:val="00C67D72"/>
    <w:rsid w:val="00C70994"/>
    <w:rsid w:val="00C7112F"/>
    <w:rsid w:val="00C715BA"/>
    <w:rsid w:val="00C718B3"/>
    <w:rsid w:val="00C71A77"/>
    <w:rsid w:val="00C71AF8"/>
    <w:rsid w:val="00C71BBB"/>
    <w:rsid w:val="00C727DA"/>
    <w:rsid w:val="00C72B6C"/>
    <w:rsid w:val="00C72EF8"/>
    <w:rsid w:val="00C756E9"/>
    <w:rsid w:val="00C76EF1"/>
    <w:rsid w:val="00C76F59"/>
    <w:rsid w:val="00C77026"/>
    <w:rsid w:val="00C7702F"/>
    <w:rsid w:val="00C77382"/>
    <w:rsid w:val="00C7758E"/>
    <w:rsid w:val="00C77C42"/>
    <w:rsid w:val="00C77E4C"/>
    <w:rsid w:val="00C800F7"/>
    <w:rsid w:val="00C8043D"/>
    <w:rsid w:val="00C80799"/>
    <w:rsid w:val="00C80868"/>
    <w:rsid w:val="00C81084"/>
    <w:rsid w:val="00C825A7"/>
    <w:rsid w:val="00C826E6"/>
    <w:rsid w:val="00C830D1"/>
    <w:rsid w:val="00C83370"/>
    <w:rsid w:val="00C83C5C"/>
    <w:rsid w:val="00C83D02"/>
    <w:rsid w:val="00C83D54"/>
    <w:rsid w:val="00C84051"/>
    <w:rsid w:val="00C84CCB"/>
    <w:rsid w:val="00C84D40"/>
    <w:rsid w:val="00C84DA5"/>
    <w:rsid w:val="00C85273"/>
    <w:rsid w:val="00C8527B"/>
    <w:rsid w:val="00C85B9D"/>
    <w:rsid w:val="00C87058"/>
    <w:rsid w:val="00C874EB"/>
    <w:rsid w:val="00C87E29"/>
    <w:rsid w:val="00C87F49"/>
    <w:rsid w:val="00C90180"/>
    <w:rsid w:val="00C9050B"/>
    <w:rsid w:val="00C90637"/>
    <w:rsid w:val="00C9118D"/>
    <w:rsid w:val="00C91A40"/>
    <w:rsid w:val="00C91E43"/>
    <w:rsid w:val="00C92F6E"/>
    <w:rsid w:val="00C9408F"/>
    <w:rsid w:val="00C9493E"/>
    <w:rsid w:val="00C94A33"/>
    <w:rsid w:val="00C94BE8"/>
    <w:rsid w:val="00C94D75"/>
    <w:rsid w:val="00C94E01"/>
    <w:rsid w:val="00C950B1"/>
    <w:rsid w:val="00C95FCF"/>
    <w:rsid w:val="00C960DF"/>
    <w:rsid w:val="00C963D1"/>
    <w:rsid w:val="00C96A00"/>
    <w:rsid w:val="00C96F05"/>
    <w:rsid w:val="00C9730D"/>
    <w:rsid w:val="00C9753B"/>
    <w:rsid w:val="00C97565"/>
    <w:rsid w:val="00C9764F"/>
    <w:rsid w:val="00CA0063"/>
    <w:rsid w:val="00CA0376"/>
    <w:rsid w:val="00CA0592"/>
    <w:rsid w:val="00CA0CDA"/>
    <w:rsid w:val="00CA10B2"/>
    <w:rsid w:val="00CA10BB"/>
    <w:rsid w:val="00CA1989"/>
    <w:rsid w:val="00CA1A9E"/>
    <w:rsid w:val="00CA239F"/>
    <w:rsid w:val="00CA24C1"/>
    <w:rsid w:val="00CA346C"/>
    <w:rsid w:val="00CA3706"/>
    <w:rsid w:val="00CA3D17"/>
    <w:rsid w:val="00CA3E6D"/>
    <w:rsid w:val="00CA508E"/>
    <w:rsid w:val="00CA5382"/>
    <w:rsid w:val="00CA5875"/>
    <w:rsid w:val="00CA5E3E"/>
    <w:rsid w:val="00CA6330"/>
    <w:rsid w:val="00CA6CF2"/>
    <w:rsid w:val="00CA6F55"/>
    <w:rsid w:val="00CA79E5"/>
    <w:rsid w:val="00CB1466"/>
    <w:rsid w:val="00CB1948"/>
    <w:rsid w:val="00CB1EBF"/>
    <w:rsid w:val="00CB220B"/>
    <w:rsid w:val="00CB49CA"/>
    <w:rsid w:val="00CB54FB"/>
    <w:rsid w:val="00CB5F54"/>
    <w:rsid w:val="00CB5FEB"/>
    <w:rsid w:val="00CB612A"/>
    <w:rsid w:val="00CB61C5"/>
    <w:rsid w:val="00CB62AA"/>
    <w:rsid w:val="00CB6798"/>
    <w:rsid w:val="00CB6A00"/>
    <w:rsid w:val="00CB753F"/>
    <w:rsid w:val="00CB7837"/>
    <w:rsid w:val="00CB7CC0"/>
    <w:rsid w:val="00CB7E37"/>
    <w:rsid w:val="00CB7F5A"/>
    <w:rsid w:val="00CC03E5"/>
    <w:rsid w:val="00CC1D42"/>
    <w:rsid w:val="00CC206D"/>
    <w:rsid w:val="00CC230C"/>
    <w:rsid w:val="00CC2979"/>
    <w:rsid w:val="00CC2DE0"/>
    <w:rsid w:val="00CC2ED6"/>
    <w:rsid w:val="00CC2FAB"/>
    <w:rsid w:val="00CC32FD"/>
    <w:rsid w:val="00CC3846"/>
    <w:rsid w:val="00CC4238"/>
    <w:rsid w:val="00CC47D8"/>
    <w:rsid w:val="00CC4D15"/>
    <w:rsid w:val="00CC4F77"/>
    <w:rsid w:val="00CC5474"/>
    <w:rsid w:val="00CC5673"/>
    <w:rsid w:val="00CC581E"/>
    <w:rsid w:val="00CC5B65"/>
    <w:rsid w:val="00CC62D9"/>
    <w:rsid w:val="00CC64C1"/>
    <w:rsid w:val="00CC6D0E"/>
    <w:rsid w:val="00CC7F46"/>
    <w:rsid w:val="00CC7FF8"/>
    <w:rsid w:val="00CD01D1"/>
    <w:rsid w:val="00CD0D2E"/>
    <w:rsid w:val="00CD10E6"/>
    <w:rsid w:val="00CD143B"/>
    <w:rsid w:val="00CD1A99"/>
    <w:rsid w:val="00CD1EF6"/>
    <w:rsid w:val="00CD2036"/>
    <w:rsid w:val="00CD2FBB"/>
    <w:rsid w:val="00CD4529"/>
    <w:rsid w:val="00CD4732"/>
    <w:rsid w:val="00CD47F6"/>
    <w:rsid w:val="00CD5837"/>
    <w:rsid w:val="00CD59CD"/>
    <w:rsid w:val="00CD5F60"/>
    <w:rsid w:val="00CD687D"/>
    <w:rsid w:val="00CD75BD"/>
    <w:rsid w:val="00CD764A"/>
    <w:rsid w:val="00CD7D3C"/>
    <w:rsid w:val="00CD7D94"/>
    <w:rsid w:val="00CE199F"/>
    <w:rsid w:val="00CE1E4D"/>
    <w:rsid w:val="00CE23F8"/>
    <w:rsid w:val="00CE260D"/>
    <w:rsid w:val="00CE2ACE"/>
    <w:rsid w:val="00CE3924"/>
    <w:rsid w:val="00CE3EA9"/>
    <w:rsid w:val="00CE3FD1"/>
    <w:rsid w:val="00CE4289"/>
    <w:rsid w:val="00CE4306"/>
    <w:rsid w:val="00CE49BF"/>
    <w:rsid w:val="00CE4AC8"/>
    <w:rsid w:val="00CE5039"/>
    <w:rsid w:val="00CE52C4"/>
    <w:rsid w:val="00CE52FE"/>
    <w:rsid w:val="00CE6013"/>
    <w:rsid w:val="00CE61BE"/>
    <w:rsid w:val="00CE623A"/>
    <w:rsid w:val="00CE64EC"/>
    <w:rsid w:val="00CE6698"/>
    <w:rsid w:val="00CE69EB"/>
    <w:rsid w:val="00CE6D66"/>
    <w:rsid w:val="00CE6DB5"/>
    <w:rsid w:val="00CE7E17"/>
    <w:rsid w:val="00CE7EDF"/>
    <w:rsid w:val="00CF04BA"/>
    <w:rsid w:val="00CF11F6"/>
    <w:rsid w:val="00CF1241"/>
    <w:rsid w:val="00CF1254"/>
    <w:rsid w:val="00CF152C"/>
    <w:rsid w:val="00CF1D08"/>
    <w:rsid w:val="00CF263E"/>
    <w:rsid w:val="00CF2F10"/>
    <w:rsid w:val="00CF3A1F"/>
    <w:rsid w:val="00CF3C83"/>
    <w:rsid w:val="00CF3D49"/>
    <w:rsid w:val="00CF46F0"/>
    <w:rsid w:val="00CF4CE5"/>
    <w:rsid w:val="00CF583B"/>
    <w:rsid w:val="00CF5D0A"/>
    <w:rsid w:val="00CF5FD8"/>
    <w:rsid w:val="00CF67ED"/>
    <w:rsid w:val="00CF694E"/>
    <w:rsid w:val="00CF730D"/>
    <w:rsid w:val="00CF75CE"/>
    <w:rsid w:val="00D001AE"/>
    <w:rsid w:val="00D0021B"/>
    <w:rsid w:val="00D00E7C"/>
    <w:rsid w:val="00D00FB0"/>
    <w:rsid w:val="00D012AB"/>
    <w:rsid w:val="00D01310"/>
    <w:rsid w:val="00D0179F"/>
    <w:rsid w:val="00D017C0"/>
    <w:rsid w:val="00D01A1A"/>
    <w:rsid w:val="00D02A3E"/>
    <w:rsid w:val="00D02F3E"/>
    <w:rsid w:val="00D030A6"/>
    <w:rsid w:val="00D03253"/>
    <w:rsid w:val="00D03481"/>
    <w:rsid w:val="00D0445C"/>
    <w:rsid w:val="00D0476D"/>
    <w:rsid w:val="00D065A8"/>
    <w:rsid w:val="00D067C0"/>
    <w:rsid w:val="00D06838"/>
    <w:rsid w:val="00D06B2A"/>
    <w:rsid w:val="00D06D79"/>
    <w:rsid w:val="00D070C5"/>
    <w:rsid w:val="00D07A33"/>
    <w:rsid w:val="00D07AAA"/>
    <w:rsid w:val="00D07F38"/>
    <w:rsid w:val="00D10708"/>
    <w:rsid w:val="00D10A6B"/>
    <w:rsid w:val="00D10AC2"/>
    <w:rsid w:val="00D10B4A"/>
    <w:rsid w:val="00D10E44"/>
    <w:rsid w:val="00D11E95"/>
    <w:rsid w:val="00D12AA1"/>
    <w:rsid w:val="00D13501"/>
    <w:rsid w:val="00D13909"/>
    <w:rsid w:val="00D13AC6"/>
    <w:rsid w:val="00D13BBD"/>
    <w:rsid w:val="00D13F83"/>
    <w:rsid w:val="00D13FFF"/>
    <w:rsid w:val="00D144E4"/>
    <w:rsid w:val="00D14FDD"/>
    <w:rsid w:val="00D15716"/>
    <w:rsid w:val="00D15D0D"/>
    <w:rsid w:val="00D16756"/>
    <w:rsid w:val="00D16AE2"/>
    <w:rsid w:val="00D16E50"/>
    <w:rsid w:val="00D17663"/>
    <w:rsid w:val="00D1789F"/>
    <w:rsid w:val="00D17AD3"/>
    <w:rsid w:val="00D20F15"/>
    <w:rsid w:val="00D214B7"/>
    <w:rsid w:val="00D214BC"/>
    <w:rsid w:val="00D214D8"/>
    <w:rsid w:val="00D22321"/>
    <w:rsid w:val="00D22963"/>
    <w:rsid w:val="00D22C75"/>
    <w:rsid w:val="00D23225"/>
    <w:rsid w:val="00D233EE"/>
    <w:rsid w:val="00D23B52"/>
    <w:rsid w:val="00D24301"/>
    <w:rsid w:val="00D24345"/>
    <w:rsid w:val="00D2440B"/>
    <w:rsid w:val="00D24791"/>
    <w:rsid w:val="00D24AD3"/>
    <w:rsid w:val="00D24BDB"/>
    <w:rsid w:val="00D25070"/>
    <w:rsid w:val="00D256B4"/>
    <w:rsid w:val="00D26690"/>
    <w:rsid w:val="00D266BB"/>
    <w:rsid w:val="00D26F8B"/>
    <w:rsid w:val="00D2712B"/>
    <w:rsid w:val="00D27176"/>
    <w:rsid w:val="00D274FD"/>
    <w:rsid w:val="00D27B2F"/>
    <w:rsid w:val="00D300E9"/>
    <w:rsid w:val="00D30A20"/>
    <w:rsid w:val="00D30CCA"/>
    <w:rsid w:val="00D30D33"/>
    <w:rsid w:val="00D312C9"/>
    <w:rsid w:val="00D31685"/>
    <w:rsid w:val="00D31AEA"/>
    <w:rsid w:val="00D31E12"/>
    <w:rsid w:val="00D32024"/>
    <w:rsid w:val="00D3232A"/>
    <w:rsid w:val="00D334D9"/>
    <w:rsid w:val="00D33507"/>
    <w:rsid w:val="00D33C5A"/>
    <w:rsid w:val="00D3448D"/>
    <w:rsid w:val="00D3455D"/>
    <w:rsid w:val="00D348C3"/>
    <w:rsid w:val="00D34FD5"/>
    <w:rsid w:val="00D3590F"/>
    <w:rsid w:val="00D35A01"/>
    <w:rsid w:val="00D36C46"/>
    <w:rsid w:val="00D36D93"/>
    <w:rsid w:val="00D40545"/>
    <w:rsid w:val="00D4084D"/>
    <w:rsid w:val="00D4096A"/>
    <w:rsid w:val="00D4167D"/>
    <w:rsid w:val="00D41E33"/>
    <w:rsid w:val="00D41EB0"/>
    <w:rsid w:val="00D41F6C"/>
    <w:rsid w:val="00D42276"/>
    <w:rsid w:val="00D42A5D"/>
    <w:rsid w:val="00D43094"/>
    <w:rsid w:val="00D432F2"/>
    <w:rsid w:val="00D435F3"/>
    <w:rsid w:val="00D438F8"/>
    <w:rsid w:val="00D44101"/>
    <w:rsid w:val="00D44326"/>
    <w:rsid w:val="00D44AD0"/>
    <w:rsid w:val="00D44D19"/>
    <w:rsid w:val="00D45371"/>
    <w:rsid w:val="00D459D3"/>
    <w:rsid w:val="00D45A33"/>
    <w:rsid w:val="00D45E3D"/>
    <w:rsid w:val="00D4605F"/>
    <w:rsid w:val="00D468D3"/>
    <w:rsid w:val="00D47337"/>
    <w:rsid w:val="00D5033C"/>
    <w:rsid w:val="00D50843"/>
    <w:rsid w:val="00D50952"/>
    <w:rsid w:val="00D50AA3"/>
    <w:rsid w:val="00D50E03"/>
    <w:rsid w:val="00D50EBE"/>
    <w:rsid w:val="00D517D4"/>
    <w:rsid w:val="00D51FF9"/>
    <w:rsid w:val="00D5234B"/>
    <w:rsid w:val="00D5241A"/>
    <w:rsid w:val="00D527B7"/>
    <w:rsid w:val="00D529E9"/>
    <w:rsid w:val="00D53288"/>
    <w:rsid w:val="00D5353B"/>
    <w:rsid w:val="00D5371F"/>
    <w:rsid w:val="00D5390E"/>
    <w:rsid w:val="00D53E01"/>
    <w:rsid w:val="00D540A3"/>
    <w:rsid w:val="00D54E5A"/>
    <w:rsid w:val="00D5515D"/>
    <w:rsid w:val="00D55331"/>
    <w:rsid w:val="00D55428"/>
    <w:rsid w:val="00D55B74"/>
    <w:rsid w:val="00D5710A"/>
    <w:rsid w:val="00D572EF"/>
    <w:rsid w:val="00D601EE"/>
    <w:rsid w:val="00D60697"/>
    <w:rsid w:val="00D6079C"/>
    <w:rsid w:val="00D612F7"/>
    <w:rsid w:val="00D6147E"/>
    <w:rsid w:val="00D6252E"/>
    <w:rsid w:val="00D6305C"/>
    <w:rsid w:val="00D63977"/>
    <w:rsid w:val="00D63C1F"/>
    <w:rsid w:val="00D640CC"/>
    <w:rsid w:val="00D641D3"/>
    <w:rsid w:val="00D64D59"/>
    <w:rsid w:val="00D65E76"/>
    <w:rsid w:val="00D66885"/>
    <w:rsid w:val="00D67092"/>
    <w:rsid w:val="00D670C6"/>
    <w:rsid w:val="00D6758C"/>
    <w:rsid w:val="00D67AAE"/>
    <w:rsid w:val="00D67DBC"/>
    <w:rsid w:val="00D701AC"/>
    <w:rsid w:val="00D70452"/>
    <w:rsid w:val="00D70DFD"/>
    <w:rsid w:val="00D71939"/>
    <w:rsid w:val="00D71B52"/>
    <w:rsid w:val="00D72737"/>
    <w:rsid w:val="00D73A23"/>
    <w:rsid w:val="00D73C42"/>
    <w:rsid w:val="00D73E35"/>
    <w:rsid w:val="00D74408"/>
    <w:rsid w:val="00D747FF"/>
    <w:rsid w:val="00D7594F"/>
    <w:rsid w:val="00D75B32"/>
    <w:rsid w:val="00D75B7E"/>
    <w:rsid w:val="00D7649F"/>
    <w:rsid w:val="00D767C7"/>
    <w:rsid w:val="00D77DE9"/>
    <w:rsid w:val="00D808A6"/>
    <w:rsid w:val="00D8094B"/>
    <w:rsid w:val="00D80B1A"/>
    <w:rsid w:val="00D80C93"/>
    <w:rsid w:val="00D8108E"/>
    <w:rsid w:val="00D81684"/>
    <w:rsid w:val="00D81B0C"/>
    <w:rsid w:val="00D822DD"/>
    <w:rsid w:val="00D8255C"/>
    <w:rsid w:val="00D82890"/>
    <w:rsid w:val="00D82A05"/>
    <w:rsid w:val="00D82BCA"/>
    <w:rsid w:val="00D83C24"/>
    <w:rsid w:val="00D84CB6"/>
    <w:rsid w:val="00D84FCD"/>
    <w:rsid w:val="00D8502A"/>
    <w:rsid w:val="00D855A4"/>
    <w:rsid w:val="00D85714"/>
    <w:rsid w:val="00D861B3"/>
    <w:rsid w:val="00D861F6"/>
    <w:rsid w:val="00D86D37"/>
    <w:rsid w:val="00D87B55"/>
    <w:rsid w:val="00D87DAA"/>
    <w:rsid w:val="00D906E8"/>
    <w:rsid w:val="00D90B80"/>
    <w:rsid w:val="00D90B98"/>
    <w:rsid w:val="00D91925"/>
    <w:rsid w:val="00D91BDD"/>
    <w:rsid w:val="00D91DA2"/>
    <w:rsid w:val="00D92BD6"/>
    <w:rsid w:val="00D93FC5"/>
    <w:rsid w:val="00D9417A"/>
    <w:rsid w:val="00D94895"/>
    <w:rsid w:val="00D94C56"/>
    <w:rsid w:val="00D9573C"/>
    <w:rsid w:val="00D95E5A"/>
    <w:rsid w:val="00D95F43"/>
    <w:rsid w:val="00D95FC4"/>
    <w:rsid w:val="00D9638E"/>
    <w:rsid w:val="00D97588"/>
    <w:rsid w:val="00D97FBC"/>
    <w:rsid w:val="00DA067B"/>
    <w:rsid w:val="00DA094B"/>
    <w:rsid w:val="00DA0AEF"/>
    <w:rsid w:val="00DA189B"/>
    <w:rsid w:val="00DA20F0"/>
    <w:rsid w:val="00DA2139"/>
    <w:rsid w:val="00DA2650"/>
    <w:rsid w:val="00DA2EC3"/>
    <w:rsid w:val="00DA33B6"/>
    <w:rsid w:val="00DA3945"/>
    <w:rsid w:val="00DA406E"/>
    <w:rsid w:val="00DA4083"/>
    <w:rsid w:val="00DA4292"/>
    <w:rsid w:val="00DA58C2"/>
    <w:rsid w:val="00DA5F6B"/>
    <w:rsid w:val="00DA758F"/>
    <w:rsid w:val="00DA7C2D"/>
    <w:rsid w:val="00DA7CBF"/>
    <w:rsid w:val="00DA7D03"/>
    <w:rsid w:val="00DB0107"/>
    <w:rsid w:val="00DB02BB"/>
    <w:rsid w:val="00DB0CD8"/>
    <w:rsid w:val="00DB152A"/>
    <w:rsid w:val="00DB1A8D"/>
    <w:rsid w:val="00DB2818"/>
    <w:rsid w:val="00DB28CD"/>
    <w:rsid w:val="00DB38F3"/>
    <w:rsid w:val="00DB3D16"/>
    <w:rsid w:val="00DB3F68"/>
    <w:rsid w:val="00DB4370"/>
    <w:rsid w:val="00DB4F94"/>
    <w:rsid w:val="00DB5C34"/>
    <w:rsid w:val="00DB5DAC"/>
    <w:rsid w:val="00DB5E8E"/>
    <w:rsid w:val="00DB5F12"/>
    <w:rsid w:val="00DB61AA"/>
    <w:rsid w:val="00DB72D6"/>
    <w:rsid w:val="00DB7E2B"/>
    <w:rsid w:val="00DC02C5"/>
    <w:rsid w:val="00DC1DBA"/>
    <w:rsid w:val="00DC22E1"/>
    <w:rsid w:val="00DC282F"/>
    <w:rsid w:val="00DC3312"/>
    <w:rsid w:val="00DC333B"/>
    <w:rsid w:val="00DC3D63"/>
    <w:rsid w:val="00DC3F99"/>
    <w:rsid w:val="00DC48C4"/>
    <w:rsid w:val="00DC48F4"/>
    <w:rsid w:val="00DC4938"/>
    <w:rsid w:val="00DC493E"/>
    <w:rsid w:val="00DC49C3"/>
    <w:rsid w:val="00DC5285"/>
    <w:rsid w:val="00DC62D1"/>
    <w:rsid w:val="00DC6320"/>
    <w:rsid w:val="00DC6A14"/>
    <w:rsid w:val="00DD127F"/>
    <w:rsid w:val="00DD1747"/>
    <w:rsid w:val="00DD199B"/>
    <w:rsid w:val="00DD1BE1"/>
    <w:rsid w:val="00DD211B"/>
    <w:rsid w:val="00DD28EA"/>
    <w:rsid w:val="00DD2A7D"/>
    <w:rsid w:val="00DD30C0"/>
    <w:rsid w:val="00DD3D05"/>
    <w:rsid w:val="00DD459B"/>
    <w:rsid w:val="00DD46C6"/>
    <w:rsid w:val="00DD4720"/>
    <w:rsid w:val="00DD4E5C"/>
    <w:rsid w:val="00DD52C9"/>
    <w:rsid w:val="00DD5408"/>
    <w:rsid w:val="00DD5C34"/>
    <w:rsid w:val="00DD5DCD"/>
    <w:rsid w:val="00DD5E45"/>
    <w:rsid w:val="00DD678B"/>
    <w:rsid w:val="00DD7024"/>
    <w:rsid w:val="00DD7071"/>
    <w:rsid w:val="00DD78DF"/>
    <w:rsid w:val="00DD7E3A"/>
    <w:rsid w:val="00DD7F64"/>
    <w:rsid w:val="00DD7FA2"/>
    <w:rsid w:val="00DD7FEC"/>
    <w:rsid w:val="00DE03E3"/>
    <w:rsid w:val="00DE1AD2"/>
    <w:rsid w:val="00DE1DEA"/>
    <w:rsid w:val="00DE22B9"/>
    <w:rsid w:val="00DE2AE8"/>
    <w:rsid w:val="00DE3454"/>
    <w:rsid w:val="00DE4BB6"/>
    <w:rsid w:val="00DE55C9"/>
    <w:rsid w:val="00DE5A91"/>
    <w:rsid w:val="00DE6DF7"/>
    <w:rsid w:val="00DE6F97"/>
    <w:rsid w:val="00DE709F"/>
    <w:rsid w:val="00DE786A"/>
    <w:rsid w:val="00DE7B62"/>
    <w:rsid w:val="00DE7C21"/>
    <w:rsid w:val="00DF004B"/>
    <w:rsid w:val="00DF083D"/>
    <w:rsid w:val="00DF0DD9"/>
    <w:rsid w:val="00DF0E99"/>
    <w:rsid w:val="00DF1397"/>
    <w:rsid w:val="00DF18EE"/>
    <w:rsid w:val="00DF19DF"/>
    <w:rsid w:val="00DF217C"/>
    <w:rsid w:val="00DF317A"/>
    <w:rsid w:val="00DF3641"/>
    <w:rsid w:val="00DF3A25"/>
    <w:rsid w:val="00DF3E5C"/>
    <w:rsid w:val="00DF5550"/>
    <w:rsid w:val="00DF5597"/>
    <w:rsid w:val="00DF5672"/>
    <w:rsid w:val="00DF57F9"/>
    <w:rsid w:val="00DF5D9F"/>
    <w:rsid w:val="00DF6483"/>
    <w:rsid w:val="00DF6EEB"/>
    <w:rsid w:val="00DF7047"/>
    <w:rsid w:val="00DF70CD"/>
    <w:rsid w:val="00DF744D"/>
    <w:rsid w:val="00DF7FAF"/>
    <w:rsid w:val="00E009A4"/>
    <w:rsid w:val="00E015A2"/>
    <w:rsid w:val="00E01B5D"/>
    <w:rsid w:val="00E02200"/>
    <w:rsid w:val="00E0262A"/>
    <w:rsid w:val="00E0315B"/>
    <w:rsid w:val="00E033C4"/>
    <w:rsid w:val="00E035F0"/>
    <w:rsid w:val="00E03721"/>
    <w:rsid w:val="00E0374C"/>
    <w:rsid w:val="00E046BE"/>
    <w:rsid w:val="00E04926"/>
    <w:rsid w:val="00E04E0D"/>
    <w:rsid w:val="00E050BF"/>
    <w:rsid w:val="00E05BB2"/>
    <w:rsid w:val="00E063A3"/>
    <w:rsid w:val="00E06AF1"/>
    <w:rsid w:val="00E06D36"/>
    <w:rsid w:val="00E071A5"/>
    <w:rsid w:val="00E071E8"/>
    <w:rsid w:val="00E07CD3"/>
    <w:rsid w:val="00E07E1A"/>
    <w:rsid w:val="00E07FB3"/>
    <w:rsid w:val="00E107A1"/>
    <w:rsid w:val="00E10A68"/>
    <w:rsid w:val="00E10EE3"/>
    <w:rsid w:val="00E11206"/>
    <w:rsid w:val="00E12D70"/>
    <w:rsid w:val="00E14CA1"/>
    <w:rsid w:val="00E154D2"/>
    <w:rsid w:val="00E15550"/>
    <w:rsid w:val="00E1614E"/>
    <w:rsid w:val="00E16941"/>
    <w:rsid w:val="00E17197"/>
    <w:rsid w:val="00E1772F"/>
    <w:rsid w:val="00E20D7F"/>
    <w:rsid w:val="00E214EF"/>
    <w:rsid w:val="00E215F2"/>
    <w:rsid w:val="00E21C0D"/>
    <w:rsid w:val="00E220F9"/>
    <w:rsid w:val="00E22111"/>
    <w:rsid w:val="00E22157"/>
    <w:rsid w:val="00E22EF0"/>
    <w:rsid w:val="00E2358B"/>
    <w:rsid w:val="00E24096"/>
    <w:rsid w:val="00E244CA"/>
    <w:rsid w:val="00E25532"/>
    <w:rsid w:val="00E26045"/>
    <w:rsid w:val="00E26642"/>
    <w:rsid w:val="00E26BC6"/>
    <w:rsid w:val="00E271BA"/>
    <w:rsid w:val="00E272F0"/>
    <w:rsid w:val="00E27404"/>
    <w:rsid w:val="00E27436"/>
    <w:rsid w:val="00E27FFD"/>
    <w:rsid w:val="00E30F8D"/>
    <w:rsid w:val="00E3157F"/>
    <w:rsid w:val="00E319E7"/>
    <w:rsid w:val="00E31E4C"/>
    <w:rsid w:val="00E3237C"/>
    <w:rsid w:val="00E331E4"/>
    <w:rsid w:val="00E337F3"/>
    <w:rsid w:val="00E33961"/>
    <w:rsid w:val="00E33ADF"/>
    <w:rsid w:val="00E33D52"/>
    <w:rsid w:val="00E33E66"/>
    <w:rsid w:val="00E34217"/>
    <w:rsid w:val="00E343FA"/>
    <w:rsid w:val="00E348C3"/>
    <w:rsid w:val="00E34EB4"/>
    <w:rsid w:val="00E354F7"/>
    <w:rsid w:val="00E35867"/>
    <w:rsid w:val="00E35943"/>
    <w:rsid w:val="00E35DA1"/>
    <w:rsid w:val="00E36880"/>
    <w:rsid w:val="00E368FC"/>
    <w:rsid w:val="00E369F3"/>
    <w:rsid w:val="00E37353"/>
    <w:rsid w:val="00E37BC3"/>
    <w:rsid w:val="00E40418"/>
    <w:rsid w:val="00E404B2"/>
    <w:rsid w:val="00E40CB3"/>
    <w:rsid w:val="00E414EF"/>
    <w:rsid w:val="00E42174"/>
    <w:rsid w:val="00E426FC"/>
    <w:rsid w:val="00E4284F"/>
    <w:rsid w:val="00E42E5A"/>
    <w:rsid w:val="00E43460"/>
    <w:rsid w:val="00E4389F"/>
    <w:rsid w:val="00E438F0"/>
    <w:rsid w:val="00E43B4C"/>
    <w:rsid w:val="00E4400F"/>
    <w:rsid w:val="00E44233"/>
    <w:rsid w:val="00E4550E"/>
    <w:rsid w:val="00E45614"/>
    <w:rsid w:val="00E45A80"/>
    <w:rsid w:val="00E45F7C"/>
    <w:rsid w:val="00E46954"/>
    <w:rsid w:val="00E4709D"/>
    <w:rsid w:val="00E47BB8"/>
    <w:rsid w:val="00E501D4"/>
    <w:rsid w:val="00E50445"/>
    <w:rsid w:val="00E50487"/>
    <w:rsid w:val="00E508A6"/>
    <w:rsid w:val="00E515B7"/>
    <w:rsid w:val="00E51ED4"/>
    <w:rsid w:val="00E52101"/>
    <w:rsid w:val="00E521A9"/>
    <w:rsid w:val="00E52977"/>
    <w:rsid w:val="00E5322A"/>
    <w:rsid w:val="00E53456"/>
    <w:rsid w:val="00E54602"/>
    <w:rsid w:val="00E54F99"/>
    <w:rsid w:val="00E550F1"/>
    <w:rsid w:val="00E556A8"/>
    <w:rsid w:val="00E562DE"/>
    <w:rsid w:val="00E56D00"/>
    <w:rsid w:val="00E57050"/>
    <w:rsid w:val="00E5772C"/>
    <w:rsid w:val="00E5799F"/>
    <w:rsid w:val="00E57B2B"/>
    <w:rsid w:val="00E57B74"/>
    <w:rsid w:val="00E6008C"/>
    <w:rsid w:val="00E60AC2"/>
    <w:rsid w:val="00E60AC3"/>
    <w:rsid w:val="00E60DDB"/>
    <w:rsid w:val="00E60FC2"/>
    <w:rsid w:val="00E610D5"/>
    <w:rsid w:val="00E610DB"/>
    <w:rsid w:val="00E613AA"/>
    <w:rsid w:val="00E6230F"/>
    <w:rsid w:val="00E62575"/>
    <w:rsid w:val="00E625F9"/>
    <w:rsid w:val="00E626E0"/>
    <w:rsid w:val="00E628F6"/>
    <w:rsid w:val="00E63716"/>
    <w:rsid w:val="00E63997"/>
    <w:rsid w:val="00E63EB2"/>
    <w:rsid w:val="00E63FE3"/>
    <w:rsid w:val="00E65060"/>
    <w:rsid w:val="00E650D1"/>
    <w:rsid w:val="00E65803"/>
    <w:rsid w:val="00E66773"/>
    <w:rsid w:val="00E66913"/>
    <w:rsid w:val="00E66AEF"/>
    <w:rsid w:val="00E66F61"/>
    <w:rsid w:val="00E67305"/>
    <w:rsid w:val="00E67C3F"/>
    <w:rsid w:val="00E67E09"/>
    <w:rsid w:val="00E70084"/>
    <w:rsid w:val="00E70568"/>
    <w:rsid w:val="00E707C4"/>
    <w:rsid w:val="00E70828"/>
    <w:rsid w:val="00E70DF6"/>
    <w:rsid w:val="00E7115B"/>
    <w:rsid w:val="00E7144E"/>
    <w:rsid w:val="00E719D9"/>
    <w:rsid w:val="00E71D89"/>
    <w:rsid w:val="00E72536"/>
    <w:rsid w:val="00E729E5"/>
    <w:rsid w:val="00E72DC0"/>
    <w:rsid w:val="00E7353A"/>
    <w:rsid w:val="00E73974"/>
    <w:rsid w:val="00E74C30"/>
    <w:rsid w:val="00E74F2F"/>
    <w:rsid w:val="00E757FC"/>
    <w:rsid w:val="00E75DE3"/>
    <w:rsid w:val="00E76A14"/>
    <w:rsid w:val="00E76CFB"/>
    <w:rsid w:val="00E773EB"/>
    <w:rsid w:val="00E77418"/>
    <w:rsid w:val="00E77883"/>
    <w:rsid w:val="00E77884"/>
    <w:rsid w:val="00E8013B"/>
    <w:rsid w:val="00E80644"/>
    <w:rsid w:val="00E80899"/>
    <w:rsid w:val="00E80E32"/>
    <w:rsid w:val="00E80E82"/>
    <w:rsid w:val="00E8137B"/>
    <w:rsid w:val="00E8145F"/>
    <w:rsid w:val="00E819EA"/>
    <w:rsid w:val="00E83C84"/>
    <w:rsid w:val="00E8426A"/>
    <w:rsid w:val="00E84733"/>
    <w:rsid w:val="00E848C8"/>
    <w:rsid w:val="00E84E7A"/>
    <w:rsid w:val="00E85901"/>
    <w:rsid w:val="00E865FB"/>
    <w:rsid w:val="00E8661E"/>
    <w:rsid w:val="00E86781"/>
    <w:rsid w:val="00E8682C"/>
    <w:rsid w:val="00E86A67"/>
    <w:rsid w:val="00E86B16"/>
    <w:rsid w:val="00E86CAB"/>
    <w:rsid w:val="00E87102"/>
    <w:rsid w:val="00E8724B"/>
    <w:rsid w:val="00E873AE"/>
    <w:rsid w:val="00E90B2F"/>
    <w:rsid w:val="00E90C27"/>
    <w:rsid w:val="00E9173B"/>
    <w:rsid w:val="00E91B73"/>
    <w:rsid w:val="00E92001"/>
    <w:rsid w:val="00E92096"/>
    <w:rsid w:val="00E9295F"/>
    <w:rsid w:val="00E92F71"/>
    <w:rsid w:val="00E9382C"/>
    <w:rsid w:val="00E93841"/>
    <w:rsid w:val="00E939D7"/>
    <w:rsid w:val="00E93DFA"/>
    <w:rsid w:val="00E94603"/>
    <w:rsid w:val="00E94635"/>
    <w:rsid w:val="00E94E10"/>
    <w:rsid w:val="00E95134"/>
    <w:rsid w:val="00E9542E"/>
    <w:rsid w:val="00E956E7"/>
    <w:rsid w:val="00E95821"/>
    <w:rsid w:val="00E9622C"/>
    <w:rsid w:val="00E96486"/>
    <w:rsid w:val="00E96A87"/>
    <w:rsid w:val="00E96F9F"/>
    <w:rsid w:val="00E96FF6"/>
    <w:rsid w:val="00E97489"/>
    <w:rsid w:val="00E976C2"/>
    <w:rsid w:val="00E97A93"/>
    <w:rsid w:val="00E97D04"/>
    <w:rsid w:val="00E97D80"/>
    <w:rsid w:val="00EA0841"/>
    <w:rsid w:val="00EA0B23"/>
    <w:rsid w:val="00EA1418"/>
    <w:rsid w:val="00EA1A6B"/>
    <w:rsid w:val="00EA1AC9"/>
    <w:rsid w:val="00EA2120"/>
    <w:rsid w:val="00EA276A"/>
    <w:rsid w:val="00EA2A7F"/>
    <w:rsid w:val="00EA43A0"/>
    <w:rsid w:val="00EA5FD2"/>
    <w:rsid w:val="00EA62B1"/>
    <w:rsid w:val="00EA71AD"/>
    <w:rsid w:val="00EA76DF"/>
    <w:rsid w:val="00EA7EA9"/>
    <w:rsid w:val="00EB17A0"/>
    <w:rsid w:val="00EB213A"/>
    <w:rsid w:val="00EB2918"/>
    <w:rsid w:val="00EB2C29"/>
    <w:rsid w:val="00EB2D70"/>
    <w:rsid w:val="00EB2FE7"/>
    <w:rsid w:val="00EB30D6"/>
    <w:rsid w:val="00EB3CB0"/>
    <w:rsid w:val="00EB427B"/>
    <w:rsid w:val="00EB526B"/>
    <w:rsid w:val="00EB58E4"/>
    <w:rsid w:val="00EB5922"/>
    <w:rsid w:val="00EB5BA6"/>
    <w:rsid w:val="00EB5CA4"/>
    <w:rsid w:val="00EB5E3F"/>
    <w:rsid w:val="00EB6145"/>
    <w:rsid w:val="00EB66BD"/>
    <w:rsid w:val="00EB6D02"/>
    <w:rsid w:val="00EB73C5"/>
    <w:rsid w:val="00EB7EB3"/>
    <w:rsid w:val="00EC06C2"/>
    <w:rsid w:val="00EC1439"/>
    <w:rsid w:val="00EC18D9"/>
    <w:rsid w:val="00EC1B1E"/>
    <w:rsid w:val="00EC1E0D"/>
    <w:rsid w:val="00EC1E9D"/>
    <w:rsid w:val="00EC24BB"/>
    <w:rsid w:val="00EC2AA6"/>
    <w:rsid w:val="00EC2E2A"/>
    <w:rsid w:val="00EC3041"/>
    <w:rsid w:val="00EC3A0F"/>
    <w:rsid w:val="00EC4EF9"/>
    <w:rsid w:val="00EC4F5A"/>
    <w:rsid w:val="00EC5730"/>
    <w:rsid w:val="00EC58FB"/>
    <w:rsid w:val="00EC591D"/>
    <w:rsid w:val="00EC5C6C"/>
    <w:rsid w:val="00EC682A"/>
    <w:rsid w:val="00EC69D4"/>
    <w:rsid w:val="00EC6B4B"/>
    <w:rsid w:val="00EC6CA0"/>
    <w:rsid w:val="00EC6D3C"/>
    <w:rsid w:val="00EC7396"/>
    <w:rsid w:val="00EC758F"/>
    <w:rsid w:val="00EC7782"/>
    <w:rsid w:val="00EC7A7D"/>
    <w:rsid w:val="00ED12DE"/>
    <w:rsid w:val="00ED1891"/>
    <w:rsid w:val="00ED1BFB"/>
    <w:rsid w:val="00ED1F03"/>
    <w:rsid w:val="00ED1FA6"/>
    <w:rsid w:val="00ED2016"/>
    <w:rsid w:val="00ED26A5"/>
    <w:rsid w:val="00ED27B4"/>
    <w:rsid w:val="00ED2AB1"/>
    <w:rsid w:val="00ED2DDD"/>
    <w:rsid w:val="00ED3293"/>
    <w:rsid w:val="00ED3343"/>
    <w:rsid w:val="00ED33D0"/>
    <w:rsid w:val="00ED354E"/>
    <w:rsid w:val="00ED37C5"/>
    <w:rsid w:val="00ED3F26"/>
    <w:rsid w:val="00ED44BE"/>
    <w:rsid w:val="00ED4699"/>
    <w:rsid w:val="00ED586C"/>
    <w:rsid w:val="00ED696E"/>
    <w:rsid w:val="00ED7002"/>
    <w:rsid w:val="00ED7053"/>
    <w:rsid w:val="00EE05C3"/>
    <w:rsid w:val="00EE1127"/>
    <w:rsid w:val="00EE1B95"/>
    <w:rsid w:val="00EE2950"/>
    <w:rsid w:val="00EE2D4B"/>
    <w:rsid w:val="00EE3195"/>
    <w:rsid w:val="00EE4633"/>
    <w:rsid w:val="00EE490A"/>
    <w:rsid w:val="00EE4B8F"/>
    <w:rsid w:val="00EE4BF7"/>
    <w:rsid w:val="00EE5526"/>
    <w:rsid w:val="00EF0980"/>
    <w:rsid w:val="00EF0AA1"/>
    <w:rsid w:val="00EF12FD"/>
    <w:rsid w:val="00EF14BE"/>
    <w:rsid w:val="00EF1D69"/>
    <w:rsid w:val="00EF330B"/>
    <w:rsid w:val="00EF420D"/>
    <w:rsid w:val="00EF42DE"/>
    <w:rsid w:val="00EF5C4D"/>
    <w:rsid w:val="00EF6193"/>
    <w:rsid w:val="00EF6287"/>
    <w:rsid w:val="00EF6ED9"/>
    <w:rsid w:val="00EF71C0"/>
    <w:rsid w:val="00F00883"/>
    <w:rsid w:val="00F00B9E"/>
    <w:rsid w:val="00F00DAD"/>
    <w:rsid w:val="00F01A34"/>
    <w:rsid w:val="00F01E46"/>
    <w:rsid w:val="00F020D9"/>
    <w:rsid w:val="00F02232"/>
    <w:rsid w:val="00F02ED7"/>
    <w:rsid w:val="00F048CA"/>
    <w:rsid w:val="00F052F3"/>
    <w:rsid w:val="00F0578A"/>
    <w:rsid w:val="00F0605A"/>
    <w:rsid w:val="00F06500"/>
    <w:rsid w:val="00F068E9"/>
    <w:rsid w:val="00F078DD"/>
    <w:rsid w:val="00F10D0C"/>
    <w:rsid w:val="00F119DB"/>
    <w:rsid w:val="00F13412"/>
    <w:rsid w:val="00F13C2D"/>
    <w:rsid w:val="00F1481D"/>
    <w:rsid w:val="00F148C3"/>
    <w:rsid w:val="00F15250"/>
    <w:rsid w:val="00F1533E"/>
    <w:rsid w:val="00F15F81"/>
    <w:rsid w:val="00F160EC"/>
    <w:rsid w:val="00F16920"/>
    <w:rsid w:val="00F169D9"/>
    <w:rsid w:val="00F16FD5"/>
    <w:rsid w:val="00F1706C"/>
    <w:rsid w:val="00F202E7"/>
    <w:rsid w:val="00F20744"/>
    <w:rsid w:val="00F20AEC"/>
    <w:rsid w:val="00F21088"/>
    <w:rsid w:val="00F22056"/>
    <w:rsid w:val="00F22378"/>
    <w:rsid w:val="00F2249E"/>
    <w:rsid w:val="00F23403"/>
    <w:rsid w:val="00F2358B"/>
    <w:rsid w:val="00F239AB"/>
    <w:rsid w:val="00F23D1F"/>
    <w:rsid w:val="00F23D39"/>
    <w:rsid w:val="00F24623"/>
    <w:rsid w:val="00F24F25"/>
    <w:rsid w:val="00F258DF"/>
    <w:rsid w:val="00F25C08"/>
    <w:rsid w:val="00F25D4F"/>
    <w:rsid w:val="00F26D7E"/>
    <w:rsid w:val="00F2711E"/>
    <w:rsid w:val="00F27813"/>
    <w:rsid w:val="00F27B41"/>
    <w:rsid w:val="00F27F58"/>
    <w:rsid w:val="00F306D8"/>
    <w:rsid w:val="00F30FBE"/>
    <w:rsid w:val="00F31159"/>
    <w:rsid w:val="00F31BD1"/>
    <w:rsid w:val="00F32356"/>
    <w:rsid w:val="00F3337E"/>
    <w:rsid w:val="00F333E3"/>
    <w:rsid w:val="00F33591"/>
    <w:rsid w:val="00F33B9C"/>
    <w:rsid w:val="00F33DD1"/>
    <w:rsid w:val="00F33E5B"/>
    <w:rsid w:val="00F340CE"/>
    <w:rsid w:val="00F343EB"/>
    <w:rsid w:val="00F3556D"/>
    <w:rsid w:val="00F358D5"/>
    <w:rsid w:val="00F3641E"/>
    <w:rsid w:val="00F3695A"/>
    <w:rsid w:val="00F36C09"/>
    <w:rsid w:val="00F36F2D"/>
    <w:rsid w:val="00F36F87"/>
    <w:rsid w:val="00F37C81"/>
    <w:rsid w:val="00F37FE9"/>
    <w:rsid w:val="00F410D6"/>
    <w:rsid w:val="00F41286"/>
    <w:rsid w:val="00F417C7"/>
    <w:rsid w:val="00F41866"/>
    <w:rsid w:val="00F418B1"/>
    <w:rsid w:val="00F41B36"/>
    <w:rsid w:val="00F41C5A"/>
    <w:rsid w:val="00F41D3F"/>
    <w:rsid w:val="00F41DDD"/>
    <w:rsid w:val="00F42230"/>
    <w:rsid w:val="00F42630"/>
    <w:rsid w:val="00F4266F"/>
    <w:rsid w:val="00F43647"/>
    <w:rsid w:val="00F436F0"/>
    <w:rsid w:val="00F4376D"/>
    <w:rsid w:val="00F439AB"/>
    <w:rsid w:val="00F4424F"/>
    <w:rsid w:val="00F44A20"/>
    <w:rsid w:val="00F44FA9"/>
    <w:rsid w:val="00F460E2"/>
    <w:rsid w:val="00F465A4"/>
    <w:rsid w:val="00F469EB"/>
    <w:rsid w:val="00F46FE3"/>
    <w:rsid w:val="00F50779"/>
    <w:rsid w:val="00F507CA"/>
    <w:rsid w:val="00F50BB9"/>
    <w:rsid w:val="00F516FE"/>
    <w:rsid w:val="00F5183A"/>
    <w:rsid w:val="00F51AAE"/>
    <w:rsid w:val="00F520EF"/>
    <w:rsid w:val="00F5239D"/>
    <w:rsid w:val="00F523D3"/>
    <w:rsid w:val="00F53A9C"/>
    <w:rsid w:val="00F5486C"/>
    <w:rsid w:val="00F5649D"/>
    <w:rsid w:val="00F565BA"/>
    <w:rsid w:val="00F570A2"/>
    <w:rsid w:val="00F5775B"/>
    <w:rsid w:val="00F614D2"/>
    <w:rsid w:val="00F614DA"/>
    <w:rsid w:val="00F61E9E"/>
    <w:rsid w:val="00F630B0"/>
    <w:rsid w:val="00F6312F"/>
    <w:rsid w:val="00F638FC"/>
    <w:rsid w:val="00F63EC3"/>
    <w:rsid w:val="00F63F0B"/>
    <w:rsid w:val="00F648FE"/>
    <w:rsid w:val="00F64E58"/>
    <w:rsid w:val="00F66176"/>
    <w:rsid w:val="00F6639F"/>
    <w:rsid w:val="00F66AA8"/>
    <w:rsid w:val="00F67E7F"/>
    <w:rsid w:val="00F7046F"/>
    <w:rsid w:val="00F70C5D"/>
    <w:rsid w:val="00F711BC"/>
    <w:rsid w:val="00F72D92"/>
    <w:rsid w:val="00F72F6A"/>
    <w:rsid w:val="00F72FB6"/>
    <w:rsid w:val="00F73822"/>
    <w:rsid w:val="00F74215"/>
    <w:rsid w:val="00F7498A"/>
    <w:rsid w:val="00F7556E"/>
    <w:rsid w:val="00F75ADC"/>
    <w:rsid w:val="00F75CCB"/>
    <w:rsid w:val="00F76C12"/>
    <w:rsid w:val="00F76EAB"/>
    <w:rsid w:val="00F7763C"/>
    <w:rsid w:val="00F77667"/>
    <w:rsid w:val="00F776CA"/>
    <w:rsid w:val="00F77D71"/>
    <w:rsid w:val="00F77FE8"/>
    <w:rsid w:val="00F80065"/>
    <w:rsid w:val="00F807F3"/>
    <w:rsid w:val="00F81544"/>
    <w:rsid w:val="00F81D43"/>
    <w:rsid w:val="00F821EB"/>
    <w:rsid w:val="00F83DA1"/>
    <w:rsid w:val="00F84B95"/>
    <w:rsid w:val="00F8501A"/>
    <w:rsid w:val="00F8649D"/>
    <w:rsid w:val="00F8711D"/>
    <w:rsid w:val="00F87247"/>
    <w:rsid w:val="00F87624"/>
    <w:rsid w:val="00F87A37"/>
    <w:rsid w:val="00F90589"/>
    <w:rsid w:val="00F90B7B"/>
    <w:rsid w:val="00F918B3"/>
    <w:rsid w:val="00F925BF"/>
    <w:rsid w:val="00F92EC6"/>
    <w:rsid w:val="00F93571"/>
    <w:rsid w:val="00F93AAF"/>
    <w:rsid w:val="00F93B28"/>
    <w:rsid w:val="00F9416D"/>
    <w:rsid w:val="00F94606"/>
    <w:rsid w:val="00F94AA2"/>
    <w:rsid w:val="00F95005"/>
    <w:rsid w:val="00F9544E"/>
    <w:rsid w:val="00F959B6"/>
    <w:rsid w:val="00F95A6F"/>
    <w:rsid w:val="00F95D02"/>
    <w:rsid w:val="00F95D60"/>
    <w:rsid w:val="00F96A89"/>
    <w:rsid w:val="00F97390"/>
    <w:rsid w:val="00F975D3"/>
    <w:rsid w:val="00F97E70"/>
    <w:rsid w:val="00F97EBA"/>
    <w:rsid w:val="00F97FAA"/>
    <w:rsid w:val="00FA00A0"/>
    <w:rsid w:val="00FA0778"/>
    <w:rsid w:val="00FA0975"/>
    <w:rsid w:val="00FA1440"/>
    <w:rsid w:val="00FA14B4"/>
    <w:rsid w:val="00FA211E"/>
    <w:rsid w:val="00FA2755"/>
    <w:rsid w:val="00FA2763"/>
    <w:rsid w:val="00FA31FA"/>
    <w:rsid w:val="00FA37B3"/>
    <w:rsid w:val="00FA3B2F"/>
    <w:rsid w:val="00FA3CF0"/>
    <w:rsid w:val="00FA3DCB"/>
    <w:rsid w:val="00FA424E"/>
    <w:rsid w:val="00FA43FA"/>
    <w:rsid w:val="00FA449A"/>
    <w:rsid w:val="00FA4AB7"/>
    <w:rsid w:val="00FA4B3A"/>
    <w:rsid w:val="00FA4F33"/>
    <w:rsid w:val="00FA551B"/>
    <w:rsid w:val="00FA5921"/>
    <w:rsid w:val="00FA61C8"/>
    <w:rsid w:val="00FA66A8"/>
    <w:rsid w:val="00FA6C93"/>
    <w:rsid w:val="00FA6DCB"/>
    <w:rsid w:val="00FA6E2A"/>
    <w:rsid w:val="00FA7BAF"/>
    <w:rsid w:val="00FA7F2E"/>
    <w:rsid w:val="00FB0A28"/>
    <w:rsid w:val="00FB13DC"/>
    <w:rsid w:val="00FB1829"/>
    <w:rsid w:val="00FB1DA0"/>
    <w:rsid w:val="00FB1EE0"/>
    <w:rsid w:val="00FB205F"/>
    <w:rsid w:val="00FB2AB2"/>
    <w:rsid w:val="00FB31CF"/>
    <w:rsid w:val="00FB3412"/>
    <w:rsid w:val="00FB3BCA"/>
    <w:rsid w:val="00FB3D16"/>
    <w:rsid w:val="00FB4712"/>
    <w:rsid w:val="00FB4978"/>
    <w:rsid w:val="00FB4BBD"/>
    <w:rsid w:val="00FB50E6"/>
    <w:rsid w:val="00FB5543"/>
    <w:rsid w:val="00FB6A34"/>
    <w:rsid w:val="00FB6D5B"/>
    <w:rsid w:val="00FB77F1"/>
    <w:rsid w:val="00FB791B"/>
    <w:rsid w:val="00FC017A"/>
    <w:rsid w:val="00FC050E"/>
    <w:rsid w:val="00FC09AC"/>
    <w:rsid w:val="00FC0E5F"/>
    <w:rsid w:val="00FC27B1"/>
    <w:rsid w:val="00FC2A94"/>
    <w:rsid w:val="00FC3669"/>
    <w:rsid w:val="00FC3A8D"/>
    <w:rsid w:val="00FC3B02"/>
    <w:rsid w:val="00FC471B"/>
    <w:rsid w:val="00FC4A05"/>
    <w:rsid w:val="00FC506A"/>
    <w:rsid w:val="00FC5459"/>
    <w:rsid w:val="00FC58BE"/>
    <w:rsid w:val="00FC63BF"/>
    <w:rsid w:val="00FC6868"/>
    <w:rsid w:val="00FC699A"/>
    <w:rsid w:val="00FC6CAE"/>
    <w:rsid w:val="00FC7950"/>
    <w:rsid w:val="00FC7E23"/>
    <w:rsid w:val="00FD036F"/>
    <w:rsid w:val="00FD18CA"/>
    <w:rsid w:val="00FD1FC8"/>
    <w:rsid w:val="00FD1FDB"/>
    <w:rsid w:val="00FD24B8"/>
    <w:rsid w:val="00FD277E"/>
    <w:rsid w:val="00FD2FA3"/>
    <w:rsid w:val="00FD3502"/>
    <w:rsid w:val="00FD3E4A"/>
    <w:rsid w:val="00FD411D"/>
    <w:rsid w:val="00FD46CF"/>
    <w:rsid w:val="00FD4B40"/>
    <w:rsid w:val="00FD50B0"/>
    <w:rsid w:val="00FD50E7"/>
    <w:rsid w:val="00FD6772"/>
    <w:rsid w:val="00FD6829"/>
    <w:rsid w:val="00FD6ED6"/>
    <w:rsid w:val="00FD6F65"/>
    <w:rsid w:val="00FD711D"/>
    <w:rsid w:val="00FD7949"/>
    <w:rsid w:val="00FD7968"/>
    <w:rsid w:val="00FD7DF7"/>
    <w:rsid w:val="00FE08F1"/>
    <w:rsid w:val="00FE0C40"/>
    <w:rsid w:val="00FE1EB4"/>
    <w:rsid w:val="00FE2179"/>
    <w:rsid w:val="00FE2E88"/>
    <w:rsid w:val="00FE33EC"/>
    <w:rsid w:val="00FE4B1D"/>
    <w:rsid w:val="00FE4E6E"/>
    <w:rsid w:val="00FE511B"/>
    <w:rsid w:val="00FE578D"/>
    <w:rsid w:val="00FE59A2"/>
    <w:rsid w:val="00FE59DC"/>
    <w:rsid w:val="00FE5C3B"/>
    <w:rsid w:val="00FE6220"/>
    <w:rsid w:val="00FE6F57"/>
    <w:rsid w:val="00FE706F"/>
    <w:rsid w:val="00FE70CF"/>
    <w:rsid w:val="00FE74C5"/>
    <w:rsid w:val="00FE7CF3"/>
    <w:rsid w:val="00FF0767"/>
    <w:rsid w:val="00FF0E02"/>
    <w:rsid w:val="00FF1EFC"/>
    <w:rsid w:val="00FF21A9"/>
    <w:rsid w:val="00FF25B4"/>
    <w:rsid w:val="00FF29AB"/>
    <w:rsid w:val="00FF2F56"/>
    <w:rsid w:val="00FF30AD"/>
    <w:rsid w:val="00FF3508"/>
    <w:rsid w:val="00FF3AC5"/>
    <w:rsid w:val="00FF3F23"/>
    <w:rsid w:val="00FF3FE0"/>
    <w:rsid w:val="00FF41A8"/>
    <w:rsid w:val="00FF465B"/>
    <w:rsid w:val="00FF48A2"/>
    <w:rsid w:val="00FF54D3"/>
    <w:rsid w:val="00FF5A85"/>
    <w:rsid w:val="00FF6A9F"/>
    <w:rsid w:val="00FF6DF4"/>
    <w:rsid w:val="00FF7444"/>
    <w:rsid w:val="00FF7BDB"/>
    <w:rsid w:val="114C6937"/>
    <w:rsid w:val="55AB3D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pt" color="#000000" dashstyle="dash" endarrow="classic" endarrowwidth="narrow" endarrowlength="long"/>
    </o:shapedefaults>
    <o:shapelayout v:ext="edit">
      <o:idmap v:ext="edit" data="1"/>
      <o:rules v:ext="edit">
        <o:r id="V:Rule1" type="connector" idref="#直接箭头连接符 1"/>
        <o:r id="V:Rule2" type="connector" idref="#直接箭头连接符 10"/>
        <o:r id="V:Rule3" type="connector" idref="#AutoShape 4"/>
        <o:r id="V:Rule4" type="connector" idref="#AutoShape 5"/>
        <o:r id="V:Rule5" type="connector" idref="#_x0000_s1065"/>
        <o:r id="V:Rule6" type="connector" idref="#_x0000_s106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qFormat="1" w:unhideWhenUsed="0"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lang w:val="en-US" w:eastAsia="zh-CN" w:bidi="ar-SA"/>
    </w:rPr>
  </w:style>
  <w:style w:type="paragraph" w:styleId="2">
    <w:name w:val="heading 1"/>
    <w:basedOn w:val="1"/>
    <w:next w:val="1"/>
    <w:qFormat/>
    <w:uiPriority w:val="0"/>
    <w:pPr>
      <w:keepNext/>
      <w:spacing w:line="480" w:lineRule="exact"/>
      <w:outlineLvl w:val="0"/>
    </w:pPr>
    <w:rPr>
      <w:b/>
      <w:sz w:val="30"/>
    </w:rPr>
  </w:style>
  <w:style w:type="paragraph" w:styleId="3">
    <w:name w:val="heading 2"/>
    <w:basedOn w:val="1"/>
    <w:next w:val="1"/>
    <w:qFormat/>
    <w:uiPriority w:val="0"/>
    <w:pPr>
      <w:keepNext/>
      <w:keepLines/>
      <w:spacing w:line="440" w:lineRule="exact"/>
      <w:outlineLvl w:val="1"/>
    </w:pPr>
    <w:rPr>
      <w:b/>
      <w:bCs/>
      <w:sz w:val="28"/>
      <w:szCs w:val="32"/>
    </w:rPr>
  </w:style>
  <w:style w:type="paragraph" w:styleId="4">
    <w:name w:val="heading 3"/>
    <w:basedOn w:val="1"/>
    <w:next w:val="1"/>
    <w:qFormat/>
    <w:uiPriority w:val="0"/>
    <w:pPr>
      <w:keepNext/>
      <w:keepLines/>
      <w:spacing w:line="480" w:lineRule="exact"/>
      <w:ind w:firstLine="200" w:firstLineChars="200"/>
      <w:outlineLvl w:val="2"/>
    </w:pPr>
    <w:rPr>
      <w:b/>
      <w:bCs/>
      <w:sz w:val="24"/>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Document Map"/>
    <w:basedOn w:val="1"/>
    <w:link w:val="65"/>
    <w:qFormat/>
    <w:uiPriority w:val="0"/>
    <w:rPr>
      <w:rFonts w:ascii="SimSun"/>
      <w:sz w:val="18"/>
      <w:szCs w:val="18"/>
    </w:rPr>
  </w:style>
  <w:style w:type="paragraph" w:styleId="7">
    <w:name w:val="annotation text"/>
    <w:basedOn w:val="1"/>
    <w:link w:val="58"/>
    <w:qFormat/>
    <w:uiPriority w:val="99"/>
  </w:style>
  <w:style w:type="paragraph" w:styleId="8">
    <w:name w:val="Body Text 3"/>
    <w:basedOn w:val="1"/>
    <w:qFormat/>
    <w:uiPriority w:val="0"/>
    <w:pPr>
      <w:tabs>
        <w:tab w:val="left" w:pos="0"/>
      </w:tabs>
      <w:spacing w:line="360" w:lineRule="auto"/>
    </w:pPr>
    <w:rPr>
      <w:sz w:val="24"/>
    </w:rPr>
  </w:style>
  <w:style w:type="paragraph" w:styleId="9">
    <w:name w:val="Body Text"/>
    <w:basedOn w:val="1"/>
    <w:link w:val="33"/>
    <w:qFormat/>
    <w:uiPriority w:val="0"/>
    <w:pPr>
      <w:spacing w:line="360" w:lineRule="auto"/>
    </w:pPr>
    <w:rPr>
      <w:kern w:val="2"/>
      <w:sz w:val="28"/>
      <w:szCs w:val="24"/>
    </w:rPr>
  </w:style>
  <w:style w:type="paragraph" w:styleId="10">
    <w:name w:val="Body Text Indent"/>
    <w:basedOn w:val="1"/>
    <w:qFormat/>
    <w:uiPriority w:val="0"/>
    <w:pPr>
      <w:spacing w:line="360" w:lineRule="auto"/>
      <w:ind w:firstLine="560" w:firstLineChars="200"/>
    </w:pPr>
    <w:rPr>
      <w:rFonts w:ascii="SimSun" w:hAnsi="SimSun"/>
      <w:sz w:val="28"/>
    </w:rPr>
  </w:style>
  <w:style w:type="paragraph" w:styleId="11">
    <w:name w:val="toc 5"/>
    <w:basedOn w:val="1"/>
    <w:next w:val="1"/>
    <w:semiHidden/>
    <w:qFormat/>
    <w:uiPriority w:val="0"/>
    <w:pPr>
      <w:spacing w:line="400" w:lineRule="exact"/>
      <w:jc w:val="center"/>
    </w:pPr>
    <w:rPr>
      <w:rFonts w:ascii="仿宋_GB2312" w:hAnsi="方正仿宋_GBK" w:eastAsia="仿宋_GB2312" w:cs="方正仿宋_GBK"/>
      <w:color w:val="000000"/>
      <w:sz w:val="28"/>
    </w:rPr>
  </w:style>
  <w:style w:type="paragraph" w:styleId="12">
    <w:name w:val="Plain Text"/>
    <w:basedOn w:val="1"/>
    <w:qFormat/>
    <w:uiPriority w:val="99"/>
    <w:rPr>
      <w:rFonts w:hint="eastAsia" w:ascii="SimSun" w:hAnsi="Courier New"/>
    </w:rPr>
  </w:style>
  <w:style w:type="paragraph" w:styleId="13">
    <w:name w:val="Date"/>
    <w:basedOn w:val="1"/>
    <w:next w:val="1"/>
    <w:uiPriority w:val="0"/>
    <w:pPr>
      <w:ind w:left="100" w:leftChars="2500"/>
    </w:pPr>
    <w:rPr>
      <w:sz w:val="24"/>
    </w:rPr>
  </w:style>
  <w:style w:type="paragraph" w:styleId="14">
    <w:name w:val="Body Text Indent 2"/>
    <w:basedOn w:val="1"/>
    <w:link w:val="32"/>
    <w:uiPriority w:val="0"/>
    <w:pPr>
      <w:spacing w:line="360" w:lineRule="auto"/>
      <w:ind w:left="-2" w:leftChars="-1" w:firstLine="560" w:firstLineChars="200"/>
    </w:pPr>
    <w:rPr>
      <w:kern w:val="2"/>
      <w:sz w:val="28"/>
      <w:szCs w:val="24"/>
    </w:rPr>
  </w:style>
  <w:style w:type="paragraph" w:styleId="15">
    <w:name w:val="Balloon Text"/>
    <w:basedOn w:val="1"/>
    <w:link w:val="60"/>
    <w:qFormat/>
    <w:uiPriority w:val="0"/>
    <w:rPr>
      <w:sz w:val="18"/>
      <w:szCs w:val="18"/>
    </w:rPr>
  </w:style>
  <w:style w:type="paragraph" w:styleId="16">
    <w:name w:val="footer"/>
    <w:basedOn w:val="1"/>
    <w:link w:val="56"/>
    <w:uiPriority w:val="99"/>
    <w:pPr>
      <w:tabs>
        <w:tab w:val="center" w:pos="4153"/>
        <w:tab w:val="right" w:pos="8306"/>
      </w:tabs>
      <w:snapToGrid w:val="0"/>
    </w:pPr>
    <w:rPr>
      <w:sz w:val="18"/>
      <w:szCs w:val="18"/>
    </w:rPr>
  </w:style>
  <w:style w:type="paragraph" w:styleId="1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line="480" w:lineRule="exact"/>
    </w:pPr>
    <w:rPr>
      <w:b/>
      <w:sz w:val="24"/>
    </w:rPr>
  </w:style>
  <w:style w:type="paragraph" w:styleId="19">
    <w:name w:val="List"/>
    <w:basedOn w:val="1"/>
    <w:qFormat/>
    <w:uiPriority w:val="0"/>
    <w:pPr>
      <w:ind w:left="200" w:hanging="200" w:hangingChars="200"/>
    </w:pPr>
  </w:style>
  <w:style w:type="paragraph" w:styleId="20">
    <w:name w:val="Body Text Indent 3"/>
    <w:basedOn w:val="1"/>
    <w:uiPriority w:val="0"/>
    <w:pPr>
      <w:spacing w:line="360" w:lineRule="auto"/>
      <w:ind w:firstLine="480" w:firstLineChars="200"/>
    </w:pPr>
    <w:rPr>
      <w:rFonts w:ascii="SimSun"/>
      <w:sz w:val="24"/>
    </w:rPr>
  </w:style>
  <w:style w:type="paragraph" w:styleId="21">
    <w:name w:val="Body Text 2"/>
    <w:basedOn w:val="1"/>
    <w:uiPriority w:val="0"/>
    <w:pPr>
      <w:jc w:val="center"/>
    </w:pPr>
    <w:rPr>
      <w:sz w:val="24"/>
    </w:rPr>
  </w:style>
  <w:style w:type="paragraph" w:styleId="22">
    <w:name w:val="Normal (Web)"/>
    <w:basedOn w:val="1"/>
    <w:uiPriority w:val="0"/>
    <w:pPr>
      <w:spacing w:before="100" w:beforeAutospacing="1" w:after="100" w:afterAutospacing="1"/>
    </w:pPr>
    <w:rPr>
      <w:rFonts w:ascii="SimSun" w:hAnsi="SimSun"/>
      <w:sz w:val="24"/>
    </w:rPr>
  </w:style>
  <w:style w:type="paragraph" w:styleId="23">
    <w:name w:val="Title"/>
    <w:basedOn w:val="1"/>
    <w:next w:val="1"/>
    <w:link w:val="67"/>
    <w:qFormat/>
    <w:uiPriority w:val="0"/>
    <w:pPr>
      <w:spacing w:before="240" w:after="60"/>
      <w:jc w:val="center"/>
      <w:outlineLvl w:val="0"/>
    </w:pPr>
    <w:rPr>
      <w:rFonts w:asciiTheme="majorHAnsi" w:hAnsiTheme="majorHAnsi" w:cstheme="majorBidi"/>
      <w:b/>
      <w:bCs/>
      <w:sz w:val="32"/>
      <w:szCs w:val="32"/>
    </w:rPr>
  </w:style>
  <w:style w:type="paragraph" w:styleId="24">
    <w:name w:val="annotation subject"/>
    <w:basedOn w:val="7"/>
    <w:next w:val="7"/>
    <w:link w:val="57"/>
    <w:qFormat/>
    <w:uiPriority w:val="0"/>
    <w:pPr>
      <w:widowControl w:val="0"/>
      <w:spacing w:line="360" w:lineRule="auto"/>
    </w:pPr>
    <w:rPr>
      <w:b/>
      <w:bCs/>
      <w:kern w:val="2"/>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uiPriority w:val="0"/>
  </w:style>
  <w:style w:type="character" w:styleId="29">
    <w:name w:val="Hyperlink"/>
    <w:uiPriority w:val="99"/>
    <w:rPr>
      <w:color w:val="333333"/>
      <w:u w:val="none"/>
    </w:rPr>
  </w:style>
  <w:style w:type="character" w:styleId="30">
    <w:name w:val="annotation reference"/>
    <w:semiHidden/>
    <w:uiPriority w:val="0"/>
    <w:rPr>
      <w:sz w:val="21"/>
      <w:szCs w:val="21"/>
    </w:rPr>
  </w:style>
  <w:style w:type="paragraph" w:customStyle="1" w:styleId="31">
    <w:name w:val="样式4"/>
    <w:basedOn w:val="1"/>
    <w:next w:val="1"/>
    <w:uiPriority w:val="0"/>
    <w:pPr>
      <w:spacing w:line="440" w:lineRule="exact"/>
    </w:pPr>
    <w:rPr>
      <w:sz w:val="24"/>
    </w:rPr>
  </w:style>
  <w:style w:type="character" w:customStyle="1" w:styleId="32">
    <w:name w:val="正文文本缩进 2 字符"/>
    <w:link w:val="14"/>
    <w:uiPriority w:val="0"/>
    <w:rPr>
      <w:rFonts w:eastAsia="SimSun"/>
      <w:kern w:val="2"/>
      <w:sz w:val="28"/>
      <w:szCs w:val="24"/>
      <w:lang w:val="en-US" w:eastAsia="zh-CN" w:bidi="ar-SA"/>
    </w:rPr>
  </w:style>
  <w:style w:type="character" w:customStyle="1" w:styleId="33">
    <w:name w:val="正文文本 字符"/>
    <w:link w:val="9"/>
    <w:uiPriority w:val="0"/>
    <w:rPr>
      <w:rFonts w:eastAsia="SimSun"/>
      <w:kern w:val="2"/>
      <w:sz w:val="28"/>
      <w:szCs w:val="24"/>
      <w:lang w:val="en-US" w:eastAsia="zh-CN" w:bidi="ar-SA"/>
    </w:rPr>
  </w:style>
  <w:style w:type="paragraph" w:customStyle="1" w:styleId="34">
    <w:name w:val="默认段落字体 Para Char Char Char Char"/>
    <w:basedOn w:val="1"/>
    <w:qFormat/>
    <w:uiPriority w:val="0"/>
    <w:rPr>
      <w:sz w:val="24"/>
    </w:rPr>
  </w:style>
  <w:style w:type="paragraph" w:customStyle="1" w:styleId="35">
    <w:name w:val="正文1"/>
    <w:basedOn w:val="1"/>
    <w:uiPriority w:val="0"/>
    <w:pPr>
      <w:adjustRightInd w:val="0"/>
      <w:snapToGrid w:val="0"/>
      <w:spacing w:line="500" w:lineRule="atLeast"/>
      <w:ind w:firstLine="567"/>
    </w:pPr>
    <w:rPr>
      <w:sz w:val="28"/>
    </w:rPr>
  </w:style>
  <w:style w:type="paragraph" w:customStyle="1" w:styleId="36">
    <w:name w:val="表题"/>
    <w:next w:val="37"/>
    <w:link w:val="51"/>
    <w:qFormat/>
    <w:uiPriority w:val="0"/>
    <w:pPr>
      <w:spacing w:line="480" w:lineRule="exact"/>
      <w:jc w:val="center"/>
    </w:pPr>
    <w:rPr>
      <w:rFonts w:ascii="Times New Roman" w:hAnsi="Times New Roman" w:eastAsia="SimSun" w:cs="SimSun"/>
      <w:b/>
      <w:bCs/>
      <w:sz w:val="21"/>
      <w:lang w:val="en-US" w:eastAsia="zh-CN" w:bidi="ar-SA"/>
    </w:rPr>
  </w:style>
  <w:style w:type="paragraph" w:customStyle="1" w:styleId="37">
    <w:name w:val="-正文"/>
    <w:basedOn w:val="1"/>
    <w:link w:val="38"/>
    <w:qFormat/>
    <w:uiPriority w:val="0"/>
    <w:pPr>
      <w:widowControl w:val="0"/>
      <w:spacing w:line="480" w:lineRule="exact"/>
      <w:ind w:firstLine="200" w:firstLineChars="200"/>
      <w:jc w:val="both"/>
    </w:pPr>
    <w:rPr>
      <w:rFonts w:cs="SimSun"/>
      <w:kern w:val="2"/>
      <w:sz w:val="24"/>
    </w:rPr>
  </w:style>
  <w:style w:type="character" w:customStyle="1" w:styleId="38">
    <w:name w:val="-正文 Char"/>
    <w:link w:val="37"/>
    <w:qFormat/>
    <w:uiPriority w:val="0"/>
    <w:rPr>
      <w:rFonts w:cs="SimSun"/>
      <w:kern w:val="2"/>
      <w:sz w:val="24"/>
    </w:rPr>
  </w:style>
  <w:style w:type="paragraph" w:customStyle="1" w:styleId="39">
    <w:name w:val="样式3"/>
    <w:basedOn w:val="5"/>
    <w:uiPriority w:val="0"/>
    <w:pPr>
      <w:spacing w:line="520" w:lineRule="atLeast"/>
      <w:ind w:firstLine="560"/>
    </w:pPr>
    <w:rPr>
      <w:sz w:val="28"/>
    </w:rPr>
  </w:style>
  <w:style w:type="paragraph" w:customStyle="1" w:styleId="40">
    <w:name w:val="表中文字"/>
    <w:basedOn w:val="1"/>
    <w:qFormat/>
    <w:uiPriority w:val="0"/>
    <w:pPr>
      <w:widowControl w:val="0"/>
      <w:spacing w:line="300" w:lineRule="exact"/>
      <w:jc w:val="center"/>
    </w:pPr>
    <w:rPr>
      <w:color w:val="000000"/>
      <w:kern w:val="2"/>
      <w:sz w:val="21"/>
      <w:szCs w:val="24"/>
    </w:rPr>
  </w:style>
  <w:style w:type="paragraph" w:customStyle="1" w:styleId="41">
    <w:name w:val="表格文字"/>
    <w:basedOn w:val="1"/>
    <w:link w:val="70"/>
    <w:qFormat/>
    <w:uiPriority w:val="0"/>
    <w:pPr>
      <w:autoSpaceDE w:val="0"/>
      <w:autoSpaceDN w:val="0"/>
      <w:adjustRightInd w:val="0"/>
      <w:jc w:val="center"/>
      <w:textAlignment w:val="bottom"/>
    </w:pPr>
    <w:rPr>
      <w:sz w:val="21"/>
    </w:rPr>
  </w:style>
  <w:style w:type="paragraph" w:customStyle="1" w:styleId="42">
    <w:name w:val="样式1"/>
    <w:basedOn w:val="1"/>
    <w:qFormat/>
    <w:uiPriority w:val="0"/>
    <w:pPr>
      <w:adjustRightInd w:val="0"/>
      <w:spacing w:line="360" w:lineRule="auto"/>
      <w:ind w:left="50" w:leftChars="50" w:right="50" w:rightChars="50" w:firstLine="200" w:firstLineChars="200"/>
      <w:textAlignment w:val="baseline"/>
    </w:pPr>
    <w:rPr>
      <w:rFonts w:ascii="SimSun" w:hAnsi="SimSun"/>
      <w:sz w:val="28"/>
    </w:rPr>
  </w:style>
  <w:style w:type="paragraph" w:customStyle="1" w:styleId="43">
    <w:name w:val="段落"/>
    <w:basedOn w:val="1"/>
    <w:qFormat/>
    <w:uiPriority w:val="0"/>
    <w:pPr>
      <w:spacing w:line="360" w:lineRule="auto"/>
      <w:ind w:firstLine="560" w:firstLineChars="200"/>
    </w:pPr>
    <w:rPr>
      <w:rFonts w:ascii="SimSun" w:hAnsi="SimSun"/>
      <w:color w:val="FF0000"/>
      <w:sz w:val="28"/>
      <w:szCs w:val="28"/>
    </w:rPr>
  </w:style>
  <w:style w:type="paragraph" w:customStyle="1" w:styleId="44">
    <w:name w:val="中文报告书样式"/>
    <w:basedOn w:val="1"/>
    <w:qFormat/>
    <w:uiPriority w:val="0"/>
    <w:pPr>
      <w:adjustRightInd w:val="0"/>
      <w:snapToGrid w:val="0"/>
      <w:spacing w:line="480" w:lineRule="atLeast"/>
      <w:ind w:firstLine="200" w:firstLineChars="200"/>
      <w:textAlignment w:val="baseline"/>
    </w:pPr>
    <w:rPr>
      <w:snapToGrid w:val="0"/>
      <w:sz w:val="24"/>
    </w:rPr>
  </w:style>
  <w:style w:type="paragraph" w:customStyle="1" w:styleId="45">
    <w:name w:val="正文01"/>
    <w:basedOn w:val="1"/>
    <w:qFormat/>
    <w:uiPriority w:val="0"/>
    <w:pPr>
      <w:adjustRightInd w:val="0"/>
      <w:snapToGrid w:val="0"/>
      <w:spacing w:before="60" w:line="460" w:lineRule="exact"/>
      <w:ind w:firstLine="200" w:firstLineChars="200"/>
    </w:pPr>
    <w:rPr>
      <w:sz w:val="24"/>
    </w:rPr>
  </w:style>
  <w:style w:type="paragraph" w:customStyle="1" w:styleId="46">
    <w:name w:val="样式 正文首行缩进:  2 字符 + 首行缩进:  2 字符"/>
    <w:basedOn w:val="1"/>
    <w:qFormat/>
    <w:uiPriority w:val="0"/>
    <w:pPr>
      <w:widowControl w:val="0"/>
      <w:spacing w:line="360" w:lineRule="auto"/>
      <w:ind w:firstLine="480" w:firstLineChars="200"/>
      <w:jc w:val="both"/>
    </w:pPr>
    <w:rPr>
      <w:rFonts w:cs="SimSun"/>
      <w:kern w:val="2"/>
      <w:sz w:val="24"/>
    </w:rPr>
  </w:style>
  <w:style w:type="paragraph" w:customStyle="1" w:styleId="47">
    <w:name w:val="表格"/>
    <w:link w:val="48"/>
    <w:qFormat/>
    <w:uiPriority w:val="0"/>
    <w:pPr>
      <w:jc w:val="center"/>
    </w:pPr>
    <w:rPr>
      <w:rFonts w:ascii="Times New Roman" w:hAnsi="Times New Roman" w:eastAsia="SimSun" w:cs="Times New Roman"/>
      <w:kern w:val="2"/>
      <w:sz w:val="21"/>
      <w:szCs w:val="24"/>
      <w:lang w:val="en-US" w:eastAsia="zh-CN" w:bidi="ar-SA"/>
    </w:rPr>
  </w:style>
  <w:style w:type="character" w:customStyle="1" w:styleId="48">
    <w:name w:val="表格 Char"/>
    <w:link w:val="47"/>
    <w:qFormat/>
    <w:uiPriority w:val="0"/>
    <w:rPr>
      <w:kern w:val="2"/>
      <w:sz w:val="21"/>
      <w:szCs w:val="24"/>
      <w:lang w:bidi="ar-SA"/>
    </w:rPr>
  </w:style>
  <w:style w:type="character" w:customStyle="1" w:styleId="49">
    <w:name w:val="-表格 Char"/>
    <w:link w:val="50"/>
    <w:qFormat/>
    <w:uiPriority w:val="0"/>
    <w:rPr>
      <w:rFonts w:cs="SimSun"/>
      <w:snapToGrid w:val="0"/>
      <w:kern w:val="2"/>
      <w:sz w:val="21"/>
    </w:rPr>
  </w:style>
  <w:style w:type="paragraph" w:customStyle="1" w:styleId="50">
    <w:name w:val="-表格"/>
    <w:basedOn w:val="47"/>
    <w:next w:val="1"/>
    <w:link w:val="49"/>
    <w:qFormat/>
    <w:uiPriority w:val="0"/>
    <w:pPr>
      <w:tabs>
        <w:tab w:val="left" w:pos="3696"/>
      </w:tabs>
    </w:pPr>
    <w:rPr>
      <w:snapToGrid w:val="0"/>
      <w:szCs w:val="20"/>
    </w:rPr>
  </w:style>
  <w:style w:type="character" w:customStyle="1" w:styleId="51">
    <w:name w:val="表题 Char"/>
    <w:link w:val="36"/>
    <w:qFormat/>
    <w:uiPriority w:val="0"/>
    <w:rPr>
      <w:rFonts w:cs="SimSun"/>
      <w:b/>
      <w:bCs/>
      <w:sz w:val="21"/>
      <w:lang w:val="en-US" w:eastAsia="zh-CN" w:bidi="ar-SA"/>
    </w:rPr>
  </w:style>
  <w:style w:type="paragraph" w:customStyle="1" w:styleId="52">
    <w:name w:val="正文-1"/>
    <w:link w:val="53"/>
    <w:qFormat/>
    <w:uiPriority w:val="0"/>
    <w:pPr>
      <w:spacing w:line="480" w:lineRule="exact"/>
      <w:ind w:firstLine="200" w:firstLineChars="200"/>
      <w:jc w:val="both"/>
    </w:pPr>
    <w:rPr>
      <w:rFonts w:ascii="Times New Roman" w:hAnsi="Times New Roman" w:eastAsia="SimSun" w:cs="SimSun"/>
      <w:kern w:val="2"/>
      <w:sz w:val="24"/>
      <w:lang w:val="en-US" w:eastAsia="zh-CN" w:bidi="ar-SA"/>
    </w:rPr>
  </w:style>
  <w:style w:type="character" w:customStyle="1" w:styleId="53">
    <w:name w:val="正文-1 Char"/>
    <w:link w:val="52"/>
    <w:qFormat/>
    <w:uiPriority w:val="0"/>
    <w:rPr>
      <w:rFonts w:cs="SimSun"/>
      <w:kern w:val="2"/>
      <w:sz w:val="24"/>
      <w:lang w:val="en-US" w:eastAsia="zh-CN" w:bidi="ar-SA"/>
    </w:rPr>
  </w:style>
  <w:style w:type="paragraph" w:customStyle="1" w:styleId="54">
    <w:name w:val="-表题"/>
    <w:next w:val="37"/>
    <w:link w:val="55"/>
    <w:qFormat/>
    <w:uiPriority w:val="0"/>
    <w:pPr>
      <w:spacing w:line="480" w:lineRule="exact"/>
      <w:jc w:val="center"/>
    </w:pPr>
    <w:rPr>
      <w:rFonts w:ascii="Times New Roman" w:hAnsi="Times New Roman" w:eastAsia="SimSun" w:cs="Times New Roman"/>
      <w:b/>
      <w:kern w:val="2"/>
      <w:sz w:val="21"/>
      <w:szCs w:val="24"/>
      <w:lang w:val="en-US" w:eastAsia="zh-CN" w:bidi="ar-SA"/>
    </w:rPr>
  </w:style>
  <w:style w:type="character" w:customStyle="1" w:styleId="55">
    <w:name w:val="-表题 Char"/>
    <w:link w:val="54"/>
    <w:qFormat/>
    <w:uiPriority w:val="0"/>
    <w:rPr>
      <w:b/>
      <w:kern w:val="2"/>
      <w:sz w:val="21"/>
      <w:szCs w:val="24"/>
      <w:lang w:val="en-US" w:eastAsia="zh-CN" w:bidi="ar-SA"/>
    </w:rPr>
  </w:style>
  <w:style w:type="character" w:customStyle="1" w:styleId="56">
    <w:name w:val="页脚 字符"/>
    <w:link w:val="16"/>
    <w:qFormat/>
    <w:uiPriority w:val="99"/>
    <w:rPr>
      <w:sz w:val="18"/>
      <w:szCs w:val="18"/>
    </w:rPr>
  </w:style>
  <w:style w:type="character" w:customStyle="1" w:styleId="57">
    <w:name w:val="批注主题 字符"/>
    <w:link w:val="24"/>
    <w:qFormat/>
    <w:uiPriority w:val="0"/>
    <w:rPr>
      <w:b/>
      <w:bCs/>
      <w:kern w:val="2"/>
      <w:sz w:val="24"/>
      <w:szCs w:val="24"/>
    </w:rPr>
  </w:style>
  <w:style w:type="character" w:customStyle="1" w:styleId="58">
    <w:name w:val="批注文字 字符"/>
    <w:basedOn w:val="27"/>
    <w:link w:val="7"/>
    <w:qFormat/>
    <w:uiPriority w:val="99"/>
  </w:style>
  <w:style w:type="character" w:customStyle="1" w:styleId="59">
    <w:name w:val="批注主题 Char1"/>
    <w:qFormat/>
    <w:uiPriority w:val="0"/>
    <w:rPr>
      <w:b/>
      <w:bCs/>
    </w:rPr>
  </w:style>
  <w:style w:type="character" w:customStyle="1" w:styleId="60">
    <w:name w:val="批注框文本 字符"/>
    <w:link w:val="15"/>
    <w:qFormat/>
    <w:uiPriority w:val="0"/>
    <w:rPr>
      <w:sz w:val="18"/>
      <w:szCs w:val="18"/>
    </w:rPr>
  </w:style>
  <w:style w:type="paragraph" w:customStyle="1" w:styleId="61">
    <w:name w:val="标题-3"/>
    <w:basedOn w:val="1"/>
    <w:qFormat/>
    <w:uiPriority w:val="0"/>
    <w:pPr>
      <w:widowControl w:val="0"/>
      <w:spacing w:line="480" w:lineRule="exact"/>
      <w:ind w:firstLine="482" w:firstLineChars="200"/>
      <w:jc w:val="both"/>
    </w:pPr>
    <w:rPr>
      <w:rFonts w:cs="SimSun"/>
      <w:b/>
      <w:bCs/>
      <w:kern w:val="2"/>
      <w:sz w:val="24"/>
    </w:rPr>
  </w:style>
  <w:style w:type="paragraph" w:customStyle="1" w:styleId="62">
    <w:name w:val="表格1"/>
    <w:basedOn w:val="1"/>
    <w:qFormat/>
    <w:uiPriority w:val="0"/>
    <w:pPr>
      <w:widowControl w:val="0"/>
      <w:adjustRightInd w:val="0"/>
      <w:spacing w:line="20" w:lineRule="atLeast"/>
      <w:jc w:val="center"/>
      <w:textAlignment w:val="center"/>
    </w:pPr>
    <w:rPr>
      <w:sz w:val="21"/>
    </w:rPr>
  </w:style>
  <w:style w:type="paragraph" w:customStyle="1" w:styleId="63">
    <w:name w:val="默认段落字体 Para Char Char Char Char Char Char Char Char Char Char"/>
    <w:basedOn w:val="4"/>
    <w:qFormat/>
    <w:uiPriority w:val="0"/>
    <w:pPr>
      <w:widowControl w:val="0"/>
      <w:tabs>
        <w:tab w:val="left" w:pos="360"/>
        <w:tab w:val="left" w:pos="900"/>
      </w:tabs>
      <w:snapToGrid w:val="0"/>
      <w:spacing w:before="120" w:after="120" w:line="360" w:lineRule="auto"/>
      <w:ind w:left="542" w:leftChars="-12"/>
    </w:pPr>
    <w:rPr>
      <w:rFonts w:eastAsia="SimHei"/>
      <w:b w:val="0"/>
      <w:bCs w:val="0"/>
      <w:snapToGrid w:val="0"/>
      <w:kern w:val="2"/>
      <w:szCs w:val="24"/>
    </w:rPr>
  </w:style>
  <w:style w:type="paragraph" w:customStyle="1" w:styleId="64">
    <w:name w:val="Table Paragraph"/>
    <w:basedOn w:val="1"/>
    <w:qFormat/>
    <w:uiPriority w:val="1"/>
    <w:pPr>
      <w:widowControl w:val="0"/>
      <w:autoSpaceDE w:val="0"/>
      <w:autoSpaceDN w:val="0"/>
      <w:adjustRightInd w:val="0"/>
    </w:pPr>
    <w:rPr>
      <w:sz w:val="24"/>
      <w:szCs w:val="24"/>
    </w:rPr>
  </w:style>
  <w:style w:type="character" w:customStyle="1" w:styleId="65">
    <w:name w:val="文档结构图 字符"/>
    <w:link w:val="6"/>
    <w:qFormat/>
    <w:uiPriority w:val="0"/>
    <w:rPr>
      <w:rFonts w:ascii="SimSun"/>
      <w:sz w:val="18"/>
      <w:szCs w:val="18"/>
    </w:rPr>
  </w:style>
  <w:style w:type="character" w:styleId="66">
    <w:name w:val="Placeholder Text"/>
    <w:basedOn w:val="27"/>
    <w:semiHidden/>
    <w:qFormat/>
    <w:uiPriority w:val="99"/>
    <w:rPr>
      <w:color w:val="808080"/>
    </w:rPr>
  </w:style>
  <w:style w:type="character" w:customStyle="1" w:styleId="67">
    <w:name w:val="标题 字符"/>
    <w:basedOn w:val="27"/>
    <w:link w:val="23"/>
    <w:qFormat/>
    <w:uiPriority w:val="0"/>
    <w:rPr>
      <w:rFonts w:asciiTheme="majorHAnsi" w:hAnsiTheme="majorHAnsi" w:cstheme="majorBidi"/>
      <w:b/>
      <w:bCs/>
      <w:sz w:val="32"/>
      <w:szCs w:val="32"/>
    </w:rPr>
  </w:style>
  <w:style w:type="character" w:customStyle="1" w:styleId="68">
    <w:name w:val="111表格的格式 Char"/>
    <w:link w:val="69"/>
    <w:qFormat/>
    <w:uiPriority w:val="0"/>
    <w:rPr>
      <w:rFonts w:ascii="Calibri" w:hAnsi="Calibri"/>
      <w:kern w:val="2"/>
      <w:sz w:val="21"/>
      <w:szCs w:val="24"/>
    </w:rPr>
  </w:style>
  <w:style w:type="paragraph" w:customStyle="1" w:styleId="69">
    <w:name w:val="111表格的格式"/>
    <w:basedOn w:val="1"/>
    <w:link w:val="68"/>
    <w:qFormat/>
    <w:uiPriority w:val="0"/>
    <w:pPr>
      <w:widowControl w:val="0"/>
      <w:adjustRightInd w:val="0"/>
      <w:snapToGrid w:val="0"/>
      <w:jc w:val="center"/>
    </w:pPr>
    <w:rPr>
      <w:rFonts w:ascii="Calibri" w:hAnsi="Calibri"/>
      <w:kern w:val="2"/>
      <w:sz w:val="21"/>
      <w:szCs w:val="24"/>
    </w:rPr>
  </w:style>
  <w:style w:type="character" w:customStyle="1" w:styleId="70">
    <w:name w:val="表格文字 Char Char"/>
    <w:link w:val="41"/>
    <w:uiPriority w:val="0"/>
    <w:rPr>
      <w:sz w:val="21"/>
    </w:rPr>
  </w:style>
  <w:style w:type="paragraph" w:customStyle="1" w:styleId="71">
    <w:name w:val="Default"/>
    <w:qFormat/>
    <w:uiPriority w:val="0"/>
    <w:pPr>
      <w:widowControl w:val="0"/>
      <w:autoSpaceDE w:val="0"/>
      <w:autoSpaceDN w:val="0"/>
      <w:adjustRightInd w:val="0"/>
    </w:pPr>
    <w:rPr>
      <w:rFonts w:ascii="SimSun" w:hAnsi="Times New Roman" w:eastAsia="SimSun" w:cs="SimSun"/>
      <w:color w:val="000000"/>
      <w:sz w:val="24"/>
      <w:szCs w:val="24"/>
      <w:lang w:val="en-US" w:eastAsia="zh-CN" w:bidi="ar-SA"/>
    </w:rPr>
  </w:style>
  <w:style w:type="paragraph" w:customStyle="1" w:styleId="72">
    <w:name w:val="0正文"/>
    <w:basedOn w:val="1"/>
    <w:next w:val="1"/>
    <w:link w:val="73"/>
    <w:qFormat/>
    <w:uiPriority w:val="0"/>
    <w:pPr>
      <w:widowControl w:val="0"/>
      <w:spacing w:line="360" w:lineRule="auto"/>
      <w:ind w:firstLine="200" w:firstLineChars="200"/>
    </w:pPr>
    <w:rPr>
      <w:sz w:val="24"/>
    </w:rPr>
  </w:style>
  <w:style w:type="character" w:customStyle="1" w:styleId="73">
    <w:name w:val="0正文 Char"/>
    <w:link w:val="72"/>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8.wmf"/><Relationship Id="rId21" Type="http://schemas.openxmlformats.org/officeDocument/2006/relationships/oleObject" Target="embeddings/oleObject4.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6.emf"/><Relationship Id="rId17" Type="http://schemas.openxmlformats.org/officeDocument/2006/relationships/oleObject" Target="embeddings/oleObject2.bin"/><Relationship Id="rId16" Type="http://schemas.openxmlformats.org/officeDocument/2006/relationships/image" Target="media/image5.emf"/><Relationship Id="rId15" Type="http://schemas.openxmlformats.org/officeDocument/2006/relationships/oleObject" Target="embeddings/oleObject1.bin"/><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emf"/><Relationship Id="rId11" Type="http://schemas.openxmlformats.org/officeDocument/2006/relationships/image" Target="media/image1.em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50"/>
    <customShpInfo spid="_x0000_s1058"/>
    <customShpInfo spid="_x0000_s1026"/>
    <customShpInfo spid="_x0000_s1027"/>
    <customShpInfo spid="_x0000_s1028"/>
    <customShpInfo spid="_x0000_s1040"/>
    <customShpInfo spid="_x0000_s1039"/>
    <customShpInfo spid="_x0000_s1038"/>
    <customShpInfo spid="_x0000_s1037"/>
    <customShpInfo spid="_x0000_s1069"/>
    <customShpInfo spid="_x0000_s1068"/>
    <customShpInfo spid="_x0000_s1067"/>
    <customShpInfo spid="_x0000_s1066"/>
    <customShpInfo spid="_x0000_s1065"/>
    <customShpInfo spid="_x0000_s1031"/>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565D1F-93D7-4292-BD93-83058957EDDB}">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Pages>
  <Words>6785</Words>
  <Characters>38681</Characters>
  <Lines>322</Lines>
  <Paragraphs>90</Paragraphs>
  <TotalTime>5484</TotalTime>
  <ScaleCrop>false</ScaleCrop>
  <LinksUpToDate>false</LinksUpToDate>
  <CharactersWithSpaces>45376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2019-09-12T02:34:00Z</dcterms:created>
  <dc:creator>Hy</dc:creator>
  <cp:lastModifiedBy>wu</cp:lastModifiedBy>
  <dcterms:modified xsi:type="dcterms:W3CDTF">2020-03-17T03:42:11Z</dcterms:modified>
  <dc:title>   </dc:title>
  <cp:revision>863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