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00" w:lineRule="exact"/>
        <w:rPr>
          <w:rFonts w:eastAsiaTheme="minorEastAsia"/>
          <w:b/>
          <w:sz w:val="28"/>
          <w:szCs w:val="28"/>
        </w:rPr>
      </w:pPr>
      <w:r>
        <w:rPr>
          <w:rFonts w:hint="eastAsia" w:eastAsiaTheme="minorEastAsia"/>
          <w:b/>
          <w:sz w:val="28"/>
          <w:szCs w:val="28"/>
        </w:rPr>
        <w:t xml:space="preserve"> </w:t>
      </w:r>
      <w:r>
        <w:rPr>
          <w:rFonts w:eastAsiaTheme="minorEastAsia"/>
          <w:b/>
          <w:sz w:val="28"/>
          <w:szCs w:val="28"/>
        </w:rPr>
        <w:t xml:space="preserve">                                            </w:t>
      </w:r>
    </w:p>
    <w:p>
      <w:pPr>
        <w:spacing w:line="400" w:lineRule="exact"/>
        <w:jc w:val="center"/>
        <w:rPr>
          <w:rFonts w:eastAsiaTheme="minorEastAsia"/>
          <w:b/>
          <w:sz w:val="52"/>
          <w:szCs w:val="52"/>
        </w:rPr>
      </w:pPr>
    </w:p>
    <w:p>
      <w:pPr>
        <w:spacing w:line="400" w:lineRule="exact"/>
        <w:jc w:val="center"/>
        <w:rPr>
          <w:rFonts w:eastAsiaTheme="minorEastAsia"/>
          <w:b/>
          <w:sz w:val="52"/>
          <w:szCs w:val="52"/>
        </w:rPr>
      </w:pPr>
    </w:p>
    <w:p>
      <w:pPr>
        <w:spacing w:line="400" w:lineRule="exact"/>
        <w:jc w:val="center"/>
        <w:rPr>
          <w:rFonts w:eastAsiaTheme="minorEastAsia"/>
          <w:b/>
          <w:sz w:val="52"/>
          <w:szCs w:val="52"/>
        </w:rPr>
      </w:pPr>
    </w:p>
    <w:p>
      <w:pPr>
        <w:spacing w:line="360" w:lineRule="auto"/>
        <w:jc w:val="center"/>
        <w:rPr>
          <w:rFonts w:eastAsiaTheme="minorEastAsia"/>
          <w:b/>
          <w:sz w:val="72"/>
          <w:szCs w:val="72"/>
        </w:rPr>
      </w:pPr>
      <w:r>
        <w:rPr>
          <w:rFonts w:eastAsiaTheme="minorEastAsia"/>
          <w:b/>
          <w:sz w:val="72"/>
          <w:szCs w:val="72"/>
        </w:rPr>
        <w:t>建设项目环境影响报告表</w:t>
      </w:r>
    </w:p>
    <w:p>
      <w:pPr>
        <w:spacing w:line="700" w:lineRule="exact"/>
        <w:jc w:val="center"/>
        <w:rPr>
          <w:rFonts w:eastAsiaTheme="minorEastAsia"/>
          <w:sz w:val="36"/>
          <w:szCs w:val="36"/>
        </w:rPr>
      </w:pPr>
      <w:r>
        <w:rPr>
          <w:rFonts w:eastAsiaTheme="minorEastAsia"/>
          <w:sz w:val="36"/>
          <w:szCs w:val="36"/>
        </w:rPr>
        <w:t>（</w:t>
      </w:r>
      <w:r>
        <w:rPr>
          <w:rFonts w:hint="eastAsia" w:eastAsiaTheme="minorEastAsia"/>
          <w:sz w:val="36"/>
          <w:szCs w:val="36"/>
          <w:lang w:eastAsia="zh-CN"/>
        </w:rPr>
        <w:t>公示版</w:t>
      </w:r>
      <w:r>
        <w:rPr>
          <w:rFonts w:eastAsiaTheme="minorEastAsia"/>
          <w:sz w:val="36"/>
          <w:szCs w:val="36"/>
        </w:rPr>
        <w:t>）</w:t>
      </w:r>
    </w:p>
    <w:p>
      <w:pPr>
        <w:spacing w:line="400" w:lineRule="exact"/>
        <w:jc w:val="center"/>
        <w:rPr>
          <w:rFonts w:eastAsiaTheme="minorEastAsia"/>
          <w:sz w:val="36"/>
          <w:szCs w:val="36"/>
        </w:rPr>
      </w:pPr>
    </w:p>
    <w:p>
      <w:pPr>
        <w:spacing w:line="400" w:lineRule="exact"/>
        <w:jc w:val="center"/>
        <w:rPr>
          <w:rFonts w:eastAsiaTheme="minorEastAsia"/>
          <w:sz w:val="36"/>
          <w:szCs w:val="36"/>
        </w:rPr>
      </w:pPr>
    </w:p>
    <w:p>
      <w:pPr>
        <w:spacing w:line="400" w:lineRule="exact"/>
        <w:jc w:val="center"/>
        <w:rPr>
          <w:rFonts w:eastAsiaTheme="minorEastAsia"/>
          <w:sz w:val="36"/>
          <w:szCs w:val="36"/>
        </w:rPr>
      </w:pPr>
    </w:p>
    <w:p>
      <w:pPr>
        <w:spacing w:line="400" w:lineRule="exact"/>
        <w:jc w:val="center"/>
        <w:rPr>
          <w:rFonts w:eastAsiaTheme="minorEastAsia"/>
          <w:spacing w:val="96"/>
          <w:sz w:val="32"/>
          <w:szCs w:val="32"/>
        </w:rPr>
      </w:pPr>
    </w:p>
    <w:p>
      <w:pPr>
        <w:spacing w:line="400" w:lineRule="exact"/>
        <w:jc w:val="center"/>
        <w:rPr>
          <w:rFonts w:eastAsiaTheme="minorEastAsia"/>
          <w:spacing w:val="96"/>
          <w:sz w:val="32"/>
          <w:szCs w:val="32"/>
        </w:rPr>
      </w:pPr>
    </w:p>
    <w:p>
      <w:pPr>
        <w:spacing w:line="400" w:lineRule="exact"/>
        <w:jc w:val="center"/>
        <w:rPr>
          <w:rFonts w:eastAsiaTheme="minorEastAsia"/>
          <w:spacing w:val="96"/>
          <w:sz w:val="32"/>
          <w:szCs w:val="32"/>
        </w:rPr>
      </w:pPr>
    </w:p>
    <w:p>
      <w:pPr>
        <w:spacing w:line="400" w:lineRule="exact"/>
        <w:jc w:val="center"/>
        <w:rPr>
          <w:rFonts w:eastAsiaTheme="minorEastAsia"/>
          <w:sz w:val="36"/>
          <w:szCs w:val="36"/>
        </w:rPr>
      </w:pPr>
    </w:p>
    <w:p>
      <w:pPr>
        <w:spacing w:line="400" w:lineRule="exact"/>
        <w:jc w:val="center"/>
        <w:rPr>
          <w:rFonts w:eastAsiaTheme="minorEastAsia"/>
          <w:sz w:val="36"/>
          <w:szCs w:val="36"/>
        </w:rPr>
      </w:pPr>
    </w:p>
    <w:p>
      <w:pPr>
        <w:spacing w:line="400" w:lineRule="exact"/>
        <w:jc w:val="center"/>
        <w:rPr>
          <w:rFonts w:eastAsiaTheme="minorEastAsia"/>
          <w:sz w:val="36"/>
          <w:szCs w:val="36"/>
        </w:rPr>
      </w:pPr>
    </w:p>
    <w:p>
      <w:pPr>
        <w:spacing w:line="400" w:lineRule="exact"/>
        <w:jc w:val="center"/>
        <w:rPr>
          <w:rFonts w:hint="eastAsia" w:eastAsiaTheme="minorEastAsia"/>
          <w:sz w:val="30"/>
          <w:szCs w:val="30"/>
          <w:u w:val="none"/>
          <w:lang w:eastAsia="zh-CN"/>
        </w:rPr>
      </w:pPr>
      <w:r>
        <w:rPr>
          <w:rFonts w:eastAsiaTheme="minorEastAsia"/>
          <w:spacing w:val="96"/>
          <w:sz w:val="32"/>
          <w:szCs w:val="32"/>
        </w:rPr>
        <w:t>项目名称</w:t>
      </w:r>
      <w:r>
        <w:rPr>
          <w:rFonts w:eastAsiaTheme="minorEastAsia"/>
          <w:sz w:val="32"/>
        </w:rPr>
        <w:t>：</w:t>
      </w:r>
      <w:r>
        <w:rPr>
          <w:rFonts w:hint="eastAsia" w:eastAsiaTheme="minorEastAsia"/>
          <w:sz w:val="30"/>
          <w:szCs w:val="30"/>
          <w:u w:val="thick"/>
          <w:lang w:eastAsia="zh-CN"/>
        </w:rPr>
        <w:t>乐山市美凯来商贸有限公司</w:t>
      </w:r>
    </w:p>
    <w:p>
      <w:pPr>
        <w:spacing w:line="400" w:lineRule="exact"/>
        <w:jc w:val="center"/>
        <w:rPr>
          <w:rFonts w:eastAsiaTheme="minorEastAsia"/>
          <w:sz w:val="30"/>
          <w:szCs w:val="30"/>
          <w:u w:val="thick"/>
        </w:rPr>
      </w:pPr>
      <w:r>
        <w:rPr>
          <w:rFonts w:hint="eastAsia" w:eastAsiaTheme="minorEastAsia"/>
          <w:sz w:val="30"/>
          <w:szCs w:val="30"/>
          <w:u w:val="none"/>
          <w:lang w:val="en-US" w:eastAsia="zh-CN"/>
        </w:rPr>
        <w:t xml:space="preserve">                </w:t>
      </w:r>
      <w:r>
        <w:rPr>
          <w:rFonts w:hint="eastAsia" w:eastAsiaTheme="minorEastAsia"/>
          <w:sz w:val="30"/>
          <w:szCs w:val="30"/>
          <w:u w:val="thick"/>
          <w:lang w:val="en-US" w:eastAsia="zh-CN"/>
        </w:rPr>
        <w:t xml:space="preserve"> </w:t>
      </w:r>
      <w:r>
        <w:rPr>
          <w:rFonts w:hint="eastAsia" w:eastAsiaTheme="minorEastAsia"/>
          <w:sz w:val="30"/>
          <w:szCs w:val="30"/>
          <w:u w:val="thick"/>
          <w:lang w:eastAsia="zh-CN"/>
        </w:rPr>
        <w:t>峨边新场</w:t>
      </w:r>
      <w:r>
        <w:rPr>
          <w:rFonts w:hint="eastAsia" w:eastAsiaTheme="minorEastAsia"/>
          <w:sz w:val="30"/>
          <w:szCs w:val="30"/>
          <w:u w:val="thick"/>
          <w:lang w:val="en-US" w:eastAsia="zh-CN"/>
        </w:rPr>
        <w:t>LNG加气站新建项目</w:t>
      </w:r>
      <w:r>
        <w:rPr>
          <w:rFonts w:eastAsiaTheme="minorEastAsia"/>
          <w:sz w:val="30"/>
          <w:szCs w:val="30"/>
          <w:u w:val="single"/>
        </w:rPr>
        <w:t xml:space="preserve">  </w:t>
      </w:r>
      <w:r>
        <w:rPr>
          <w:rFonts w:hint="eastAsia" w:eastAsiaTheme="minorEastAsia"/>
          <w:sz w:val="30"/>
          <w:szCs w:val="30"/>
          <w:u w:val="thick"/>
        </w:rPr>
        <w:t xml:space="preserve">           </w:t>
      </w:r>
      <w:r>
        <w:rPr>
          <w:rFonts w:eastAsiaTheme="minorEastAsia"/>
          <w:sz w:val="30"/>
          <w:szCs w:val="30"/>
          <w:u w:val="thick"/>
        </w:rPr>
        <w:t xml:space="preserve">  </w:t>
      </w:r>
      <w:r>
        <w:rPr>
          <w:rFonts w:eastAsiaTheme="minorEastAsia"/>
          <w:sz w:val="30"/>
          <w:szCs w:val="30"/>
          <w:u w:val="thick"/>
        </w:rPr>
        <w:softHyphen/>
      </w:r>
    </w:p>
    <w:p>
      <w:pPr>
        <w:pStyle w:val="143"/>
        <w:jc w:val="center"/>
      </w:pPr>
      <w:r>
        <w:rPr>
          <w:sz w:val="32"/>
        </w:rPr>
        <w:t>建设单位(盖章)：</w:t>
      </w:r>
      <w:r>
        <w:rPr>
          <w:rFonts w:eastAsiaTheme="minorEastAsia"/>
          <w:kern w:val="2"/>
          <w:sz w:val="30"/>
          <w:szCs w:val="30"/>
          <w:u w:val="thick"/>
        </w:rPr>
        <w:t xml:space="preserve"> </w:t>
      </w:r>
      <w:r>
        <w:rPr>
          <w:rFonts w:hint="eastAsia" w:eastAsiaTheme="minorEastAsia"/>
          <w:kern w:val="2"/>
          <w:sz w:val="30"/>
          <w:szCs w:val="30"/>
          <w:u w:val="thick"/>
          <w:lang w:eastAsia="zh-CN"/>
        </w:rPr>
        <w:t>乐山市美凯来商贸有限公司峨边分公司</w:t>
      </w:r>
      <w:r>
        <w:rPr>
          <w:rFonts w:hint="eastAsia" w:eastAsiaTheme="minorEastAsia"/>
          <w:kern w:val="2"/>
          <w:sz w:val="30"/>
          <w:szCs w:val="30"/>
          <w:u w:val="single"/>
          <w:lang w:val="en-US" w:eastAsia="zh-CN"/>
        </w:rPr>
        <w:t xml:space="preserve">  </w:t>
      </w:r>
      <w:r>
        <w:rPr>
          <w:rFonts w:hint="eastAsia" w:eastAsiaTheme="minorEastAsia"/>
          <w:kern w:val="2"/>
          <w:sz w:val="30"/>
          <w:szCs w:val="30"/>
          <w:u w:val="thick"/>
          <w:lang w:val="en-US" w:eastAsia="zh-CN"/>
        </w:rPr>
        <w:t xml:space="preserve">  </w:t>
      </w:r>
      <w:r>
        <w:rPr>
          <w:rFonts w:eastAsiaTheme="minorEastAsia"/>
          <w:kern w:val="2"/>
          <w:sz w:val="30"/>
          <w:szCs w:val="30"/>
          <w:u w:val="none"/>
        </w:rPr>
        <w:softHyphen/>
      </w:r>
    </w:p>
    <w:p>
      <w:pPr>
        <w:spacing w:line="400" w:lineRule="exact"/>
        <w:jc w:val="center"/>
        <w:rPr>
          <w:rFonts w:eastAsiaTheme="minorEastAsia"/>
          <w:sz w:val="32"/>
          <w:u w:val="single"/>
        </w:rPr>
      </w:pPr>
    </w:p>
    <w:p>
      <w:pPr>
        <w:spacing w:line="400" w:lineRule="exact"/>
        <w:jc w:val="center"/>
        <w:rPr>
          <w:rFonts w:eastAsiaTheme="minorEastAsia"/>
          <w:sz w:val="32"/>
          <w:u w:val="single"/>
        </w:rPr>
      </w:pPr>
    </w:p>
    <w:p>
      <w:pPr>
        <w:spacing w:line="400" w:lineRule="exact"/>
        <w:jc w:val="center"/>
        <w:rPr>
          <w:rFonts w:eastAsiaTheme="minorEastAsia"/>
          <w:b/>
          <w:sz w:val="32"/>
          <w:u w:val="single"/>
        </w:rPr>
      </w:pPr>
    </w:p>
    <w:p>
      <w:pPr>
        <w:spacing w:line="400" w:lineRule="exact"/>
        <w:jc w:val="center"/>
        <w:rPr>
          <w:rFonts w:eastAsiaTheme="minorEastAsia"/>
          <w:b/>
          <w:sz w:val="32"/>
          <w:u w:val="single"/>
        </w:rPr>
      </w:pPr>
    </w:p>
    <w:p>
      <w:pPr>
        <w:spacing w:line="400" w:lineRule="exact"/>
        <w:rPr>
          <w:rFonts w:eastAsiaTheme="minorEastAsia"/>
          <w:b/>
          <w:sz w:val="32"/>
          <w:u w:val="single"/>
        </w:rPr>
      </w:pPr>
    </w:p>
    <w:p>
      <w:pPr>
        <w:spacing w:line="400" w:lineRule="exact"/>
        <w:jc w:val="center"/>
        <w:rPr>
          <w:rFonts w:eastAsiaTheme="minorEastAsia"/>
          <w:b/>
          <w:sz w:val="32"/>
          <w:u w:val="single"/>
        </w:rPr>
      </w:pPr>
    </w:p>
    <w:p>
      <w:pPr>
        <w:spacing w:line="500" w:lineRule="exact"/>
        <w:jc w:val="center"/>
        <w:rPr>
          <w:rFonts w:hint="eastAsia" w:eastAsiaTheme="minorEastAsia"/>
          <w:sz w:val="30"/>
          <w:lang w:eastAsia="zh-CN"/>
        </w:rPr>
      </w:pPr>
    </w:p>
    <w:p>
      <w:pPr>
        <w:spacing w:line="500" w:lineRule="exact"/>
        <w:jc w:val="center"/>
        <w:rPr>
          <w:rFonts w:hint="eastAsia" w:eastAsiaTheme="minorEastAsia"/>
          <w:sz w:val="30"/>
          <w:lang w:eastAsia="zh-CN"/>
        </w:rPr>
      </w:pPr>
    </w:p>
    <w:p>
      <w:pPr>
        <w:spacing w:line="500" w:lineRule="exact"/>
        <w:jc w:val="center"/>
        <w:rPr>
          <w:rFonts w:hint="eastAsia" w:eastAsiaTheme="minorEastAsia"/>
          <w:sz w:val="30"/>
          <w:lang w:eastAsia="zh-CN"/>
        </w:rPr>
      </w:pPr>
      <w:r>
        <w:rPr>
          <w:rFonts w:hint="eastAsia" w:eastAsiaTheme="minorEastAsia"/>
          <w:sz w:val="30"/>
          <w:lang w:eastAsia="zh-CN"/>
        </w:rPr>
        <w:t>编制单位：</w:t>
      </w:r>
      <w:r>
        <w:rPr>
          <w:rFonts w:hint="eastAsia" w:eastAsiaTheme="minorEastAsia"/>
          <w:color w:val="auto"/>
          <w:sz w:val="30"/>
          <w:lang w:eastAsia="zh-CN"/>
        </w:rPr>
        <w:t>四川骏庞乐环保科技有限公司</w:t>
      </w:r>
    </w:p>
    <w:p>
      <w:pPr>
        <w:spacing w:line="500" w:lineRule="exact"/>
        <w:jc w:val="center"/>
        <w:rPr>
          <w:rFonts w:eastAsiaTheme="minorEastAsia"/>
          <w:sz w:val="30"/>
        </w:rPr>
        <w:sectPr>
          <w:footerReference r:id="rId3" w:type="default"/>
          <w:footerReference r:id="rId4" w:type="even"/>
          <w:pgSz w:w="11906" w:h="16838"/>
          <w:pgMar w:top="1418" w:right="1418" w:bottom="1871" w:left="1418" w:header="851" w:footer="992" w:gutter="0"/>
          <w:pgBorders>
            <w:top w:val="none" w:sz="0" w:space="0"/>
            <w:left w:val="none" w:sz="0" w:space="0"/>
            <w:bottom w:val="none" w:sz="0" w:space="0"/>
            <w:right w:val="none" w:sz="0" w:space="0"/>
          </w:pgBorders>
          <w:pgNumType w:start="0"/>
          <w:cols w:space="720" w:num="1"/>
          <w:titlePg/>
          <w:docGrid w:type="lines" w:linePitch="312" w:charSpace="0"/>
        </w:sectPr>
      </w:pPr>
      <w:r>
        <w:rPr>
          <w:rFonts w:hint="eastAsia" w:eastAsiaTheme="minorEastAsia"/>
          <w:sz w:val="30"/>
        </w:rPr>
        <w:t>编制日期：20</w:t>
      </w:r>
      <w:r>
        <w:rPr>
          <w:rFonts w:hint="eastAsia" w:eastAsiaTheme="minorEastAsia"/>
          <w:sz w:val="30"/>
          <w:lang w:val="en-US" w:eastAsia="zh-CN"/>
        </w:rPr>
        <w:t>20</w:t>
      </w:r>
      <w:r>
        <w:rPr>
          <w:rFonts w:hint="eastAsia" w:eastAsiaTheme="minorEastAsia"/>
          <w:sz w:val="30"/>
        </w:rPr>
        <w:t>年</w:t>
      </w:r>
      <w:r>
        <w:rPr>
          <w:rFonts w:hint="eastAsia" w:eastAsiaTheme="minorEastAsia"/>
          <w:sz w:val="30"/>
          <w:lang w:val="en-US" w:eastAsia="zh-CN"/>
        </w:rPr>
        <w:t>10</w:t>
      </w:r>
      <w:r>
        <w:rPr>
          <w:rFonts w:hint="eastAsia" w:eastAsiaTheme="minorEastAsia"/>
          <w:sz w:val="30"/>
        </w:rPr>
        <w:t>月</w:t>
      </w:r>
      <w:r>
        <w:rPr>
          <w:rFonts w:eastAsiaTheme="minorEastAsia"/>
          <w:sz w:val="30"/>
        </w:rPr>
        <w:t xml:space="preserve">  </w:t>
      </w:r>
    </w:p>
    <w:p>
      <w:pPr>
        <w:spacing w:line="500" w:lineRule="exact"/>
        <w:jc w:val="center"/>
        <w:rPr>
          <w:rFonts w:eastAsiaTheme="minorEastAsia"/>
          <w:b/>
          <w:sz w:val="32"/>
        </w:rPr>
      </w:pPr>
    </w:p>
    <w:p>
      <w:pPr>
        <w:pStyle w:val="97"/>
        <w:bidi w:val="0"/>
        <w:jc w:val="center"/>
        <w:rPr>
          <w:rFonts w:eastAsiaTheme="minorEastAsia"/>
          <w:b/>
          <w:sz w:val="32"/>
        </w:rPr>
      </w:pPr>
      <w:r>
        <w:rPr>
          <w:rFonts w:eastAsiaTheme="minorEastAsia"/>
          <w:b/>
          <w:sz w:val="32"/>
        </w:rPr>
        <w:t>《建设项目环境影响报告表》编制说明</w:t>
      </w:r>
    </w:p>
    <w:p>
      <w:pPr>
        <w:spacing w:line="500" w:lineRule="exact"/>
        <w:rPr>
          <w:rFonts w:eastAsiaTheme="minorEastAsia"/>
          <w:sz w:val="28"/>
        </w:rPr>
      </w:pPr>
    </w:p>
    <w:p>
      <w:pPr>
        <w:pStyle w:val="12"/>
        <w:spacing w:line="360" w:lineRule="auto"/>
        <w:rPr>
          <w:rFonts w:eastAsiaTheme="minorEastAsia"/>
        </w:rPr>
      </w:pPr>
      <w:r>
        <w:rPr>
          <w:rFonts w:eastAsiaTheme="minorEastAsia"/>
        </w:rPr>
        <w:t>《建设项目环境影响报告表》由具有从事环境影响评价工作资质的单位编制。</w:t>
      </w:r>
    </w:p>
    <w:p>
      <w:pPr>
        <w:numPr>
          <w:ilvl w:val="0"/>
          <w:numId w:val="1"/>
        </w:numPr>
        <w:spacing w:line="360" w:lineRule="auto"/>
        <w:rPr>
          <w:rFonts w:eastAsiaTheme="minorEastAsia"/>
          <w:sz w:val="28"/>
        </w:rPr>
      </w:pPr>
      <w:bookmarkStart w:id="0" w:name="_Ref123373182"/>
      <w:r>
        <w:rPr>
          <w:rFonts w:eastAsiaTheme="minorEastAsia"/>
          <w:sz w:val="28"/>
        </w:rPr>
        <w:t>项目名称――指项目立项批复时的名称，应不超过30个字（两个英文字段作一个汉字）。</w:t>
      </w:r>
      <w:bookmarkEnd w:id="0"/>
    </w:p>
    <w:p>
      <w:pPr>
        <w:numPr>
          <w:ilvl w:val="0"/>
          <w:numId w:val="1"/>
        </w:numPr>
        <w:spacing w:line="360" w:lineRule="auto"/>
        <w:rPr>
          <w:rFonts w:eastAsiaTheme="minorEastAsia"/>
          <w:sz w:val="28"/>
        </w:rPr>
      </w:pPr>
      <w:r>
        <w:rPr>
          <w:rFonts w:eastAsiaTheme="minorEastAsia"/>
          <w:sz w:val="28"/>
        </w:rPr>
        <w:t>建设地点――指项目所在详细地址，公路、铁路应填写起止地点。</w:t>
      </w:r>
    </w:p>
    <w:p>
      <w:pPr>
        <w:numPr>
          <w:ilvl w:val="0"/>
          <w:numId w:val="1"/>
        </w:numPr>
        <w:spacing w:line="360" w:lineRule="auto"/>
        <w:rPr>
          <w:rFonts w:eastAsiaTheme="minorEastAsia"/>
          <w:sz w:val="28"/>
        </w:rPr>
      </w:pPr>
      <w:r>
        <w:rPr>
          <w:rFonts w:eastAsiaTheme="minorEastAsia"/>
          <w:sz w:val="28"/>
        </w:rPr>
        <w:t>行业类别――按国标填写。</w:t>
      </w:r>
    </w:p>
    <w:p>
      <w:pPr>
        <w:numPr>
          <w:ilvl w:val="0"/>
          <w:numId w:val="1"/>
        </w:numPr>
        <w:spacing w:line="360" w:lineRule="auto"/>
        <w:rPr>
          <w:rFonts w:eastAsiaTheme="minorEastAsia"/>
          <w:sz w:val="28"/>
        </w:rPr>
      </w:pPr>
      <w:r>
        <w:rPr>
          <w:rFonts w:eastAsiaTheme="minorEastAsia"/>
          <w:sz w:val="28"/>
        </w:rPr>
        <w:t>总投资――指项目投资总额。</w:t>
      </w:r>
    </w:p>
    <w:p>
      <w:pPr>
        <w:numPr>
          <w:ilvl w:val="0"/>
          <w:numId w:val="1"/>
        </w:numPr>
        <w:spacing w:line="360" w:lineRule="auto"/>
        <w:rPr>
          <w:rFonts w:eastAsiaTheme="minorEastAsia"/>
          <w:sz w:val="28"/>
        </w:rPr>
      </w:pPr>
      <w:r>
        <w:rPr>
          <w:rFonts w:eastAsiaTheme="minorEastAsia"/>
          <w:sz w:val="28"/>
        </w:rPr>
        <w:t>主要环境保护目标――指项目区周围一定范围内集中居民住宅区、学校、医院、保护文物、风景名胜区、水源地和生态敏感点等，应尽可能给出保护目标、性质、规模和距厂界距离等。</w:t>
      </w:r>
    </w:p>
    <w:p>
      <w:pPr>
        <w:numPr>
          <w:ilvl w:val="0"/>
          <w:numId w:val="1"/>
        </w:numPr>
        <w:spacing w:line="360" w:lineRule="auto"/>
        <w:rPr>
          <w:rFonts w:eastAsiaTheme="minorEastAsia"/>
          <w:sz w:val="28"/>
        </w:rPr>
      </w:pPr>
      <w:r>
        <w:rPr>
          <w:rFonts w:eastAsiaTheme="minorEastAsia"/>
          <w:sz w:val="28"/>
        </w:rPr>
        <w:t>结论与建议――给出本项目清洁生产、达标排放和总量控制的分析结论，确定污染防治措施的有效性，说明本项目对环境造成的影响，给出建设项目环境可行性的明确结论。同时提出减少环境影响的其他建议。</w:t>
      </w:r>
    </w:p>
    <w:p>
      <w:pPr>
        <w:numPr>
          <w:ilvl w:val="0"/>
          <w:numId w:val="1"/>
        </w:numPr>
        <w:spacing w:line="360" w:lineRule="auto"/>
        <w:rPr>
          <w:rFonts w:eastAsiaTheme="minorEastAsia"/>
          <w:sz w:val="28"/>
        </w:rPr>
      </w:pPr>
      <w:r>
        <w:rPr>
          <w:rFonts w:eastAsiaTheme="minorEastAsia"/>
          <w:sz w:val="28"/>
        </w:rPr>
        <w:t>预审意见――由行业主管部门填写答复意见，无主管部门项目，可不填。</w:t>
      </w:r>
    </w:p>
    <w:p>
      <w:pPr>
        <w:numPr>
          <w:ilvl w:val="0"/>
          <w:numId w:val="1"/>
        </w:numPr>
        <w:spacing w:line="360" w:lineRule="auto"/>
        <w:rPr>
          <w:rFonts w:eastAsiaTheme="minorEastAsia"/>
          <w:sz w:val="28"/>
        </w:rPr>
      </w:pPr>
      <w:r>
        <w:rPr>
          <w:rFonts w:eastAsiaTheme="minorEastAsia"/>
          <w:sz w:val="28"/>
        </w:rPr>
        <w:t>审批意见――由负责审批该项目的环境保护行政主管部门批复。</w:t>
      </w:r>
    </w:p>
    <w:p>
      <w:pPr>
        <w:spacing w:line="360" w:lineRule="auto"/>
        <w:ind w:left="540"/>
        <w:rPr>
          <w:rFonts w:eastAsiaTheme="minorEastAsia"/>
          <w:sz w:val="28"/>
        </w:rPr>
      </w:pPr>
    </w:p>
    <w:p>
      <w:pPr>
        <w:spacing w:line="360" w:lineRule="auto"/>
        <w:ind w:left="540"/>
        <w:rPr>
          <w:rFonts w:eastAsiaTheme="minorEastAsia"/>
          <w:sz w:val="28"/>
        </w:rPr>
      </w:pPr>
    </w:p>
    <w:p>
      <w:pPr>
        <w:spacing w:line="360" w:lineRule="auto"/>
        <w:ind w:left="540"/>
        <w:rPr>
          <w:rFonts w:eastAsiaTheme="minorEastAsia"/>
          <w:sz w:val="28"/>
        </w:rPr>
        <w:sectPr>
          <w:footerReference r:id="rId6" w:type="first"/>
          <w:footerReference r:id="rId5" w:type="default"/>
          <w:pgSz w:w="11906" w:h="16838"/>
          <w:pgMar w:top="1588" w:right="1418" w:bottom="1418" w:left="1418" w:header="851" w:footer="992" w:gutter="0"/>
          <w:pgNumType w:fmt="numberInDash" w:start="0"/>
          <w:cols w:space="720" w:num="1"/>
          <w:docGrid w:type="lines" w:linePitch="312" w:charSpace="0"/>
        </w:sectPr>
      </w:pPr>
    </w:p>
    <w:p>
      <w:pPr>
        <w:spacing w:line="360" w:lineRule="auto"/>
        <w:ind w:left="540"/>
        <w:rPr>
          <w:rFonts w:eastAsiaTheme="minorEastAsia"/>
          <w:sz w:val="28"/>
        </w:rPr>
        <w:sectPr>
          <w:footerReference r:id="rId9" w:type="first"/>
          <w:headerReference r:id="rId7" w:type="default"/>
          <w:footerReference r:id="rId8" w:type="default"/>
          <w:type w:val="continuous"/>
          <w:pgSz w:w="11906" w:h="16838"/>
          <w:pgMar w:top="1588" w:right="1418" w:bottom="1418" w:left="1418" w:header="851" w:footer="992" w:gutter="0"/>
          <w:pgNumType w:start="4"/>
          <w:cols w:space="720" w:num="1"/>
          <w:titlePg/>
          <w:docGrid w:type="lines" w:linePitch="312" w:charSpace="0"/>
        </w:sectPr>
      </w:pPr>
    </w:p>
    <w:p>
      <w:pPr>
        <w:pStyle w:val="4"/>
        <w:spacing w:before="0" w:after="0" w:line="240" w:lineRule="auto"/>
        <w:rPr>
          <w:rFonts w:ascii="Times New Roman" w:hAnsi="Times New Roman" w:eastAsiaTheme="minorEastAsia"/>
          <w:b w:val="0"/>
        </w:rPr>
      </w:pPr>
      <w:bookmarkStart w:id="1" w:name="_Toc165893198"/>
      <w:r>
        <w:rPr>
          <w:rFonts w:ascii="Times New Roman" w:hAnsi="Times New Roman" w:eastAsiaTheme="minorEastAsia"/>
        </w:rPr>
        <w:t>建设项目基本情况</w:t>
      </w:r>
      <w:bookmarkEnd w:id="1"/>
      <w:r>
        <w:rPr>
          <w:rFonts w:ascii="Times New Roman" w:hAnsi="Times New Roman" w:eastAsiaTheme="minorEastAsia"/>
          <w:b w:val="0"/>
        </w:rPr>
        <w:t xml:space="preserve">                                </w:t>
      </w:r>
      <w:r>
        <w:rPr>
          <w:rFonts w:ascii="Times New Roman" w:hAnsi="Times New Roman" w:eastAsiaTheme="minorEastAsia"/>
        </w:rPr>
        <w:t>（表一）</w:t>
      </w:r>
    </w:p>
    <w:tbl>
      <w:tblPr>
        <w:tblStyle w:val="29"/>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2001"/>
        <w:gridCol w:w="53"/>
        <w:gridCol w:w="930"/>
        <w:gridCol w:w="1278"/>
        <w:gridCol w:w="835"/>
        <w:gridCol w:w="3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7" w:type="dxa"/>
            <w:shd w:val="clear" w:color="auto" w:fill="FFFFFF"/>
          </w:tcPr>
          <w:p>
            <w:pPr>
              <w:spacing w:line="360" w:lineRule="auto"/>
              <w:jc w:val="center"/>
              <w:rPr>
                <w:rFonts w:eastAsiaTheme="minorEastAsia"/>
                <w:color w:val="FFFFFF"/>
                <w:sz w:val="24"/>
              </w:rPr>
            </w:pPr>
            <w:r>
              <w:rPr>
                <w:rFonts w:eastAsiaTheme="minorEastAsia"/>
                <w:color w:val="FFFFFF"/>
                <w:sz w:val="24"/>
              </w:rPr>
              <w:t>项目名称</w:t>
            </w:r>
          </w:p>
        </w:tc>
        <w:tc>
          <w:tcPr>
            <w:tcW w:w="8345" w:type="dxa"/>
            <w:gridSpan w:val="6"/>
            <w:shd w:val="clear" w:color="auto" w:fill="FFFFFF"/>
            <w:vAlign w:val="center"/>
          </w:tcPr>
          <w:p>
            <w:pPr>
              <w:spacing w:line="240" w:lineRule="atLeast"/>
              <w:jc w:val="center"/>
              <w:rPr>
                <w:rFonts w:hint="eastAsia" w:ascii="Times New Roman" w:hAnsi="Times New Roman" w:eastAsia="宋体" w:cs="Times New Roman"/>
                <w:color w:val="FFFFFF"/>
                <w:kern w:val="2"/>
                <w:sz w:val="24"/>
                <w:szCs w:val="24"/>
                <w:lang w:val="en-US" w:eastAsia="zh-CN" w:bidi="ar-SA"/>
              </w:rPr>
            </w:pPr>
            <w:r>
              <w:rPr>
                <w:rFonts w:hint="eastAsia"/>
                <w:color w:val="FFFFFF"/>
                <w:sz w:val="24"/>
                <w:lang w:eastAsia="zh-CN"/>
              </w:rPr>
              <w:t>乐山市美凯来商贸有限公司峨边新场LNG加气站新建项目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tcPr>
          <w:p>
            <w:pPr>
              <w:spacing w:line="360" w:lineRule="auto"/>
              <w:jc w:val="center"/>
              <w:rPr>
                <w:rFonts w:eastAsiaTheme="minorEastAsia"/>
                <w:color w:val="000000"/>
                <w:sz w:val="24"/>
              </w:rPr>
            </w:pPr>
            <w:r>
              <w:rPr>
                <w:rFonts w:eastAsiaTheme="minorEastAsia"/>
                <w:color w:val="000000"/>
                <w:sz w:val="24"/>
              </w:rPr>
              <w:t>建设单位</w:t>
            </w:r>
          </w:p>
        </w:tc>
        <w:tc>
          <w:tcPr>
            <w:tcW w:w="8345" w:type="dxa"/>
            <w:gridSpan w:val="6"/>
            <w:shd w:val="clear" w:color="auto" w:fill="FFFFFF"/>
            <w:vAlign w:val="center"/>
          </w:tcPr>
          <w:p>
            <w:pPr>
              <w:pStyle w:val="168"/>
              <w:spacing w:line="240" w:lineRule="atLeast"/>
              <w:ind w:firstLine="480" w:firstLineChars="200"/>
              <w:jc w:val="center"/>
              <w:rPr>
                <w:rFonts w:hint="eastAsia" w:ascii="宋体" w:hAnsi="宋体" w:eastAsia="宋体" w:cs="Times New Roman"/>
                <w:color w:val="000000"/>
                <w:kern w:val="0"/>
                <w:sz w:val="24"/>
                <w:szCs w:val="22"/>
                <w:lang w:val="en-US" w:eastAsia="zh-CN" w:bidi="ar-SA"/>
              </w:rPr>
            </w:pPr>
            <w:r>
              <w:rPr>
                <w:rFonts w:hint="eastAsia"/>
                <w:color w:val="000000"/>
                <w:sz w:val="24"/>
                <w:szCs w:val="22"/>
                <w:lang w:eastAsia="zh-CN"/>
              </w:rPr>
              <w:t>乐山市美凯来商贸有限公司峨边分公司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tcPr>
          <w:p>
            <w:pPr>
              <w:spacing w:line="360" w:lineRule="auto"/>
              <w:jc w:val="center"/>
              <w:rPr>
                <w:rFonts w:eastAsiaTheme="minorEastAsia"/>
                <w:color w:val="000000"/>
                <w:sz w:val="24"/>
              </w:rPr>
            </w:pPr>
            <w:r>
              <w:rPr>
                <w:rFonts w:eastAsiaTheme="minorEastAsia"/>
                <w:color w:val="000000"/>
                <w:sz w:val="24"/>
              </w:rPr>
              <w:t>法人代表</w:t>
            </w:r>
          </w:p>
        </w:tc>
        <w:tc>
          <w:tcPr>
            <w:tcW w:w="3036" w:type="dxa"/>
            <w:gridSpan w:val="3"/>
            <w:shd w:val="clear" w:color="auto" w:fill="FFFFFF"/>
          </w:tcPr>
          <w:p>
            <w:pPr>
              <w:spacing w:line="360" w:lineRule="auto"/>
              <w:jc w:val="center"/>
              <w:rPr>
                <w:rFonts w:eastAsiaTheme="minorEastAsia"/>
                <w:color w:val="000000"/>
                <w:sz w:val="24"/>
              </w:rPr>
            </w:pPr>
            <w:r>
              <w:rPr>
                <w:rFonts w:hint="eastAsia" w:eastAsiaTheme="minorEastAsia"/>
                <w:color w:val="000000"/>
                <w:sz w:val="24"/>
                <w:lang w:eastAsia="zh-CN"/>
              </w:rPr>
              <w:t>徐勇</w:t>
            </w:r>
          </w:p>
        </w:tc>
        <w:tc>
          <w:tcPr>
            <w:tcW w:w="1255" w:type="dxa"/>
            <w:shd w:val="clear" w:color="auto" w:fill="FFFFFF"/>
          </w:tcPr>
          <w:p>
            <w:pPr>
              <w:spacing w:line="360" w:lineRule="auto"/>
              <w:jc w:val="center"/>
              <w:rPr>
                <w:rFonts w:eastAsiaTheme="minorEastAsia"/>
                <w:color w:val="000000"/>
                <w:sz w:val="24"/>
              </w:rPr>
            </w:pPr>
            <w:r>
              <w:rPr>
                <w:rFonts w:eastAsiaTheme="minorEastAsia"/>
                <w:color w:val="000000"/>
                <w:sz w:val="24"/>
              </w:rPr>
              <w:t>联系人</w:t>
            </w:r>
          </w:p>
        </w:tc>
        <w:tc>
          <w:tcPr>
            <w:tcW w:w="4054" w:type="dxa"/>
            <w:gridSpan w:val="2"/>
            <w:shd w:val="clear" w:color="auto" w:fill="FFFFFF"/>
          </w:tcPr>
          <w:p>
            <w:pPr>
              <w:spacing w:line="360" w:lineRule="auto"/>
              <w:jc w:val="center"/>
              <w:rPr>
                <w:rFonts w:eastAsiaTheme="minorEastAsia"/>
                <w:color w:val="000000"/>
                <w:sz w:val="24"/>
              </w:rPr>
            </w:pPr>
            <w:r>
              <w:rPr>
                <w:rFonts w:hint="eastAsia" w:eastAsiaTheme="minorEastAsia"/>
                <w:color w:val="000000" w:themeColor="text1"/>
                <w:sz w:val="24"/>
                <w:lang w:eastAsia="zh-CN"/>
                <w14:textFill>
                  <w14:solidFill>
                    <w14:schemeClr w14:val="tx1"/>
                  </w14:solidFill>
                </w14:textFill>
              </w:rPr>
              <w:t>徐勇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tcPr>
          <w:p>
            <w:pPr>
              <w:spacing w:line="360" w:lineRule="auto"/>
              <w:jc w:val="center"/>
              <w:rPr>
                <w:rFonts w:eastAsiaTheme="minorEastAsia"/>
                <w:color w:val="000000"/>
                <w:sz w:val="24"/>
              </w:rPr>
            </w:pPr>
            <w:r>
              <w:rPr>
                <w:rFonts w:eastAsiaTheme="minorEastAsia"/>
                <w:color w:val="000000"/>
                <w:sz w:val="24"/>
              </w:rPr>
              <w:t>通讯地址</w:t>
            </w:r>
          </w:p>
        </w:tc>
        <w:tc>
          <w:tcPr>
            <w:tcW w:w="8345" w:type="dxa"/>
            <w:gridSpan w:val="6"/>
            <w:shd w:val="clear" w:color="auto" w:fill="FFFFFF"/>
            <w:vAlign w:val="center"/>
          </w:tcPr>
          <w:p>
            <w:pPr>
              <w:spacing w:line="240" w:lineRule="atLeast"/>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lang w:eastAsia="zh-CN"/>
              </w:rPr>
              <w:t>乐山市峨边彝族自治县新场乡长虹村2组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vAlign w:val="center"/>
          </w:tcPr>
          <w:p>
            <w:pPr>
              <w:spacing w:line="360" w:lineRule="auto"/>
              <w:jc w:val="center"/>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联系电话</w:t>
            </w:r>
          </w:p>
        </w:tc>
        <w:tc>
          <w:tcPr>
            <w:tcW w:w="2064" w:type="dxa"/>
            <w:gridSpan w:val="2"/>
            <w:shd w:val="clear" w:color="auto" w:fill="FFFFFF"/>
            <w:vAlign w:val="center"/>
          </w:tcPr>
          <w:p>
            <w:pPr>
              <w:spacing w:line="360" w:lineRule="auto"/>
              <w:jc w:val="center"/>
              <w:rPr>
                <w:rFonts w:eastAsiaTheme="minorEastAsia"/>
                <w:color w:val="000000" w:themeColor="text1"/>
                <w:kern w:val="0"/>
                <w:sz w:val="24"/>
                <w:lang w:val="zh-CN"/>
                <w14:textFill>
                  <w14:solidFill>
                    <w14:schemeClr w14:val="tx1"/>
                  </w14:solidFill>
                </w14:textFill>
              </w:rPr>
            </w:pPr>
            <w:r>
              <w:rPr>
                <w:rFonts w:hint="eastAsia" w:eastAsiaTheme="minorEastAsia"/>
                <w:color w:val="000000" w:themeColor="text1"/>
                <w:kern w:val="0"/>
                <w:sz w:val="24"/>
                <w:lang w:val="zh-CN" w:eastAsia="zh-CN"/>
                <w14:textFill>
                  <w14:solidFill>
                    <w14:schemeClr w14:val="tx1"/>
                  </w14:solidFill>
                </w14:textFill>
              </w:rPr>
              <w:t>18784555227</w:t>
            </w:r>
          </w:p>
        </w:tc>
        <w:tc>
          <w:tcPr>
            <w:tcW w:w="972" w:type="dxa"/>
            <w:shd w:val="clear" w:color="auto" w:fill="FFFFFF"/>
            <w:vAlign w:val="center"/>
          </w:tcPr>
          <w:p>
            <w:pPr>
              <w:spacing w:line="360" w:lineRule="auto"/>
              <w:jc w:val="center"/>
              <w:rPr>
                <w:rFonts w:eastAsiaTheme="minorEastAsia"/>
                <w:color w:val="000000"/>
                <w:sz w:val="24"/>
              </w:rPr>
            </w:pPr>
            <w:r>
              <w:rPr>
                <w:rFonts w:eastAsiaTheme="minorEastAsia"/>
                <w:color w:val="000000"/>
                <w:sz w:val="24"/>
              </w:rPr>
              <w:t>传真</w:t>
            </w:r>
          </w:p>
        </w:tc>
        <w:tc>
          <w:tcPr>
            <w:tcW w:w="1255" w:type="dxa"/>
            <w:shd w:val="clear" w:color="auto" w:fill="FFFFFF"/>
            <w:vAlign w:val="center"/>
          </w:tcPr>
          <w:p>
            <w:pPr>
              <w:pStyle w:val="88"/>
              <w:widowControl w:val="0"/>
              <w:pBdr>
                <w:bottom w:val="none" w:color="auto" w:sz="0" w:space="0"/>
                <w:right w:val="none" w:color="auto" w:sz="0" w:space="0"/>
              </w:pBdr>
              <w:spacing w:before="0" w:beforeAutospacing="0" w:after="0" w:afterAutospacing="0" w:line="360" w:lineRule="auto"/>
              <w:jc w:val="center"/>
              <w:textAlignment w:val="auto"/>
              <w:rPr>
                <w:rFonts w:ascii="Times New Roman" w:hAnsi="Times New Roman" w:eastAsiaTheme="minorEastAsia"/>
                <w:color w:val="000000"/>
                <w:kern w:val="2"/>
              </w:rPr>
            </w:pPr>
            <w:r>
              <w:rPr>
                <w:rFonts w:ascii="Times New Roman" w:hAnsi="Times New Roman" w:eastAsiaTheme="minorEastAsia"/>
                <w:color w:val="000000"/>
                <w:kern w:val="2"/>
              </w:rPr>
              <w:t>/</w:t>
            </w:r>
          </w:p>
        </w:tc>
        <w:tc>
          <w:tcPr>
            <w:tcW w:w="976" w:type="dxa"/>
            <w:shd w:val="clear" w:color="auto" w:fill="FFFFFF"/>
            <w:vAlign w:val="center"/>
          </w:tcPr>
          <w:p>
            <w:pPr>
              <w:spacing w:line="360" w:lineRule="auto"/>
              <w:jc w:val="center"/>
              <w:rPr>
                <w:rFonts w:eastAsiaTheme="minorEastAsia"/>
                <w:color w:val="000000"/>
                <w:sz w:val="24"/>
              </w:rPr>
            </w:pPr>
            <w:r>
              <w:rPr>
                <w:rFonts w:eastAsiaTheme="minorEastAsia"/>
                <w:color w:val="000000"/>
                <w:sz w:val="24"/>
              </w:rPr>
              <w:t>邮政编码</w:t>
            </w:r>
          </w:p>
        </w:tc>
        <w:tc>
          <w:tcPr>
            <w:tcW w:w="3078" w:type="dxa"/>
            <w:shd w:val="clear" w:color="auto" w:fill="FFFFFF"/>
            <w:vAlign w:val="center"/>
          </w:tcPr>
          <w:p>
            <w:pPr>
              <w:spacing w:line="360" w:lineRule="auto"/>
              <w:jc w:val="center"/>
              <w:rPr>
                <w:rFonts w:eastAsiaTheme="minorEastAsia"/>
                <w:color w:val="000000"/>
                <w:sz w:val="24"/>
              </w:rPr>
            </w:pPr>
            <w:r>
              <w:rPr>
                <w:rFonts w:eastAsiaTheme="minorEastAsia"/>
                <w:color w:val="000000"/>
                <w:sz w:val="24"/>
              </w:rPr>
              <w:t>614300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tcPr>
          <w:p>
            <w:pPr>
              <w:spacing w:line="360" w:lineRule="auto"/>
              <w:jc w:val="center"/>
              <w:rPr>
                <w:rFonts w:eastAsiaTheme="minorEastAsia"/>
                <w:color w:val="000000"/>
                <w:sz w:val="24"/>
              </w:rPr>
            </w:pPr>
            <w:r>
              <w:rPr>
                <w:rFonts w:eastAsiaTheme="minorEastAsia"/>
                <w:color w:val="000000"/>
                <w:sz w:val="24"/>
              </w:rPr>
              <w:t>建设地点</w:t>
            </w:r>
          </w:p>
        </w:tc>
        <w:tc>
          <w:tcPr>
            <w:tcW w:w="8345" w:type="dxa"/>
            <w:gridSpan w:val="6"/>
            <w:shd w:val="clear" w:color="auto" w:fill="FFFFFF"/>
            <w:vAlign w:val="center"/>
          </w:tcPr>
          <w:p>
            <w:pPr>
              <w:spacing w:line="240" w:lineRule="atLeast"/>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lang w:eastAsia="zh-CN"/>
              </w:rPr>
              <w:t>乐山市峨边彝族自治县新场乡长虹村2组</w:t>
            </w:r>
            <w:r>
              <w:rPr>
                <w:rFonts w:hint="eastAsia"/>
                <w:color w:val="000000"/>
                <w:sz w:val="24"/>
              </w:rPr>
              <w:t>（29.271802</w:t>
            </w:r>
            <w:r>
              <w:rPr>
                <w:rFonts w:hint="eastAsia"/>
                <w:color w:val="000000"/>
                <w:sz w:val="24"/>
                <w:lang w:val="en-US" w:eastAsia="zh-CN"/>
              </w:rPr>
              <w:t>°</w:t>
            </w:r>
            <w:r>
              <w:rPr>
                <w:color w:val="000000"/>
                <w:sz w:val="24"/>
              </w:rPr>
              <w:t>N</w:t>
            </w:r>
            <w:r>
              <w:rPr>
                <w:rFonts w:hint="eastAsia"/>
                <w:color w:val="000000"/>
                <w:sz w:val="24"/>
              </w:rPr>
              <w:t>；</w:t>
            </w:r>
            <w:r>
              <w:rPr>
                <w:rFonts w:hint="eastAsia"/>
                <w:color w:val="000000"/>
                <w:sz w:val="24"/>
                <w:lang w:val="en-US" w:eastAsia="zh-CN"/>
              </w:rPr>
              <w:t>103.275041</w:t>
            </w:r>
            <w:r>
              <w:rPr>
                <w:color w:val="000000"/>
                <w:sz w:val="24"/>
              </w:rPr>
              <w:t>°E</w:t>
            </w:r>
            <w:r>
              <w:rPr>
                <w:rFonts w:hint="eastAsia"/>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vAlign w:val="center"/>
          </w:tcPr>
          <w:p>
            <w:pPr>
              <w:jc w:val="center"/>
              <w:rPr>
                <w:rFonts w:eastAsiaTheme="minorEastAsia"/>
                <w:color w:val="000000"/>
                <w:sz w:val="24"/>
              </w:rPr>
            </w:pPr>
            <w:r>
              <w:rPr>
                <w:rFonts w:hint="eastAsia" w:eastAsiaTheme="minorEastAsia"/>
                <w:color w:val="000000"/>
                <w:sz w:val="24"/>
                <w:lang w:eastAsia="zh-CN"/>
              </w:rPr>
              <w:t>备案</w:t>
            </w:r>
            <w:r>
              <w:rPr>
                <w:rFonts w:eastAsiaTheme="minorEastAsia"/>
                <w:color w:val="000000"/>
                <w:sz w:val="24"/>
              </w:rPr>
              <w:t>审批部门</w:t>
            </w:r>
          </w:p>
        </w:tc>
        <w:tc>
          <w:tcPr>
            <w:tcW w:w="3036" w:type="dxa"/>
            <w:gridSpan w:val="3"/>
            <w:shd w:val="clear" w:color="auto" w:fill="FFFFFF"/>
            <w:vAlign w:val="center"/>
          </w:tcPr>
          <w:p>
            <w:pPr>
              <w:spacing w:line="240" w:lineRule="atLeast"/>
              <w:jc w:val="center"/>
              <w:rPr>
                <w:rFonts w:hint="eastAsia"/>
                <w:color w:val="000000"/>
                <w:sz w:val="24"/>
                <w:lang w:eastAsia="zh-CN"/>
              </w:rPr>
            </w:pPr>
            <w:r>
              <w:rPr>
                <w:rFonts w:hint="eastAsia"/>
                <w:color w:val="000000"/>
                <w:sz w:val="24"/>
                <w:lang w:eastAsia="zh-CN"/>
              </w:rPr>
              <w:t>峨边彝族自治县</w:t>
            </w:r>
          </w:p>
          <w:p>
            <w:pPr>
              <w:spacing w:line="240" w:lineRule="atLeast"/>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rPr>
              <w:t>发展和改革局</w:t>
            </w:r>
          </w:p>
        </w:tc>
        <w:tc>
          <w:tcPr>
            <w:tcW w:w="1255" w:type="dxa"/>
            <w:shd w:val="clear" w:color="auto" w:fill="FFFFFF"/>
            <w:vAlign w:val="center"/>
          </w:tcPr>
          <w:p>
            <w:pPr>
              <w:spacing w:line="360" w:lineRule="auto"/>
              <w:jc w:val="center"/>
              <w:rPr>
                <w:rFonts w:eastAsiaTheme="minorEastAsia"/>
                <w:color w:val="000000"/>
                <w:sz w:val="24"/>
              </w:rPr>
            </w:pPr>
            <w:r>
              <w:rPr>
                <w:rFonts w:hint="eastAsia" w:eastAsiaTheme="minorEastAsia"/>
                <w:color w:val="000000"/>
                <w:sz w:val="24"/>
                <w:lang w:eastAsia="zh-CN"/>
              </w:rPr>
              <w:t>备案</w:t>
            </w:r>
            <w:r>
              <w:rPr>
                <w:rFonts w:eastAsiaTheme="minorEastAsia"/>
                <w:color w:val="000000"/>
                <w:sz w:val="24"/>
              </w:rPr>
              <w:t>号</w:t>
            </w:r>
          </w:p>
        </w:tc>
        <w:tc>
          <w:tcPr>
            <w:tcW w:w="4054" w:type="dxa"/>
            <w:gridSpan w:val="2"/>
            <w:shd w:val="clear" w:color="auto" w:fill="FFFFFF"/>
            <w:vAlign w:val="center"/>
          </w:tcPr>
          <w:p>
            <w:pPr>
              <w:spacing w:line="240" w:lineRule="atLeast"/>
              <w:ind w:left="-113" w:leftChars="-54"/>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rPr>
              <w:t>川投资备【</w:t>
            </w:r>
            <w:r>
              <w:rPr>
                <w:rFonts w:hint="eastAsia"/>
                <w:color w:val="000000"/>
                <w:sz w:val="24"/>
                <w:lang w:val="en-US" w:eastAsia="zh-CN"/>
              </w:rPr>
              <w:t>2020-511132-45-03-478575</w:t>
            </w:r>
            <w:r>
              <w:rPr>
                <w:rFonts w:hint="eastAsia"/>
                <w:color w:val="000000"/>
                <w:sz w:val="24"/>
              </w:rPr>
              <w:t>】FGQB-00</w:t>
            </w:r>
            <w:r>
              <w:rPr>
                <w:rFonts w:hint="eastAsia"/>
                <w:color w:val="000000"/>
                <w:sz w:val="24"/>
                <w:lang w:val="en-US" w:eastAsia="zh-CN"/>
              </w:rPr>
              <w:t>82</w:t>
            </w:r>
            <w:r>
              <w:rPr>
                <w:rFonts w:hint="eastAsia"/>
                <w:color w:val="000000"/>
                <w:sz w:val="24"/>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vAlign w:val="center"/>
          </w:tcPr>
          <w:p>
            <w:pPr>
              <w:jc w:val="center"/>
              <w:rPr>
                <w:rFonts w:eastAsiaTheme="minorEastAsia"/>
                <w:color w:val="000000"/>
                <w:sz w:val="24"/>
              </w:rPr>
            </w:pPr>
            <w:r>
              <w:rPr>
                <w:rFonts w:eastAsiaTheme="minorEastAsia"/>
                <w:color w:val="000000"/>
                <w:sz w:val="24"/>
              </w:rPr>
              <w:t>建设性质</w:t>
            </w:r>
          </w:p>
        </w:tc>
        <w:tc>
          <w:tcPr>
            <w:tcW w:w="3036" w:type="dxa"/>
            <w:gridSpan w:val="3"/>
            <w:shd w:val="clear" w:color="auto" w:fill="FFFFFF"/>
            <w:vAlign w:val="center"/>
          </w:tcPr>
          <w:p>
            <w:pPr>
              <w:jc w:val="center"/>
              <w:rPr>
                <w:rFonts w:eastAsiaTheme="minorEastAsia"/>
                <w:color w:val="000000"/>
                <w:sz w:val="24"/>
              </w:rPr>
            </w:pPr>
            <w:r>
              <w:rPr>
                <w:rFonts w:eastAsiaTheme="minorEastAsia"/>
                <w:color w:val="000000"/>
                <w:sz w:val="24"/>
              </w:rPr>
              <w:t>新建</w:t>
            </w:r>
            <w:r>
              <w:rPr>
                <w:rFonts w:eastAsiaTheme="minorEastAsia"/>
                <w:bCs/>
                <w:color w:val="000000"/>
                <w:szCs w:val="21"/>
              </w:rPr>
              <w:sym w:font="Wingdings" w:char="F0FE"/>
            </w:r>
            <w:r>
              <w:rPr>
                <w:rFonts w:eastAsiaTheme="minorEastAsia"/>
                <w:color w:val="000000"/>
                <w:sz w:val="24"/>
              </w:rPr>
              <w:t>改扩建</w:t>
            </w:r>
            <w:r>
              <w:rPr>
                <w:rFonts w:eastAsiaTheme="minorEastAsia"/>
                <w:bCs/>
                <w:color w:val="000000"/>
                <w:szCs w:val="21"/>
              </w:rPr>
              <w:sym w:font="Wingdings" w:char="F06F"/>
            </w:r>
            <w:r>
              <w:rPr>
                <w:rFonts w:eastAsiaTheme="minorEastAsia"/>
                <w:color w:val="000000"/>
                <w:sz w:val="24"/>
              </w:rPr>
              <w:t>技改</w:t>
            </w:r>
            <w:r>
              <w:rPr>
                <w:rFonts w:eastAsiaTheme="minorEastAsia"/>
                <w:bCs/>
                <w:color w:val="000000"/>
                <w:szCs w:val="21"/>
              </w:rPr>
              <w:sym w:font="Wingdings" w:char="F06F"/>
            </w:r>
          </w:p>
        </w:tc>
        <w:tc>
          <w:tcPr>
            <w:tcW w:w="1255" w:type="dxa"/>
            <w:shd w:val="clear" w:color="auto" w:fill="FFFFFF"/>
            <w:vAlign w:val="center"/>
          </w:tcPr>
          <w:p>
            <w:pPr>
              <w:jc w:val="center"/>
              <w:rPr>
                <w:rFonts w:eastAsiaTheme="minorEastAsia"/>
                <w:color w:val="000000"/>
                <w:sz w:val="24"/>
              </w:rPr>
            </w:pPr>
            <w:r>
              <w:rPr>
                <w:rFonts w:eastAsiaTheme="minorEastAsia"/>
                <w:color w:val="000000"/>
                <w:sz w:val="24"/>
              </w:rPr>
              <w:t>行业类别</w:t>
            </w:r>
          </w:p>
          <w:p>
            <w:pPr>
              <w:jc w:val="center"/>
              <w:rPr>
                <w:rFonts w:eastAsiaTheme="minorEastAsia"/>
                <w:color w:val="000000"/>
                <w:sz w:val="24"/>
              </w:rPr>
            </w:pPr>
            <w:r>
              <w:rPr>
                <w:rFonts w:eastAsiaTheme="minorEastAsia"/>
                <w:color w:val="000000"/>
                <w:sz w:val="24"/>
              </w:rPr>
              <w:t>及代码</w:t>
            </w:r>
          </w:p>
        </w:tc>
        <w:tc>
          <w:tcPr>
            <w:tcW w:w="4054" w:type="dxa"/>
            <w:gridSpan w:val="2"/>
            <w:shd w:val="clear" w:color="auto" w:fill="FFFFFF"/>
            <w:vAlign w:val="center"/>
          </w:tcPr>
          <w:p>
            <w:pPr>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lang w:eastAsia="zh-CN"/>
              </w:rPr>
              <w:t>机动车燃气零售（</w:t>
            </w:r>
            <w:r>
              <w:rPr>
                <w:rFonts w:hint="eastAsia"/>
                <w:color w:val="000000"/>
                <w:sz w:val="24"/>
                <w:lang w:val="en-US" w:eastAsia="zh-CN"/>
              </w:rPr>
              <w:t>F5266）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vAlign w:val="center"/>
          </w:tcPr>
          <w:p>
            <w:pPr>
              <w:jc w:val="center"/>
              <w:rPr>
                <w:rFonts w:eastAsiaTheme="minorEastAsia"/>
                <w:color w:val="000000"/>
                <w:sz w:val="24"/>
              </w:rPr>
            </w:pPr>
            <w:r>
              <w:rPr>
                <w:rFonts w:eastAsiaTheme="minorEastAsia"/>
                <w:color w:val="000000"/>
                <w:sz w:val="24"/>
              </w:rPr>
              <w:t>占地面积（m</w:t>
            </w:r>
            <w:r>
              <w:rPr>
                <w:rFonts w:eastAsiaTheme="minorEastAsia"/>
                <w:color w:val="000000"/>
                <w:sz w:val="24"/>
                <w:vertAlign w:val="superscript"/>
              </w:rPr>
              <w:t>2</w:t>
            </w:r>
            <w:r>
              <w:rPr>
                <w:rFonts w:eastAsiaTheme="minorEastAsia"/>
                <w:color w:val="000000"/>
                <w:sz w:val="24"/>
              </w:rPr>
              <w:t>）</w:t>
            </w:r>
          </w:p>
        </w:tc>
        <w:tc>
          <w:tcPr>
            <w:tcW w:w="3036" w:type="dxa"/>
            <w:gridSpan w:val="3"/>
            <w:shd w:val="clear" w:color="auto" w:fill="FFFFFF"/>
            <w:vAlign w:val="center"/>
          </w:tcPr>
          <w:p>
            <w:pPr>
              <w:jc w:val="center"/>
              <w:rPr>
                <w:rFonts w:hint="default" w:eastAsiaTheme="minorEastAsia"/>
                <w:color w:val="FF0000"/>
                <w:sz w:val="24"/>
                <w:lang w:val="en-US" w:eastAsia="zh-CN"/>
              </w:rPr>
            </w:pPr>
            <w:r>
              <w:rPr>
                <w:rFonts w:hint="eastAsia" w:eastAsiaTheme="minorEastAsia"/>
                <w:color w:val="000000"/>
                <w:sz w:val="24"/>
                <w:lang w:val="en-US" w:eastAsia="zh-CN"/>
              </w:rPr>
              <w:t>6666.04</w:t>
            </w:r>
          </w:p>
        </w:tc>
        <w:tc>
          <w:tcPr>
            <w:tcW w:w="1255" w:type="dxa"/>
            <w:shd w:val="clear" w:color="auto" w:fill="FFFFFF"/>
            <w:vAlign w:val="center"/>
          </w:tcPr>
          <w:p>
            <w:pPr>
              <w:jc w:val="center"/>
              <w:rPr>
                <w:rFonts w:eastAsiaTheme="minorEastAsia"/>
                <w:color w:val="000000"/>
                <w:sz w:val="24"/>
              </w:rPr>
            </w:pPr>
            <w:r>
              <w:rPr>
                <w:rFonts w:eastAsiaTheme="minorEastAsia"/>
                <w:color w:val="000000"/>
                <w:sz w:val="24"/>
              </w:rPr>
              <w:t>绿化面积（m</w:t>
            </w:r>
            <w:r>
              <w:rPr>
                <w:rFonts w:eastAsiaTheme="minorEastAsia"/>
                <w:color w:val="000000"/>
                <w:sz w:val="24"/>
                <w:vertAlign w:val="superscript"/>
              </w:rPr>
              <w:t>2</w:t>
            </w:r>
            <w:r>
              <w:rPr>
                <w:rFonts w:eastAsiaTheme="minorEastAsia"/>
                <w:color w:val="000000"/>
                <w:sz w:val="24"/>
              </w:rPr>
              <w:t>）</w:t>
            </w:r>
          </w:p>
        </w:tc>
        <w:tc>
          <w:tcPr>
            <w:tcW w:w="4054" w:type="dxa"/>
            <w:gridSpan w:val="2"/>
            <w:shd w:val="clear" w:color="auto" w:fill="FFFFFF"/>
            <w:vAlign w:val="center"/>
          </w:tcPr>
          <w:p>
            <w:pPr>
              <w:jc w:val="center"/>
              <w:rPr>
                <w:rFonts w:hint="default" w:eastAsiaTheme="minorEastAsia"/>
                <w:color w:val="000000"/>
                <w:sz w:val="24"/>
                <w:lang w:val="en-US" w:eastAsia="zh-CN"/>
              </w:rPr>
            </w:pPr>
            <w:r>
              <w:rPr>
                <w:rFonts w:hint="eastAsia" w:eastAsiaTheme="minorEastAsia"/>
                <w:color w:val="000000"/>
                <w:sz w:val="24"/>
                <w:lang w:val="en-US" w:eastAsia="zh-CN"/>
              </w:rPr>
              <w:t>1340.38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vAlign w:val="center"/>
          </w:tcPr>
          <w:p>
            <w:pPr>
              <w:jc w:val="center"/>
              <w:rPr>
                <w:rFonts w:eastAsiaTheme="minorEastAsia"/>
                <w:color w:val="000000"/>
                <w:sz w:val="24"/>
              </w:rPr>
            </w:pPr>
            <w:r>
              <w:rPr>
                <w:rFonts w:eastAsiaTheme="minorEastAsia"/>
                <w:color w:val="000000"/>
                <w:sz w:val="24"/>
              </w:rPr>
              <w:t>总投资（万元）</w:t>
            </w:r>
          </w:p>
        </w:tc>
        <w:tc>
          <w:tcPr>
            <w:tcW w:w="2001" w:type="dxa"/>
            <w:shd w:val="clear" w:color="auto" w:fill="FFFFFF"/>
            <w:vAlign w:val="center"/>
          </w:tcPr>
          <w:p>
            <w:pPr>
              <w:jc w:val="center"/>
              <w:rPr>
                <w:rFonts w:hint="default" w:eastAsiaTheme="minorEastAsia"/>
                <w:color w:val="000000" w:themeColor="text1"/>
                <w:sz w:val="24"/>
                <w:lang w:val="en-US" w:eastAsia="zh-CN"/>
                <w14:textFill>
                  <w14:solidFill>
                    <w14:schemeClr w14:val="tx1"/>
                  </w14:solidFill>
                </w14:textFill>
              </w:rPr>
            </w:pPr>
            <w:r>
              <w:rPr>
                <w:rFonts w:hint="eastAsia" w:eastAsiaTheme="minorEastAsia"/>
                <w:color w:val="000000" w:themeColor="text1"/>
                <w:sz w:val="24"/>
                <w:lang w:val="en-US" w:eastAsia="zh-CN"/>
                <w14:textFill>
                  <w14:solidFill>
                    <w14:schemeClr w14:val="tx1"/>
                  </w14:solidFill>
                </w14:textFill>
              </w:rPr>
              <w:t>3000</w:t>
            </w:r>
          </w:p>
        </w:tc>
        <w:tc>
          <w:tcPr>
            <w:tcW w:w="1035" w:type="dxa"/>
            <w:gridSpan w:val="2"/>
            <w:shd w:val="clear" w:color="auto" w:fill="FFFFFF"/>
            <w:vAlign w:val="center"/>
          </w:tcPr>
          <w:p>
            <w:pPr>
              <w:jc w:val="center"/>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环保投资（万元）</w:t>
            </w:r>
          </w:p>
        </w:tc>
        <w:tc>
          <w:tcPr>
            <w:tcW w:w="1255" w:type="dxa"/>
            <w:shd w:val="clear" w:color="auto" w:fill="FFFFFF"/>
            <w:vAlign w:val="center"/>
          </w:tcPr>
          <w:p>
            <w:pPr>
              <w:jc w:val="center"/>
              <w:rPr>
                <w:rFonts w:hint="default" w:eastAsiaTheme="minorEastAsia"/>
                <w:color w:val="000000" w:themeColor="text1"/>
                <w:sz w:val="24"/>
                <w:lang w:val="en-US" w:eastAsia="zh-CN"/>
                <w14:textFill>
                  <w14:solidFill>
                    <w14:schemeClr w14:val="tx1"/>
                  </w14:solidFill>
                </w14:textFill>
              </w:rPr>
            </w:pPr>
            <w:r>
              <w:rPr>
                <w:rFonts w:hint="eastAsia" w:eastAsiaTheme="minorEastAsia"/>
                <w:color w:val="000000" w:themeColor="text1"/>
                <w:sz w:val="24"/>
                <w:lang w:val="en-US" w:eastAsia="zh-CN"/>
                <w14:textFill>
                  <w14:solidFill>
                    <w14:schemeClr w14:val="tx1"/>
                  </w14:solidFill>
                </w14:textFill>
              </w:rPr>
              <w:t>70.4</w:t>
            </w:r>
          </w:p>
        </w:tc>
        <w:tc>
          <w:tcPr>
            <w:tcW w:w="976" w:type="dxa"/>
            <w:shd w:val="clear" w:color="auto" w:fill="FFFFFF"/>
            <w:vAlign w:val="center"/>
          </w:tcPr>
          <w:p>
            <w:pPr>
              <w:jc w:val="center"/>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环保投资占总投资比例</w:t>
            </w:r>
          </w:p>
        </w:tc>
        <w:tc>
          <w:tcPr>
            <w:tcW w:w="3078" w:type="dxa"/>
            <w:shd w:val="clear" w:color="auto" w:fill="FFFFFF"/>
            <w:vAlign w:val="center"/>
          </w:tcPr>
          <w:p>
            <w:pPr>
              <w:jc w:val="center"/>
              <w:rPr>
                <w:rFonts w:hint="default" w:eastAsiaTheme="minorEastAsia"/>
                <w:color w:val="000000" w:themeColor="text1"/>
                <w:sz w:val="24"/>
                <w:lang w:val="en-US" w:eastAsia="zh-CN"/>
                <w14:textFill>
                  <w14:solidFill>
                    <w14:schemeClr w14:val="tx1"/>
                  </w14:solidFill>
                </w14:textFill>
              </w:rPr>
            </w:pPr>
            <w:r>
              <w:rPr>
                <w:rFonts w:hint="eastAsia" w:eastAsiaTheme="minorEastAsia"/>
                <w:color w:val="000000" w:themeColor="text1"/>
                <w:sz w:val="24"/>
                <w:lang w:val="en-US" w:eastAsia="zh-CN"/>
                <w14:textFill>
                  <w14:solidFill>
                    <w14:schemeClr w14:val="tx1"/>
                  </w14:solidFill>
                </w14:textFill>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shd w:val="clear" w:color="auto" w:fill="FFFFFF"/>
            <w:vAlign w:val="center"/>
          </w:tcPr>
          <w:p>
            <w:pPr>
              <w:jc w:val="center"/>
              <w:rPr>
                <w:rFonts w:eastAsiaTheme="minorEastAsia"/>
                <w:color w:val="000000"/>
                <w:sz w:val="24"/>
              </w:rPr>
            </w:pPr>
            <w:r>
              <w:rPr>
                <w:rFonts w:eastAsiaTheme="minorEastAsia"/>
                <w:color w:val="000000"/>
                <w:sz w:val="24"/>
              </w:rPr>
              <w:t>评价经费</w:t>
            </w:r>
          </w:p>
          <w:p>
            <w:pPr>
              <w:jc w:val="center"/>
              <w:rPr>
                <w:rFonts w:eastAsiaTheme="minorEastAsia"/>
                <w:color w:val="000000"/>
                <w:sz w:val="24"/>
              </w:rPr>
            </w:pPr>
            <w:r>
              <w:rPr>
                <w:rFonts w:eastAsiaTheme="minorEastAsia"/>
                <w:color w:val="000000"/>
                <w:sz w:val="24"/>
              </w:rPr>
              <w:t>（万元）</w:t>
            </w:r>
          </w:p>
        </w:tc>
        <w:tc>
          <w:tcPr>
            <w:tcW w:w="2001" w:type="dxa"/>
            <w:shd w:val="clear" w:color="auto" w:fill="FFFFFF"/>
            <w:vAlign w:val="center"/>
          </w:tcPr>
          <w:p>
            <w:pPr>
              <w:jc w:val="center"/>
              <w:rPr>
                <w:rFonts w:eastAsiaTheme="minorEastAsia"/>
                <w:color w:val="000000"/>
                <w:sz w:val="24"/>
              </w:rPr>
            </w:pPr>
            <w:r>
              <w:rPr>
                <w:rFonts w:eastAsiaTheme="minorEastAsia"/>
                <w:color w:val="000000"/>
                <w:sz w:val="24"/>
              </w:rPr>
              <w:t>/</w:t>
            </w:r>
          </w:p>
        </w:tc>
        <w:tc>
          <w:tcPr>
            <w:tcW w:w="1035" w:type="dxa"/>
            <w:gridSpan w:val="2"/>
            <w:shd w:val="clear" w:color="auto" w:fill="FFFFFF"/>
            <w:vAlign w:val="center"/>
          </w:tcPr>
          <w:p>
            <w:pPr>
              <w:jc w:val="center"/>
              <w:rPr>
                <w:rFonts w:eastAsiaTheme="minorEastAsia"/>
                <w:color w:val="000000"/>
                <w:sz w:val="24"/>
              </w:rPr>
            </w:pPr>
            <w:r>
              <w:rPr>
                <w:rFonts w:eastAsiaTheme="minorEastAsia"/>
                <w:color w:val="000000"/>
                <w:sz w:val="24"/>
              </w:rPr>
              <w:t>预期投产日期</w:t>
            </w:r>
          </w:p>
        </w:tc>
        <w:tc>
          <w:tcPr>
            <w:tcW w:w="1255" w:type="dxa"/>
            <w:shd w:val="clear" w:color="auto" w:fill="FFFFFF"/>
            <w:vAlign w:val="center"/>
          </w:tcPr>
          <w:p>
            <w:pPr>
              <w:jc w:val="center"/>
              <w:rPr>
                <w:rFonts w:hint="default" w:eastAsiaTheme="minorEastAsia"/>
                <w:color w:val="000000"/>
                <w:sz w:val="24"/>
                <w:lang w:val="en-US" w:eastAsia="zh-CN"/>
              </w:rPr>
            </w:pPr>
            <w:r>
              <w:rPr>
                <w:rFonts w:hint="eastAsia" w:eastAsiaTheme="minorEastAsia"/>
                <w:color w:val="000000"/>
                <w:sz w:val="24"/>
                <w:lang w:val="en-US" w:eastAsia="zh-CN"/>
              </w:rPr>
              <w:t>2021.05</w:t>
            </w:r>
          </w:p>
        </w:tc>
        <w:tc>
          <w:tcPr>
            <w:tcW w:w="976" w:type="dxa"/>
            <w:shd w:val="clear" w:color="auto" w:fill="FFFFFF"/>
            <w:vAlign w:val="center"/>
          </w:tcPr>
          <w:p>
            <w:pPr>
              <w:jc w:val="center"/>
              <w:rPr>
                <w:rFonts w:hint="eastAsia" w:eastAsiaTheme="minorEastAsia"/>
                <w:color w:val="000000"/>
                <w:sz w:val="24"/>
                <w:lang w:val="en-US" w:eastAsia="zh-CN"/>
              </w:rPr>
            </w:pPr>
            <w:r>
              <w:rPr>
                <w:rFonts w:hint="eastAsia" w:eastAsiaTheme="minorEastAsia"/>
                <w:color w:val="000000"/>
                <w:sz w:val="24"/>
                <w:lang w:val="en-US" w:eastAsia="zh-CN"/>
              </w:rPr>
              <w:t>统一社会信用代码</w:t>
            </w:r>
          </w:p>
        </w:tc>
        <w:tc>
          <w:tcPr>
            <w:tcW w:w="3078" w:type="dxa"/>
            <w:shd w:val="clear" w:color="auto" w:fill="FFFFFF"/>
            <w:vAlign w:val="center"/>
          </w:tcPr>
          <w:p>
            <w:pPr>
              <w:spacing w:line="240" w:lineRule="atLeast"/>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lang w:val="en-US" w:eastAsia="zh-CN"/>
              </w:rPr>
              <w:t>91511132MA655GNE4D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772" w:type="dxa"/>
            <w:gridSpan w:val="7"/>
            <w:shd w:val="clear" w:color="auto" w:fill="FFFFFF"/>
            <w:vAlign w:val="center"/>
          </w:tcPr>
          <w:p>
            <w:pPr>
              <w:pStyle w:val="97"/>
              <w:bidi w:val="0"/>
              <w:ind w:left="0" w:leftChars="0" w:firstLine="0" w:firstLineChars="0"/>
              <w:rPr>
                <w:rFonts w:hint="eastAsia"/>
                <w:color w:val="000000"/>
                <w:sz w:val="28"/>
                <w:szCs w:val="21"/>
                <w:lang w:val="en-US" w:eastAsia="zh-CN"/>
              </w:rPr>
            </w:pPr>
            <w:r>
              <w:rPr>
                <w:rFonts w:hint="eastAsia"/>
                <w:b/>
                <w:bCs/>
                <w:color w:val="000000"/>
                <w:sz w:val="28"/>
                <w:szCs w:val="21"/>
                <w:lang w:val="en-US" w:eastAsia="zh-CN"/>
              </w:rPr>
              <w:t>工程内容及规模</w:t>
            </w:r>
          </w:p>
          <w:p>
            <w:pPr>
              <w:pStyle w:val="97"/>
              <w:bidi w:val="0"/>
              <w:ind w:left="0" w:leftChars="0" w:firstLine="0" w:firstLineChars="0"/>
              <w:rPr>
                <w:rFonts w:hint="eastAsia"/>
                <w:b/>
                <w:bCs/>
                <w:color w:val="000000"/>
                <w:sz w:val="28"/>
                <w:szCs w:val="21"/>
                <w:lang w:val="en-US" w:eastAsia="zh-CN"/>
              </w:rPr>
            </w:pPr>
            <w:r>
              <w:rPr>
                <w:rFonts w:hint="eastAsia"/>
                <w:b/>
                <w:bCs/>
                <w:color w:val="000000"/>
                <w:sz w:val="28"/>
                <w:szCs w:val="21"/>
                <w:lang w:val="en-US" w:eastAsia="zh-CN"/>
              </w:rPr>
              <w:t>一、项目由来</w:t>
            </w:r>
          </w:p>
          <w:p>
            <w:pPr>
              <w:pStyle w:val="97"/>
              <w:bidi w:val="0"/>
              <w:rPr>
                <w:rFonts w:hint="eastAsia"/>
                <w:color w:val="000000"/>
                <w:lang w:val="en-US" w:eastAsia="zh-CN"/>
              </w:rPr>
            </w:pPr>
            <w:r>
              <w:rPr>
                <w:rFonts w:hint="eastAsia"/>
                <w:color w:val="000000"/>
                <w:lang w:val="en-US" w:eastAsia="zh-CN"/>
              </w:rPr>
              <w:t xml:space="preserve">随着汽车保有量的快速增长，车用能源消耗量不断增加，汽车尾气污染加大。世界各国从能源安全和环境保护的角度出发，在大力推进汽车技术进步的同时，积极开发利用天然气汽车、电动汽车、液化石油气汽车、醇类汽车等代用燃料汽车的技术已经成熟。目前，我国有30个省市自治区80多个城市开展车用天然气、液化石油气汽车、醇类汽车和电动汽车业务，被称为“绿色汽车”，LNG汽车在环保方面具有显著效益。      </w:t>
            </w:r>
          </w:p>
          <w:p>
            <w:pPr>
              <w:pStyle w:val="97"/>
              <w:bidi w:val="0"/>
              <w:rPr>
                <w:rFonts w:hint="default"/>
                <w:color w:val="000000"/>
                <w:lang w:val="en-US" w:eastAsia="zh-CN"/>
              </w:rPr>
            </w:pPr>
            <w:r>
              <w:rPr>
                <w:rFonts w:hint="eastAsia"/>
                <w:color w:val="000000"/>
                <w:lang w:val="en-US" w:eastAsia="zh-CN"/>
              </w:rPr>
              <w:t>我国是一个石油资源相对不足的国家，石油储量增长有限，供需缺口大，进口依存度高。国家制定了“油气并举，将天然气放在与石油同等重要的位置，加快天然气的开发利用，逐步改善能源结构的战略方针”。液化天然气（LNG）由于经济高效、灵活方便、安全可靠、清洁环保的特性，在全球范围内得到快速发展。</w:t>
            </w:r>
          </w:p>
          <w:p>
            <w:pPr>
              <w:pStyle w:val="97"/>
              <w:bidi w:val="0"/>
              <w:rPr>
                <w:rFonts w:hint="eastAsia"/>
                <w:color w:val="000000"/>
                <w:lang w:val="en-US" w:eastAsia="zh-CN"/>
              </w:rPr>
            </w:pPr>
            <w:r>
              <w:rPr>
                <w:rFonts w:hint="eastAsia"/>
                <w:color w:val="000000"/>
                <w:lang w:val="en-US" w:eastAsia="zh-CN"/>
              </w:rPr>
              <w:t>根据市场需求，乐山市美凯来商贸有限公司峨边分公司拟投资3000万元在乐山市峨边彝族自治县新场乡长虹村2组进行一期项目LNG加气站建设。根据项目设计方案，本工程分两期建设，一期为本次评价的加气站建设项目，二期为预留加油站及充电站，二期暂不进行建设。本次拟建项目地址位于峨边彝族自治县新场乡长虹村2组，占地面积为6666.04m</w:t>
            </w:r>
            <w:r>
              <w:rPr>
                <w:rFonts w:hint="eastAsia"/>
                <w:color w:val="000000"/>
                <w:vertAlign w:val="superscript"/>
                <w:lang w:val="en-US" w:eastAsia="zh-CN"/>
              </w:rPr>
              <w:t>2</w:t>
            </w:r>
            <w:r>
              <w:rPr>
                <w:rFonts w:hint="eastAsia"/>
                <w:color w:val="000000"/>
                <w:lang w:val="en-US" w:eastAsia="zh-CN"/>
              </w:rPr>
              <w:t>，建设内容包括：新建一座LNG加气站，主要服务对象为大型载重货车，设计规模为15×10</w:t>
            </w:r>
            <w:r>
              <w:rPr>
                <w:rFonts w:hint="eastAsia"/>
                <w:color w:val="000000"/>
                <w:vertAlign w:val="superscript"/>
                <w:lang w:val="en-US" w:eastAsia="zh-CN"/>
              </w:rPr>
              <w:t>4</w:t>
            </w:r>
            <w:r>
              <w:rPr>
                <w:rFonts w:hint="eastAsia"/>
                <w:color w:val="000000"/>
                <w:lang w:val="en-US" w:eastAsia="zh-CN"/>
              </w:rPr>
              <w:t>Nm</w:t>
            </w:r>
            <w:r>
              <w:rPr>
                <w:rFonts w:hint="eastAsia"/>
                <w:color w:val="000000"/>
                <w:vertAlign w:val="superscript"/>
                <w:lang w:val="en-US" w:eastAsia="zh-CN"/>
              </w:rPr>
              <w:t>3</w:t>
            </w:r>
            <w:r>
              <w:rPr>
                <w:rFonts w:hint="eastAsia"/>
                <w:color w:val="000000"/>
                <w:lang w:val="en-US" w:eastAsia="zh-CN"/>
              </w:rPr>
              <w:t>/d；站内设置1座60m</w:t>
            </w:r>
            <w:r>
              <w:rPr>
                <w:rFonts w:hint="eastAsia"/>
                <w:color w:val="000000"/>
                <w:vertAlign w:val="superscript"/>
                <w:lang w:val="en-US" w:eastAsia="zh-CN"/>
              </w:rPr>
              <w:t>3</w:t>
            </w:r>
            <w:r>
              <w:rPr>
                <w:rFonts w:hint="eastAsia"/>
                <w:color w:val="000000"/>
                <w:lang w:val="en-US" w:eastAsia="zh-CN"/>
              </w:rPr>
              <w:t>LNG低温储罐，3台LNG双枪加气机，站内设置1处通过式加气罩棚、1处地下式LNG工艺装置区、2层框架结构站房。根据《汽车加油加气站设计与施工规范》（GB50156-2012），该项目属三级LNG加气站。</w:t>
            </w:r>
          </w:p>
          <w:p>
            <w:pPr>
              <w:pStyle w:val="97"/>
              <w:bidi w:val="0"/>
              <w:rPr>
                <w:rFonts w:hint="eastAsia"/>
                <w:color w:val="000000"/>
                <w:lang w:val="en-US" w:eastAsia="zh-CN"/>
              </w:rPr>
            </w:pPr>
            <w:r>
              <w:rPr>
                <w:rFonts w:hint="eastAsia"/>
                <w:color w:val="000000"/>
                <w:lang w:val="en-US" w:eastAsia="zh-CN"/>
              </w:rPr>
              <w:t>根据国家发展改革委令2019年第29号《产业结构调整指导目录（2019年本）》，本项目建设不属于其中鼓励、限制和淘汰类规定的范围，属于允许类。</w:t>
            </w:r>
          </w:p>
          <w:p>
            <w:pPr>
              <w:pStyle w:val="97"/>
              <w:bidi w:val="0"/>
              <w:rPr>
                <w:rFonts w:hint="eastAsia"/>
                <w:b/>
                <w:bCs/>
                <w:color w:val="000000"/>
                <w:lang w:val="en-US" w:eastAsia="zh-CN"/>
              </w:rPr>
            </w:pPr>
            <w:r>
              <w:rPr>
                <w:rFonts w:hint="eastAsia"/>
                <w:b/>
                <w:bCs/>
                <w:color w:val="000000"/>
                <w:lang w:val="en-US" w:eastAsia="zh-CN"/>
              </w:rPr>
              <w:t>项目已取得峨边彝族自治县发展和改革局《四川省固定资产投资项目备案表》，备案号：川投资备【2020-511132-45-03-478575】FGQB-0082号。本项目使用净化后的LNG进行加注，不涉及脱硫、加臭、脱水等工艺，也不涉及LNG的生产和汽车清洗、维修服务。</w:t>
            </w:r>
          </w:p>
          <w:p>
            <w:pPr>
              <w:pStyle w:val="97"/>
              <w:bidi w:val="0"/>
              <w:rPr>
                <w:rFonts w:hint="eastAsia"/>
                <w:color w:val="000000"/>
                <w:lang w:val="en-US" w:eastAsia="zh-CN"/>
              </w:rPr>
            </w:pPr>
            <w:r>
              <w:rPr>
                <w:rFonts w:hint="eastAsia"/>
                <w:color w:val="000000"/>
                <w:lang w:val="en-US" w:eastAsia="zh-CN"/>
              </w:rPr>
              <w:t>根据《中华人民共和国环境保护法》、《中华人民共和国环境影响评价法》和《建设项目环境保护管理办法》国务院令第 682 号，该项目需进行环境影响评价工作。本项目为加气站建设，依据《建设项目环境影响评价分类管理名录》(环境保护部 44 号令)及关于修改《建设项目环境影响评价分类管理名录》部分内容的决定（生态环境部令第 1 号）的规定，项目属于“四十、社会事业与服务业 124 加油、加气站”根据该条新建、扩建加油、加气站做报告表，其他做登记表”，本项目为新建项目，因此本项目应该编制环境影响评价报告表。为此，乐山市美凯来商贸有限公司峨边分公司委托我公司承担该项目的环境影响报告表的编制工作（委托书见附件 1）。我单位接受委托后，立即进行了详细的现场踏勘、资料收集，并结合该项目特点和区域自然、社会和环境因素，按照国家环保部《环境影响评价技术导则》的有关技术规范，编制了本项目环境影响报告表。</w:t>
            </w:r>
          </w:p>
          <w:p>
            <w:pPr>
              <w:pStyle w:val="97"/>
              <w:bidi w:val="0"/>
              <w:ind w:left="0" w:leftChars="0" w:firstLine="0" w:firstLineChars="0"/>
              <w:rPr>
                <w:rFonts w:hint="default"/>
                <w:b/>
                <w:bCs/>
                <w:color w:val="000000"/>
                <w:vertAlign w:val="baseline"/>
                <w:lang w:val="en-US" w:eastAsia="zh-CN"/>
              </w:rPr>
            </w:pPr>
            <w:r>
              <w:rPr>
                <w:rFonts w:hint="default"/>
                <w:b/>
                <w:bCs/>
                <w:color w:val="000000"/>
                <w:vertAlign w:val="baseline"/>
                <w:lang w:val="en-US" w:eastAsia="zh-CN"/>
              </w:rPr>
              <w:t>二、与本项目相关的国家产业政策符合性分析</w:t>
            </w:r>
          </w:p>
          <w:p>
            <w:pPr>
              <w:pStyle w:val="97"/>
              <w:bidi w:val="0"/>
              <w:rPr>
                <w:rFonts w:hint="default"/>
                <w:b/>
                <w:bCs/>
                <w:color w:val="000000"/>
                <w:vertAlign w:val="baseline"/>
                <w:lang w:val="en-US" w:eastAsia="zh-CN"/>
              </w:rPr>
            </w:pPr>
            <w:r>
              <w:rPr>
                <w:rFonts w:hint="default"/>
                <w:b/>
                <w:bCs/>
                <w:color w:val="000000"/>
                <w:vertAlign w:val="baseline"/>
                <w:lang w:val="en-US" w:eastAsia="zh-CN"/>
              </w:rPr>
              <w:t>（1）与《产业结构调整指导目录（2019 年本）》的符合性</w:t>
            </w:r>
          </w:p>
          <w:p>
            <w:pPr>
              <w:pStyle w:val="97"/>
              <w:bidi w:val="0"/>
              <w:rPr>
                <w:rFonts w:hint="eastAsia"/>
                <w:color w:val="000000"/>
                <w:vertAlign w:val="baseline"/>
                <w:lang w:val="en-US" w:eastAsia="zh-CN"/>
              </w:rPr>
            </w:pPr>
            <w:r>
              <w:rPr>
                <w:rFonts w:hint="default"/>
                <w:color w:val="000000"/>
                <w:vertAlign w:val="baseline"/>
                <w:lang w:val="en-US" w:eastAsia="zh-CN"/>
              </w:rPr>
              <w:t>根据《国民经济行业分类与代码》（GB/T4754-2017），本项目属于“机动车燃气零售（F5266）”；根据国家发展改革委令2019年第29号《产业结构调整指导目录（2019年本）》中相关规定，本项目建设不属于其中鼓励、限制和淘汰类规定的范围。根据国务院《促进产业结构调整暂行规定》（国发[2005]40 号）第十三条不属于鼓励类</w:t>
            </w:r>
            <w:r>
              <w:rPr>
                <w:rFonts w:hint="eastAsia"/>
                <w:color w:val="000000"/>
                <w:vertAlign w:val="baseline"/>
                <w:lang w:val="en-US" w:eastAsia="zh-CN"/>
              </w:rPr>
              <w:t>、限制类和淘汰类，且符</w:t>
            </w:r>
          </w:p>
          <w:p>
            <w:pPr>
              <w:pStyle w:val="97"/>
              <w:bidi w:val="0"/>
              <w:ind w:left="0" w:leftChars="0" w:firstLine="0" w:firstLineChars="0"/>
              <w:rPr>
                <w:rFonts w:hint="default"/>
                <w:color w:val="000000"/>
                <w:vertAlign w:val="baseline"/>
                <w:lang w:val="en-US" w:eastAsia="zh-CN"/>
              </w:rPr>
            </w:pPr>
            <w:r>
              <w:rPr>
                <w:rFonts w:hint="default"/>
                <w:color w:val="000000"/>
                <w:vertAlign w:val="baseline"/>
                <w:lang w:val="en-US" w:eastAsia="zh-CN"/>
              </w:rPr>
              <w:t>合国家有关法律、法规和政策规定，为允许类”。同时，本项目拟采用的生产设备不属于淘汰类、限制类设备。因此，本项目符合国家当前的产业政策，为允许类。</w:t>
            </w:r>
          </w:p>
          <w:p>
            <w:pPr>
              <w:pStyle w:val="97"/>
              <w:bidi w:val="0"/>
              <w:rPr>
                <w:rFonts w:hint="default"/>
                <w:color w:val="000000"/>
                <w:lang w:val="en-US" w:eastAsia="zh-CN"/>
              </w:rPr>
            </w:pPr>
            <w:r>
              <w:rPr>
                <w:rFonts w:hint="default"/>
                <w:color w:val="000000"/>
                <w:lang w:val="en-US" w:eastAsia="zh-CN"/>
              </w:rPr>
              <w:t>根据中华人民共和国国家发展和改革委员会令第 15 号，《西部地区鼓励类产业目录》已经国务院批准，自 2014 年 10 月 1 日起实施。本项目符合《西部地区鼓励类产业目录》西部地区新增鼓励类产业中“（二）四川省 14 液化天然气（LNG）汽车加气站成套设备及装置制造与应用”。</w:t>
            </w:r>
          </w:p>
          <w:p>
            <w:pPr>
              <w:pStyle w:val="97"/>
              <w:bidi w:val="0"/>
              <w:rPr>
                <w:rFonts w:hint="default"/>
                <w:b/>
                <w:bCs/>
                <w:color w:val="000000"/>
                <w:lang w:val="en-US" w:eastAsia="zh-CN"/>
              </w:rPr>
            </w:pPr>
            <w:r>
              <w:rPr>
                <w:rFonts w:hint="default"/>
                <w:b/>
                <w:bCs/>
                <w:color w:val="000000"/>
                <w:lang w:val="en-US" w:eastAsia="zh-CN"/>
              </w:rPr>
              <w:t>因此，评价认为本项目符合国家现行产业政策。</w:t>
            </w:r>
          </w:p>
          <w:p>
            <w:pPr>
              <w:pStyle w:val="97"/>
              <w:bidi w:val="0"/>
              <w:rPr>
                <w:rFonts w:hint="default"/>
                <w:b/>
                <w:bCs/>
                <w:color w:val="000000"/>
                <w:lang w:val="en-US" w:eastAsia="zh-CN"/>
              </w:rPr>
            </w:pPr>
            <w:r>
              <w:rPr>
                <w:rFonts w:hint="default"/>
                <w:b/>
                <w:bCs/>
                <w:color w:val="000000"/>
                <w:lang w:val="en-US" w:eastAsia="zh-CN"/>
              </w:rPr>
              <w:t>（2）与《天然气利用政策》符合性分析</w:t>
            </w:r>
          </w:p>
          <w:p>
            <w:pPr>
              <w:pStyle w:val="97"/>
              <w:bidi w:val="0"/>
              <w:rPr>
                <w:rFonts w:hint="default"/>
                <w:color w:val="000000"/>
                <w:lang w:val="en-US" w:eastAsia="zh-CN"/>
              </w:rPr>
            </w:pPr>
            <w:r>
              <w:rPr>
                <w:rFonts w:hint="default"/>
                <w:color w:val="000000"/>
                <w:lang w:val="en-US" w:eastAsia="zh-CN"/>
              </w:rPr>
              <w:t>根据《天然气利用政策》（国家发展和改革委员会2012年第15号令），本项目属于其中“第一类 优先类城市燃气 3、天然气汽车（尤其是双燃料及液化天然气汽车），包括城市公交车、出租车、物流配送车、载客汽车、环卫车和载货汽车等以天然气为燃料的运输车辆”用气，符合天然气利用政策。</w:t>
            </w:r>
          </w:p>
          <w:p>
            <w:pPr>
              <w:pStyle w:val="97"/>
              <w:bidi w:val="0"/>
              <w:rPr>
                <w:rFonts w:hint="default"/>
                <w:b/>
                <w:bCs/>
                <w:color w:val="000000"/>
                <w:lang w:val="en-US" w:eastAsia="zh-CN"/>
              </w:rPr>
            </w:pPr>
            <w:r>
              <w:rPr>
                <w:rFonts w:hint="default"/>
                <w:b/>
                <w:bCs/>
                <w:color w:val="000000"/>
                <w:lang w:val="en-US" w:eastAsia="zh-CN"/>
              </w:rPr>
              <w:t>因此，本项目符合天然气利用政策。</w:t>
            </w:r>
          </w:p>
          <w:p>
            <w:pPr>
              <w:autoSpaceDE w:val="0"/>
              <w:autoSpaceDN w:val="0"/>
              <w:adjustRightInd w:val="0"/>
              <w:spacing w:line="360" w:lineRule="auto"/>
              <w:ind w:firstLine="482" w:firstLineChars="200"/>
              <w:rPr>
                <w:rFonts w:hint="eastAsia" w:eastAsiaTheme="minorEastAsia"/>
                <w:b/>
                <w:bCs/>
                <w:color w:val="000000"/>
                <w:sz w:val="24"/>
              </w:rPr>
            </w:pPr>
            <w:r>
              <w:rPr>
                <w:rFonts w:hint="eastAsia" w:eastAsiaTheme="minorEastAsia"/>
                <w:b/>
                <w:bCs/>
                <w:color w:val="000000"/>
                <w:sz w:val="24"/>
              </w:rPr>
              <w:t>（3）《四川省“十三五"能源发 展规划》符合性</w:t>
            </w:r>
          </w:p>
          <w:p>
            <w:pPr>
              <w:pStyle w:val="97"/>
              <w:bidi w:val="0"/>
              <w:rPr>
                <w:rFonts w:hint="eastAsia"/>
                <w:color w:val="000000"/>
              </w:rPr>
            </w:pPr>
            <w:r>
              <w:rPr>
                <w:rFonts w:hint="eastAsia"/>
                <w:color w:val="000000"/>
              </w:rPr>
              <w:t>四川省人民政府 2017 年 2 月 23 日发布的《四川省“十三五”能源发展规划》(川府发</w:t>
            </w:r>
            <w:r>
              <w:rPr>
                <w:rFonts w:hint="eastAsia"/>
                <w:color w:val="000000"/>
                <w:lang w:val="en-US" w:eastAsia="zh-CN"/>
              </w:rPr>
              <w:t>[</w:t>
            </w:r>
            <w:r>
              <w:rPr>
                <w:rFonts w:hint="eastAsia"/>
                <w:color w:val="000000"/>
              </w:rPr>
              <w:t>2017</w:t>
            </w:r>
            <w:r>
              <w:rPr>
                <w:rFonts w:hint="eastAsia"/>
                <w:color w:val="000000"/>
                <w:lang w:val="en-US" w:eastAsia="zh-CN"/>
              </w:rPr>
              <w:t>]</w:t>
            </w:r>
            <w:r>
              <w:rPr>
                <w:rFonts w:hint="eastAsia"/>
                <w:color w:val="000000"/>
              </w:rPr>
              <w:t xml:space="preserve"> 12 号)中指出：“六、积极推进能源消费清洁高效（一）积极推动电能替代和天然气替代。大力实施和推广以电代煤、以电代油工程，重点在城市交通、工商业等领域实施以电代油、以电代煤。工业领域积极推进燃煤锅炉“煤改电”，开展电蓄冷蓄热，逐步扩大工业电能替代范围,稳步提高电能占终端能源， 消费比重。改善城镇与农村用能方式，在城镇、乡村等散煤消耗区域鼓励“煤改电”，积极推进民用和工业“煤改气”工程。以长途客货运、城市公交、出租车及环卫工程车等车辆为重点，推广使用以液化天然气(LNG)、压缩天然气(CNG)为燃料的清洁能源汽车。”</w:t>
            </w:r>
          </w:p>
          <w:p>
            <w:pPr>
              <w:pStyle w:val="97"/>
              <w:bidi w:val="0"/>
              <w:rPr>
                <w:rFonts w:hint="default"/>
                <w:b/>
                <w:bCs/>
                <w:color w:val="000000"/>
                <w:lang w:val="en-US" w:eastAsia="zh-CN"/>
              </w:rPr>
            </w:pPr>
            <w:r>
              <w:rPr>
                <w:rFonts w:hint="default"/>
                <w:b/>
                <w:bCs/>
                <w:color w:val="000000"/>
                <w:lang w:val="en-US" w:eastAsia="zh-CN"/>
              </w:rPr>
              <w:t>本项目正是 LNG 加气站的建设项目，项目的建成将促进清洁能源汽车的推广使用，因此项目建设符合《四川省“十三五"能源发展规划》。</w:t>
            </w:r>
          </w:p>
          <w:p>
            <w:pPr>
              <w:autoSpaceDE w:val="0"/>
              <w:autoSpaceDN w:val="0"/>
              <w:adjustRightInd w:val="0"/>
              <w:spacing w:line="360" w:lineRule="auto"/>
              <w:ind w:firstLine="482" w:firstLineChars="200"/>
              <w:rPr>
                <w:rFonts w:hint="eastAsia" w:eastAsiaTheme="minorEastAsia"/>
                <w:b/>
                <w:bCs/>
                <w:color w:val="000000"/>
                <w:sz w:val="24"/>
              </w:rPr>
            </w:pPr>
            <w:r>
              <w:rPr>
                <w:rFonts w:hint="eastAsia" w:eastAsiaTheme="minorEastAsia"/>
                <w:b/>
                <w:bCs/>
                <w:color w:val="000000"/>
                <w:sz w:val="24"/>
                <w:lang w:eastAsia="zh-CN"/>
              </w:rPr>
              <w:t>（</w:t>
            </w:r>
            <w:r>
              <w:rPr>
                <w:rFonts w:hint="eastAsia" w:eastAsiaTheme="minorEastAsia"/>
                <w:b/>
                <w:bCs/>
                <w:color w:val="000000"/>
                <w:sz w:val="24"/>
                <w:lang w:val="en-US" w:eastAsia="zh-CN"/>
              </w:rPr>
              <w:t>4）</w:t>
            </w:r>
            <w:r>
              <w:rPr>
                <w:rFonts w:hint="eastAsia" w:eastAsiaTheme="minorEastAsia"/>
                <w:b/>
                <w:bCs/>
                <w:color w:val="000000"/>
                <w:sz w:val="24"/>
              </w:rPr>
              <w:t>与《四川省“十三五”天然气车船产业发展规划》符合性分析</w:t>
            </w:r>
          </w:p>
          <w:p>
            <w:pPr>
              <w:pStyle w:val="97"/>
              <w:bidi w:val="0"/>
              <w:rPr>
                <w:rFonts w:hint="eastAsia"/>
                <w:color w:val="000000"/>
                <w:lang w:val="en-US" w:eastAsia="zh-CN"/>
              </w:rPr>
            </w:pPr>
            <w:r>
              <w:rPr>
                <w:rFonts w:hint="eastAsia"/>
                <w:color w:val="000000"/>
                <w:lang w:val="en-US" w:eastAsia="zh-CN"/>
              </w:rPr>
              <w:t>四川省发展和改革委员会 2016 年 12 月 8 日发布的《四川省“十三五”天然气车船产业发展规划》(川发改产业 [2016] 629 号)中指出“十三五”期间发展目标为“全省新增 CNG加气站 173 座，新增 CNG 汽车 13 万辆；建设 LNG 加气站 174 座，推广 LNG 汽车 3.5 万辆”。本项目属于该规划目标中需建设的 LNG 加气站项目。</w:t>
            </w:r>
          </w:p>
          <w:p>
            <w:pPr>
              <w:pStyle w:val="97"/>
              <w:bidi w:val="0"/>
              <w:rPr>
                <w:rFonts w:hint="eastAsia"/>
                <w:b/>
                <w:bCs/>
                <w:color w:val="000000"/>
                <w:lang w:val="en-US" w:eastAsia="zh-CN"/>
              </w:rPr>
            </w:pPr>
            <w:r>
              <w:rPr>
                <w:rFonts w:hint="eastAsia"/>
                <w:b/>
                <w:bCs/>
                <w:color w:val="000000"/>
                <w:lang w:val="en-US" w:eastAsia="zh-CN"/>
              </w:rPr>
              <w:t>因此，本项且的建设符合《四川省“十三五”天然气车船产业发展规划》。</w:t>
            </w:r>
          </w:p>
          <w:p>
            <w:pPr>
              <w:pStyle w:val="97"/>
              <w:bidi w:val="0"/>
              <w:rPr>
                <w:rFonts w:hint="eastAsia"/>
                <w:b/>
                <w:bCs/>
                <w:color w:val="000000"/>
                <w:lang w:val="en-US" w:eastAsia="zh-CN"/>
              </w:rPr>
            </w:pPr>
            <w:r>
              <w:rPr>
                <w:rFonts w:hint="eastAsia"/>
                <w:b/>
                <w:bCs/>
                <w:color w:val="000000"/>
                <w:lang w:val="en-US" w:eastAsia="zh-CN"/>
              </w:rPr>
              <w:t>（5）与《四川省&lt;中华人民共和国大气污染防治法&gt;实施办法》符合性分析</w:t>
            </w:r>
          </w:p>
          <w:p>
            <w:pPr>
              <w:pStyle w:val="97"/>
              <w:bidi w:val="0"/>
              <w:rPr>
                <w:rFonts w:hint="eastAsia"/>
                <w:color w:val="000000"/>
                <w:lang w:val="en-US" w:eastAsia="zh-CN"/>
              </w:rPr>
            </w:pPr>
            <w:r>
              <w:rPr>
                <w:rFonts w:hint="eastAsia"/>
                <w:color w:val="000000"/>
                <w:lang w:val="en-US" w:eastAsia="zh-CN"/>
              </w:rPr>
              <w:t>为了持续有效保护和改善环境和防治大气污染，保障公众健康，推进生态文明建设及促进经济社会发展与环境保护相协调，2018年12月7日，由四川省第十三届人大常务委员会第八次会议修订通过并公布《四川省&lt;中华人民共和国大气污染防治法&gt;实施办法》。该办法第三章中第三十一条指出“发展清洁能源”且第三十四条指出“应当加快新能源和清洁能源汽车基础设施建设，鼓励和支持公共交通、出租车、环卫、邮政、快递等行业用车和公务用车率先使用新能源和清洁能源汽车。”，本项目为LNG加气站的建设，该项目的建成能够促进清洁能源汽车的使用。</w:t>
            </w:r>
          </w:p>
          <w:p>
            <w:pPr>
              <w:pStyle w:val="97"/>
              <w:bidi w:val="0"/>
              <w:rPr>
                <w:rFonts w:hint="default"/>
                <w:b/>
                <w:bCs/>
                <w:color w:val="000000"/>
                <w:lang w:val="en-US" w:eastAsia="zh-CN"/>
              </w:rPr>
            </w:pPr>
            <w:r>
              <w:rPr>
                <w:rFonts w:hint="default"/>
                <w:b/>
                <w:bCs/>
                <w:color w:val="000000"/>
                <w:lang w:val="en-US" w:eastAsia="zh-CN"/>
              </w:rPr>
              <w:t>因此，本项目的建设符合《四川省&lt;中华人民共和国大气污染防治法&gt;实施办法》。</w:t>
            </w:r>
          </w:p>
          <w:p>
            <w:pPr>
              <w:pStyle w:val="97"/>
              <w:bidi w:val="0"/>
              <w:rPr>
                <w:rFonts w:hint="default"/>
                <w:b/>
                <w:bCs/>
                <w:color w:val="000000"/>
                <w:lang w:val="en-US" w:eastAsia="zh-CN"/>
              </w:rPr>
            </w:pPr>
            <w:r>
              <w:rPr>
                <w:rFonts w:hint="default"/>
                <w:b/>
                <w:bCs/>
                <w:color w:val="000000"/>
                <w:lang w:val="en-US" w:eastAsia="zh-CN"/>
              </w:rPr>
              <w:t>（6）与《大气污染防治行动计划》的符合性分析</w:t>
            </w:r>
          </w:p>
          <w:p>
            <w:pPr>
              <w:pStyle w:val="97"/>
              <w:bidi w:val="0"/>
              <w:rPr>
                <w:rFonts w:hint="default"/>
                <w:color w:val="000000"/>
                <w:lang w:val="en-US" w:eastAsia="zh-CN"/>
              </w:rPr>
            </w:pPr>
            <w:r>
              <w:rPr>
                <w:rFonts w:hint="default"/>
                <w:color w:val="000000"/>
                <w:lang w:val="en-US" w:eastAsia="zh-CN"/>
              </w:rPr>
              <w:t>本项目属于天然气供应行业，拟建址位于乐山市峨边彝族自治县新场乡长虹村2组。根据《国务院关于印发大气污染防治行动计划的通知》（国发[2013]37 号）， 本项目不属于高污染、高能耗、资源性行业，项目建设符合现行产业政策，运营过程中废气污染物主要为汽车尾气，并加强管理，定期清扫、保洁等，能够有效减小废气的产排量，对区域环境空气质量影响较小。</w:t>
            </w:r>
          </w:p>
          <w:p>
            <w:pPr>
              <w:pStyle w:val="97"/>
              <w:bidi w:val="0"/>
              <w:rPr>
                <w:rFonts w:hint="default"/>
                <w:b/>
                <w:bCs/>
                <w:color w:val="000000"/>
                <w:lang w:val="en-US" w:eastAsia="zh-CN"/>
              </w:rPr>
            </w:pPr>
            <w:r>
              <w:rPr>
                <w:rFonts w:hint="default"/>
                <w:b/>
                <w:bCs/>
                <w:color w:val="000000"/>
                <w:lang w:val="en-US" w:eastAsia="zh-CN"/>
              </w:rPr>
              <w:t>综上所述，评价认为本项目建设与《大气污染防治行动计划》相符。</w:t>
            </w:r>
          </w:p>
          <w:p>
            <w:pPr>
              <w:pStyle w:val="97"/>
              <w:bidi w:val="0"/>
              <w:rPr>
                <w:rFonts w:hint="default"/>
                <w:b/>
                <w:bCs/>
                <w:color w:val="000000"/>
                <w:lang w:val="en-US" w:eastAsia="zh-CN"/>
              </w:rPr>
            </w:pPr>
            <w:r>
              <w:rPr>
                <w:rFonts w:hint="eastAsia"/>
                <w:b/>
                <w:bCs/>
                <w:color w:val="000000"/>
                <w:lang w:val="en-US" w:eastAsia="zh-CN"/>
              </w:rPr>
              <w:t>（7）</w:t>
            </w:r>
            <w:r>
              <w:rPr>
                <w:rFonts w:hint="default"/>
                <w:b/>
                <w:bCs/>
                <w:color w:val="000000"/>
                <w:lang w:val="en-US" w:eastAsia="zh-CN"/>
              </w:rPr>
              <w:t>与“打赢蓝天保卫战三年行动计划”的符合性</w:t>
            </w:r>
          </w:p>
          <w:p>
            <w:pPr>
              <w:pStyle w:val="97"/>
              <w:bidi w:val="0"/>
              <w:rPr>
                <w:rFonts w:hint="eastAsia"/>
                <w:color w:val="000000"/>
              </w:rPr>
            </w:pPr>
            <w:r>
              <w:rPr>
                <w:rFonts w:hint="eastAsia"/>
                <w:color w:val="000000"/>
              </w:rPr>
              <w:t>2018 年 6 月国务院以国发[2018]22 号文印发了《打赢蓝天保卫战三年行动计划的通知》。本项目所在地不属于该文件中的重点区域，本项目不属于重点污染防治企业，不属于“两高”行业，也不属于落后产能和过剩产能项目，各废气能够做到达标排放。</w:t>
            </w:r>
          </w:p>
          <w:p>
            <w:pPr>
              <w:pStyle w:val="97"/>
              <w:bidi w:val="0"/>
              <w:rPr>
                <w:rFonts w:hint="eastAsia"/>
                <w:b/>
                <w:bCs/>
                <w:color w:val="000000"/>
              </w:rPr>
            </w:pPr>
            <w:r>
              <w:rPr>
                <w:rFonts w:hint="eastAsia"/>
                <w:b/>
                <w:bCs/>
                <w:color w:val="000000"/>
              </w:rPr>
              <w:t>因此，项目与“打赢蓝天保卫战三年行动计划”相符合。</w:t>
            </w:r>
          </w:p>
          <w:p>
            <w:pPr>
              <w:spacing w:line="360" w:lineRule="auto"/>
              <w:rPr>
                <w:rFonts w:eastAsiaTheme="minorEastAsia"/>
                <w:b/>
                <w:color w:val="000000"/>
                <w:kern w:val="0"/>
                <w:sz w:val="28"/>
                <w:szCs w:val="28"/>
              </w:rPr>
            </w:pPr>
            <w:r>
              <w:rPr>
                <w:rFonts w:hint="eastAsia" w:eastAsiaTheme="minorEastAsia"/>
                <w:b/>
                <w:color w:val="000000"/>
                <w:kern w:val="0"/>
                <w:sz w:val="28"/>
                <w:szCs w:val="28"/>
                <w:lang w:eastAsia="zh-CN"/>
              </w:rPr>
              <w:t>三</w:t>
            </w:r>
            <w:r>
              <w:rPr>
                <w:rFonts w:eastAsiaTheme="minorEastAsia"/>
                <w:b/>
                <w:color w:val="000000"/>
                <w:kern w:val="0"/>
                <w:sz w:val="28"/>
                <w:szCs w:val="28"/>
              </w:rPr>
              <w:t>、</w:t>
            </w:r>
            <w:r>
              <w:rPr>
                <w:rFonts w:ascii="宋体" w:hAnsi="宋体" w:eastAsiaTheme="minorEastAsia"/>
                <w:b/>
                <w:color w:val="000000"/>
                <w:kern w:val="0"/>
                <w:sz w:val="28"/>
                <w:szCs w:val="28"/>
              </w:rPr>
              <w:t>“</w:t>
            </w:r>
            <w:r>
              <w:rPr>
                <w:rFonts w:eastAsiaTheme="minorEastAsia"/>
                <w:b/>
                <w:color w:val="000000"/>
                <w:kern w:val="0"/>
                <w:sz w:val="28"/>
                <w:szCs w:val="28"/>
              </w:rPr>
              <w:t>三线一单</w:t>
            </w:r>
            <w:r>
              <w:rPr>
                <w:rFonts w:ascii="宋体" w:hAnsi="宋体" w:eastAsiaTheme="minorEastAsia"/>
                <w:b/>
                <w:color w:val="000000"/>
                <w:kern w:val="0"/>
                <w:sz w:val="28"/>
                <w:szCs w:val="28"/>
              </w:rPr>
              <w:t>”</w:t>
            </w:r>
            <w:r>
              <w:rPr>
                <w:rFonts w:eastAsiaTheme="minorEastAsia"/>
                <w:b/>
                <w:color w:val="000000"/>
                <w:kern w:val="0"/>
                <w:sz w:val="28"/>
                <w:szCs w:val="28"/>
              </w:rPr>
              <w:t>符合性分析</w:t>
            </w:r>
          </w:p>
          <w:p>
            <w:pPr>
              <w:pStyle w:val="97"/>
              <w:bidi w:val="0"/>
              <w:rPr>
                <w:rFonts w:hint="default"/>
                <w:color w:val="000000"/>
                <w:lang w:val="en-US" w:eastAsia="zh-CN"/>
              </w:rPr>
            </w:pPr>
            <w:r>
              <w:rPr>
                <w:rFonts w:hint="eastAsia" w:ascii="宋体" w:hAnsi="宋体" w:eastAsiaTheme="minorEastAsia"/>
                <w:color w:val="000000"/>
                <w:sz w:val="24"/>
                <w:lang w:val="zh-CN" w:eastAsia="zh-CN"/>
              </w:rPr>
              <w:t>根据《“十三五”环境影响评价改革实施方案》（环环评</w:t>
            </w:r>
            <w:r>
              <w:rPr>
                <w:rFonts w:hint="eastAsia" w:ascii="宋体" w:hAnsi="宋体" w:eastAsiaTheme="minorEastAsia"/>
                <w:color w:val="000000"/>
                <w:sz w:val="24"/>
                <w:lang w:val="en-US" w:eastAsia="zh-CN"/>
              </w:rPr>
              <w:t>[2016]</w:t>
            </w:r>
            <w:r>
              <w:rPr>
                <w:rFonts w:hint="eastAsia" w:ascii="宋体" w:hAnsi="宋体" w:eastAsiaTheme="minorEastAsia"/>
                <w:color w:val="000000"/>
                <w:sz w:val="24"/>
                <w:lang w:val="zh-CN" w:eastAsia="zh-CN"/>
              </w:rPr>
              <w:t>95 号）《关于以改善环境质量为核心加强环境影响评价管理的通知》（环环评</w:t>
            </w:r>
            <w:r>
              <w:rPr>
                <w:rFonts w:hint="eastAsia" w:ascii="宋体" w:hAnsi="宋体" w:eastAsiaTheme="minorEastAsia"/>
                <w:color w:val="000000"/>
                <w:sz w:val="24"/>
                <w:lang w:val="en-US" w:eastAsia="zh-CN"/>
              </w:rPr>
              <w:t>[2016]</w:t>
            </w:r>
            <w:r>
              <w:rPr>
                <w:rFonts w:hint="eastAsia" w:ascii="宋体" w:hAnsi="宋体" w:eastAsiaTheme="minorEastAsia"/>
                <w:color w:val="000000"/>
                <w:sz w:val="24"/>
                <w:lang w:val="zh-CN" w:eastAsia="zh-CN"/>
              </w:rPr>
              <w:t>150 号）等相关文件的要求：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6" w:hRule="atLeast"/>
          <w:jc w:val="center"/>
        </w:trPr>
        <w:tc>
          <w:tcPr>
            <w:tcW w:w="9772" w:type="dxa"/>
            <w:gridSpan w:val="7"/>
            <w:shd w:val="clear" w:color="auto" w:fill="FFFFFF"/>
          </w:tcPr>
          <w:p>
            <w:pPr>
              <w:pStyle w:val="94"/>
              <w:spacing w:line="360" w:lineRule="auto"/>
              <w:jc w:val="both"/>
              <w:rPr>
                <w:rFonts w:hint="eastAsia" w:ascii="宋体" w:hAnsi="宋体" w:eastAsiaTheme="minorEastAsia"/>
                <w:color w:val="000000"/>
                <w:sz w:val="24"/>
              </w:rPr>
            </w:pPr>
            <w:r>
              <w:rPr>
                <w:rFonts w:hint="eastAsia" w:ascii="宋体" w:hAnsi="宋体" w:eastAsiaTheme="minorEastAsia"/>
                <w:color w:val="000000"/>
                <w:sz w:val="24"/>
                <w:lang w:val="zh-CN" w:eastAsia="zh-CN"/>
              </w:rPr>
              <w:t>以改善环境质量为核心，以全面提高环评有效性为主线，以创新体制机制为动力，以“生态保护红线、环境质量底线、资源利用上线和环境准入负面清单”为手段，强化空间、总量、准入环境管理，不断改进和完善依法、科学、公开、廉洁、高效的环评管理体系。在项目环评中建立“三线一单”约束机制，强化准入管理。建立项目环评审批与规划环评、现有项目环境管理、区域环境质量联动机制，强化改善环境质量目标管理。</w:t>
            </w:r>
          </w:p>
          <w:p>
            <w:pPr>
              <w:pStyle w:val="94"/>
              <w:spacing w:line="360" w:lineRule="auto"/>
              <w:ind w:firstLine="482" w:firstLineChars="200"/>
              <w:jc w:val="both"/>
              <w:rPr>
                <w:rFonts w:ascii="Times New Roman" w:eastAsiaTheme="minorEastAsia"/>
                <w:b/>
                <w:color w:val="000000"/>
              </w:rPr>
            </w:pPr>
            <w:r>
              <w:rPr>
                <w:rFonts w:ascii="Times New Roman" w:eastAsiaTheme="minorEastAsia"/>
                <w:b/>
                <w:color w:val="000000"/>
              </w:rPr>
              <w:t>1、生态</w:t>
            </w:r>
            <w:r>
              <w:rPr>
                <w:rFonts w:hint="eastAsia" w:ascii="Times New Roman" w:eastAsiaTheme="minorEastAsia"/>
                <w:b/>
                <w:color w:val="000000"/>
              </w:rPr>
              <w:t>保护</w:t>
            </w:r>
            <w:r>
              <w:rPr>
                <w:rFonts w:ascii="Times New Roman" w:eastAsiaTheme="minorEastAsia"/>
                <w:b/>
                <w:color w:val="000000"/>
              </w:rPr>
              <w:t>红线</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根据四川省人民政府文件《四川省人民政府关于印发四川省生态保护红线方案的通知》（川府发[2018]24号）的要求，全省共分为“四轴九核”、“5个大类13条红线”，红线总面积14.8万km</w:t>
            </w:r>
            <w:r>
              <w:rPr>
                <w:rFonts w:hint="eastAsia" w:ascii="Times New Roman" w:eastAsiaTheme="minorEastAsia"/>
                <w:color w:val="000000"/>
                <w:vertAlign w:val="superscript"/>
              </w:rPr>
              <w:t>2</w:t>
            </w:r>
            <w:r>
              <w:rPr>
                <w:rFonts w:hint="eastAsia" w:ascii="Times New Roman" w:eastAsiaTheme="minorEastAsia"/>
                <w:color w:val="000000"/>
              </w:rPr>
              <w:t xml:space="preserve">，占全省幅员面积的30.45%。本项目所在的峨边彝族自治县属于红线区域：凉山—相岭生物多样性维护—水土保持生态保护红线。 </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（1）“凉山—相岭生物多样性维护—水土保持生态保护红线”区域的基本情况</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地理分布：该区位于四川省南部，属于岷山—邛崃山—凉山生物多样性保护与水源涵养重要区，行政区涉及米易县、乐山市沙湾区、乐山市金口河区、沐川县、峨边彝族自治县、马边彝族自治县、峨眉山市、洪雅县、宜宾县、屏山县、荥经县、汉源县、石棉县、西昌市、德昌县、普格县、昭觉县、喜德县、冕宁县、越西县、甘洛县、美姑县，总面积1.10万平方公里，占生态保护红线总面积的7.40%，占全省幅员面积的2.25%。</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生态功能：区内河流分属大渡河、金沙江水系，森林类型以常绿阔叶林、常绿与落叶阔叶混交林和亚高山针叶林为主，代表性物种有红豆杉、连香树、大熊猫、四川山鹧鸪、扭角羚、白腹锦鸡、白鹇、红腹角雉等，生物多样性保护极其重要。该区地貌以中高山峡谷为主，山高坡陡，泥石流滑坡强烈发育，土壤侵蚀敏感性程度高，是土壤保持重要区域。</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重要保护地：本区域是大熊猫栖息地核心分布区。区域内分布有6个国家级自然保护区、9个省级自然保护区、2个国家级风景名胜区、5个省级风景名胜区、1个国家地质公园、3个省级地质公园、2个国家湿地公园、1个省级湿地公园、1处世界文化与自然遗产地、2处饮用水水源保护区的部分或全部区域。</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保护重点：保护自然生态系统和大熊猫等野生动物及其生境，防治紫茎泽兰等外来有害生物入侵，维护生物多样性保护功能；加强自然保护区建设与管护，加强生态廊道建设；治理水土流失，防治地质灾害。</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（2）峨边县生态红线分析</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根据调查，峨边县涉及的生态红线有：</w:t>
            </w:r>
          </w:p>
          <w:p>
            <w:pPr>
              <w:pStyle w:val="94"/>
              <w:spacing w:line="360" w:lineRule="auto"/>
              <w:ind w:firstLine="480" w:firstLineChars="200"/>
              <w:jc w:val="both"/>
              <w:rPr>
                <w:rFonts w:ascii="Times New Roman" w:eastAsiaTheme="minorEastAsia"/>
                <w:color w:val="000000"/>
              </w:rPr>
            </w:pPr>
            <w:r>
              <w:rPr>
                <w:rFonts w:hint="eastAsia" w:ascii="Times New Roman" w:eastAsiaTheme="minorEastAsia"/>
                <w:color w:val="000000"/>
              </w:rPr>
              <w:t>四川黑竹沟国家级自然保护区：位于乐山市峨边彝族自治县境内，面积29643公顷，其中核心区面积16745.9公顷，缓冲区面积3336.7公顷，实验区面积9560.4公顷。是以大熊猫及其栖息地为主要保护对象的森林和野生动物类型自然保护区。本项目位于峨边县新场乡，与保护区相距甚远，不涉及。</w:t>
            </w:r>
          </w:p>
          <w:p>
            <w:pPr>
              <w:pStyle w:val="94"/>
              <w:spacing w:line="360" w:lineRule="auto"/>
              <w:ind w:firstLine="480" w:firstLineChars="200"/>
              <w:jc w:val="both"/>
              <w:rPr>
                <w:rFonts w:ascii="Times New Roman" w:eastAsiaTheme="minorEastAsia"/>
                <w:color w:val="000000"/>
              </w:rPr>
            </w:pPr>
            <w:r>
              <w:rPr>
                <w:rFonts w:ascii="Times New Roman" w:eastAsiaTheme="minorEastAsia"/>
                <w:color w:val="000000"/>
              </w:rPr>
              <w:t>黑竹沟风景名胜区：风景区总面积为575km</w:t>
            </w:r>
            <w:r>
              <w:rPr>
                <w:rFonts w:ascii="Times New Roman" w:eastAsiaTheme="minorEastAsia"/>
                <w:color w:val="000000"/>
                <w:vertAlign w:val="superscript"/>
              </w:rPr>
              <w:t>2</w:t>
            </w:r>
            <w:r>
              <w:rPr>
                <w:rFonts w:ascii="Times New Roman" w:eastAsiaTheme="minorEastAsia"/>
                <w:color w:val="000000"/>
              </w:rPr>
              <w:t>，西至峨边、甘洛县界(也是乐山市、凉山州界)，西北至峨边、金口河县区界，北含挖支惹、老鹰山，东至哈曲与金岩乡、万坪乡界(以罗豁舒莫分水岭为界)，南至峨边、美姑县界。地理坐标为东经102°54′24.103＂</w:t>
            </w:r>
            <w:r>
              <w:rPr>
                <w:rFonts w:hint="eastAsia" w:asciiTheme="minorEastAsia" w:hAnsiTheme="minorEastAsia" w:eastAsiaTheme="minorEastAsia"/>
                <w:color w:val="000000"/>
              </w:rPr>
              <w:t>～</w:t>
            </w:r>
            <w:r>
              <w:rPr>
                <w:rFonts w:ascii="Times New Roman" w:eastAsiaTheme="minorEastAsia"/>
                <w:color w:val="000000"/>
              </w:rPr>
              <w:t>103°10′31.745＂，北纬28°45′26.906″</w:t>
            </w:r>
            <w:r>
              <w:rPr>
                <w:rFonts w:hint="eastAsia" w:asciiTheme="minorEastAsia" w:hAnsiTheme="minorEastAsia" w:eastAsiaTheme="minorEastAsia"/>
                <w:color w:val="000000"/>
              </w:rPr>
              <w:t>～</w:t>
            </w:r>
            <w:r>
              <w:rPr>
                <w:rFonts w:ascii="Times New Roman" w:eastAsiaTheme="minorEastAsia"/>
                <w:color w:val="000000"/>
              </w:rPr>
              <w:t>29°6′39.935″</w:t>
            </w:r>
            <w:r>
              <w:rPr>
                <w:rFonts w:hint="eastAsia" w:ascii="Times New Roman" w:eastAsiaTheme="minorEastAsia"/>
                <w:color w:val="000000"/>
              </w:rPr>
              <w:t>。本项目位于峨边县新场乡，与风景名胜区相距甚远，不涉及。</w:t>
            </w:r>
          </w:p>
          <w:p>
            <w:pPr>
              <w:pStyle w:val="94"/>
              <w:spacing w:line="360" w:lineRule="auto"/>
              <w:ind w:firstLine="480" w:firstLineChars="200"/>
              <w:jc w:val="both"/>
              <w:rPr>
                <w:rFonts w:ascii="Times New Roman" w:eastAsiaTheme="minorEastAsia"/>
                <w:color w:val="000000"/>
              </w:rPr>
            </w:pPr>
            <w:r>
              <w:rPr>
                <w:rFonts w:hint="eastAsia" w:ascii="Times New Roman" w:eastAsiaTheme="minorEastAsia"/>
                <w:color w:val="000000"/>
              </w:rPr>
              <w:t>白沙河麻柳湾集中式饮用水水源地：根据《四川省人民政府办公厅关于城镇集中式饮用水水源地保护区划定方案的通知》，白沙河麻柳湾水源地位于沙坪镇，本项目位于峨边县新场乡，与水源地相距甚远，不涉及。</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（3）本项目与生态红线的符合性分析</w:t>
            </w:r>
          </w:p>
          <w:p>
            <w:pPr>
              <w:pStyle w:val="94"/>
              <w:spacing w:line="360" w:lineRule="auto"/>
              <w:ind w:firstLine="480" w:firstLineChars="200"/>
              <w:rPr>
                <w:rFonts w:ascii="Times New Roman" w:eastAsiaTheme="minorEastAsia"/>
                <w:color w:val="000000"/>
              </w:rPr>
            </w:pPr>
            <w:r>
              <w:rPr>
                <w:rFonts w:hint="eastAsia" w:ascii="Times New Roman" w:eastAsiaTheme="minorEastAsia"/>
                <w:color w:val="000000"/>
              </w:rPr>
              <w:t>经过核查比对，本项目不涉及四川省生态红线，项目与四川省生态红线的位置关系见附图。因此，本项目与《四川省生态红线保护方案》是协调的。</w:t>
            </w:r>
          </w:p>
          <w:p>
            <w:pPr>
              <w:autoSpaceDE w:val="0"/>
              <w:autoSpaceDN w:val="0"/>
              <w:adjustRightInd w:val="0"/>
              <w:spacing w:line="360" w:lineRule="auto"/>
              <w:ind w:firstLine="482" w:firstLineChars="200"/>
              <w:rPr>
                <w:rFonts w:eastAsiaTheme="minorEastAsia"/>
                <w:b/>
                <w:color w:val="000000"/>
                <w:kern w:val="0"/>
                <w:sz w:val="24"/>
              </w:rPr>
            </w:pPr>
            <w:r>
              <w:rPr>
                <w:rFonts w:eastAsiaTheme="minorEastAsia"/>
                <w:b/>
                <w:color w:val="000000"/>
                <w:kern w:val="0"/>
                <w:sz w:val="24"/>
              </w:rPr>
              <w:t>2、环境质量底线</w:t>
            </w:r>
          </w:p>
          <w:p>
            <w:pPr>
              <w:spacing w:line="360" w:lineRule="auto"/>
              <w:ind w:firstLine="480" w:firstLineChars="200"/>
              <w:rPr>
                <w:rFonts w:eastAsiaTheme="minorEastAsia"/>
                <w:color w:val="000000"/>
                <w:sz w:val="24"/>
              </w:rPr>
            </w:pPr>
            <w:r>
              <w:rPr>
                <w:rFonts w:hint="eastAsia" w:eastAsiaTheme="minorEastAsia"/>
                <w:color w:val="000000"/>
                <w:sz w:val="24"/>
              </w:rPr>
              <w:t>根据《环境影响评价技术导则大气环境》（HJ 2.2-2018）中“6.4.1项目所在区域达标判断，6.4.1.1城市环境空气质量达标情况评价指标为SO</w:t>
            </w:r>
            <w:r>
              <w:rPr>
                <w:rFonts w:hint="eastAsia" w:eastAsiaTheme="minorEastAsia"/>
                <w:color w:val="000000"/>
                <w:sz w:val="24"/>
                <w:vertAlign w:val="subscript"/>
              </w:rPr>
              <w:t>2</w:t>
            </w:r>
            <w:r>
              <w:rPr>
                <w:rFonts w:hint="eastAsia" w:eastAsiaTheme="minorEastAsia"/>
                <w:color w:val="000000"/>
                <w:sz w:val="24"/>
              </w:rPr>
              <w:t>、NO</w:t>
            </w:r>
            <w:r>
              <w:rPr>
                <w:rFonts w:hint="eastAsia" w:eastAsiaTheme="minorEastAsia"/>
                <w:color w:val="000000"/>
                <w:sz w:val="24"/>
                <w:vertAlign w:val="subscript"/>
              </w:rPr>
              <w:t>2</w:t>
            </w:r>
            <w:r>
              <w:rPr>
                <w:rFonts w:hint="eastAsia" w:eastAsiaTheme="minorEastAsia"/>
                <w:color w:val="000000"/>
                <w:sz w:val="24"/>
              </w:rPr>
              <w:t>、PM</w:t>
            </w:r>
            <w:r>
              <w:rPr>
                <w:rFonts w:hint="eastAsia" w:eastAsiaTheme="minorEastAsia"/>
                <w:color w:val="000000"/>
                <w:sz w:val="24"/>
                <w:vertAlign w:val="subscript"/>
              </w:rPr>
              <w:t>10</w:t>
            </w:r>
            <w:r>
              <w:rPr>
                <w:rFonts w:hint="eastAsia" w:eastAsiaTheme="minorEastAsia"/>
                <w:color w:val="000000"/>
                <w:sz w:val="24"/>
              </w:rPr>
              <w:t>、CO和O</w:t>
            </w:r>
            <w:r>
              <w:rPr>
                <w:rFonts w:hint="eastAsia" w:eastAsiaTheme="minorEastAsia"/>
                <w:color w:val="000000"/>
                <w:sz w:val="24"/>
                <w:vertAlign w:val="subscript"/>
              </w:rPr>
              <w:t>3</w:t>
            </w:r>
            <w:r>
              <w:rPr>
                <w:rFonts w:hint="eastAsia" w:eastAsiaTheme="minorEastAsia"/>
                <w:color w:val="000000"/>
                <w:sz w:val="24"/>
              </w:rPr>
              <w:t>，五项污染物全部达标即为城市环境空气质量达标。”项目所在地大气环境为环境空气质量功能二类地区，根据《乐山市环境状况公报》（201</w:t>
            </w:r>
            <w:r>
              <w:rPr>
                <w:rFonts w:hint="eastAsia" w:eastAsiaTheme="minorEastAsia"/>
                <w:color w:val="000000"/>
                <w:sz w:val="24"/>
                <w:lang w:val="en-US" w:eastAsia="zh-CN"/>
              </w:rPr>
              <w:t>9</w:t>
            </w:r>
            <w:r>
              <w:rPr>
                <w:rFonts w:hint="eastAsia" w:eastAsiaTheme="minorEastAsia"/>
                <w:color w:val="000000"/>
                <w:sz w:val="24"/>
              </w:rPr>
              <w:t>年度）的乐山市区基本污染质量监测数据，评价区各测点大气因子PM</w:t>
            </w:r>
            <w:r>
              <w:rPr>
                <w:rFonts w:hint="eastAsia" w:eastAsiaTheme="minorEastAsia"/>
                <w:color w:val="000000"/>
                <w:sz w:val="24"/>
                <w:vertAlign w:val="subscript"/>
              </w:rPr>
              <w:t>2.5</w:t>
            </w:r>
            <w:r>
              <w:rPr>
                <w:rFonts w:hint="eastAsia" w:eastAsiaTheme="minorEastAsia"/>
                <w:color w:val="000000"/>
                <w:sz w:val="24"/>
              </w:rPr>
              <w:t>未能达到《环境空气质量标准》（GB3095-2012）的二级标准。因此项目所在评价区域处于非达标区。</w:t>
            </w:r>
          </w:p>
          <w:p>
            <w:pPr>
              <w:spacing w:line="360" w:lineRule="auto"/>
              <w:ind w:firstLine="480" w:firstLineChars="200"/>
              <w:rPr>
                <w:rFonts w:hint="eastAsia" w:eastAsiaTheme="minorEastAsia"/>
                <w:color w:val="000000"/>
                <w:sz w:val="24"/>
              </w:rPr>
            </w:pPr>
            <w:r>
              <w:rPr>
                <w:rFonts w:hint="eastAsia" w:eastAsiaTheme="minorEastAsia"/>
                <w:color w:val="000000"/>
                <w:sz w:val="24"/>
                <w:lang w:eastAsia="zh-CN"/>
              </w:rPr>
              <w:t>根据</w:t>
            </w:r>
            <w:r>
              <w:rPr>
                <w:rFonts w:hint="eastAsia" w:eastAsiaTheme="minorEastAsia"/>
                <w:color w:val="000000"/>
                <w:sz w:val="24"/>
              </w:rPr>
              <w:t>峨边彝族自治县空气质量限期达标规划《峨边彝族自治县环境空气质量限期达标规划（2018年-2025年）》规划目标与阶段性目标：近期目标：到2020年，全县PM</w:t>
            </w:r>
            <w:r>
              <w:rPr>
                <w:rFonts w:hint="eastAsia" w:eastAsiaTheme="minorEastAsia"/>
                <w:color w:val="000000"/>
                <w:sz w:val="24"/>
                <w:vertAlign w:val="subscript"/>
              </w:rPr>
              <w:t>2.5</w:t>
            </w:r>
            <w:r>
              <w:rPr>
                <w:rFonts w:hint="eastAsia" w:eastAsiaTheme="minorEastAsia"/>
                <w:color w:val="000000"/>
                <w:sz w:val="24"/>
              </w:rPr>
              <w:t>年均浓度控制在45</w:t>
            </w:r>
            <w:r>
              <w:rPr>
                <w:rFonts w:hint="default" w:ascii="Times New Roman" w:hAnsi="Times New Roman" w:cs="Times New Roman" w:eastAsiaTheme="minorEastAsia"/>
                <w:color w:val="000000"/>
                <w:sz w:val="24"/>
              </w:rPr>
              <w:t>μ</w:t>
            </w:r>
            <w:r>
              <w:rPr>
                <w:rFonts w:hint="eastAsia" w:eastAsiaTheme="minorEastAsia"/>
                <w:color w:val="000000"/>
                <w:sz w:val="24"/>
              </w:rPr>
              <w:t>g/m</w:t>
            </w:r>
            <w:r>
              <w:rPr>
                <w:rFonts w:hint="eastAsia" w:eastAsiaTheme="minorEastAsia"/>
                <w:color w:val="000000"/>
                <w:sz w:val="24"/>
                <w:vertAlign w:val="superscript"/>
              </w:rPr>
              <w:t>3</w:t>
            </w:r>
            <w:r>
              <w:rPr>
                <w:rFonts w:hint="eastAsia" w:eastAsiaTheme="minorEastAsia"/>
                <w:color w:val="000000"/>
                <w:sz w:val="24"/>
              </w:rPr>
              <w:t>以内，大气环境优良天数率比例达到85%以上。远期目标：力争到2025年，PM</w:t>
            </w:r>
            <w:r>
              <w:rPr>
                <w:rFonts w:hint="eastAsia" w:eastAsiaTheme="minorEastAsia"/>
                <w:color w:val="000000"/>
                <w:sz w:val="24"/>
                <w:vertAlign w:val="subscript"/>
              </w:rPr>
              <w:t>10</w:t>
            </w:r>
            <w:r>
              <w:rPr>
                <w:rFonts w:hint="eastAsia" w:eastAsiaTheme="minorEastAsia"/>
                <w:color w:val="000000"/>
                <w:sz w:val="24"/>
              </w:rPr>
              <w:t>控制在70</w:t>
            </w:r>
            <w:r>
              <w:rPr>
                <w:rFonts w:hint="default" w:ascii="Times New Roman" w:hAnsi="Times New Roman" w:cs="Times New Roman" w:eastAsiaTheme="minorEastAsia"/>
                <w:color w:val="000000"/>
                <w:sz w:val="24"/>
              </w:rPr>
              <w:t>μ</w:t>
            </w:r>
            <w:r>
              <w:rPr>
                <w:rFonts w:hint="eastAsia" w:eastAsiaTheme="minorEastAsia"/>
                <w:color w:val="000000"/>
                <w:sz w:val="24"/>
              </w:rPr>
              <w:t>g/m</w:t>
            </w:r>
            <w:r>
              <w:rPr>
                <w:rFonts w:hint="eastAsia" w:eastAsiaTheme="minorEastAsia"/>
                <w:color w:val="000000"/>
                <w:sz w:val="24"/>
                <w:vertAlign w:val="superscript"/>
              </w:rPr>
              <w:t>3</w:t>
            </w:r>
            <w:r>
              <w:rPr>
                <w:rFonts w:hint="eastAsia" w:eastAsiaTheme="minorEastAsia"/>
                <w:color w:val="000000"/>
                <w:sz w:val="24"/>
              </w:rPr>
              <w:t>以内，PM</w:t>
            </w:r>
            <w:r>
              <w:rPr>
                <w:rFonts w:hint="eastAsia" w:eastAsiaTheme="minorEastAsia"/>
                <w:color w:val="000000"/>
                <w:sz w:val="24"/>
                <w:vertAlign w:val="subscript"/>
              </w:rPr>
              <w:t>2.5</w:t>
            </w:r>
            <w:r>
              <w:rPr>
                <w:rFonts w:hint="eastAsia" w:eastAsiaTheme="minorEastAsia"/>
                <w:color w:val="000000"/>
                <w:sz w:val="24"/>
              </w:rPr>
              <w:t>控制在35</w:t>
            </w:r>
            <w:r>
              <w:rPr>
                <w:rFonts w:hint="default" w:ascii="Times New Roman" w:hAnsi="Times New Roman" w:cs="Times New Roman" w:eastAsiaTheme="minorEastAsia"/>
                <w:color w:val="000000"/>
                <w:sz w:val="24"/>
              </w:rPr>
              <w:t>μ</w:t>
            </w:r>
            <w:r>
              <w:rPr>
                <w:rFonts w:hint="eastAsia" w:eastAsiaTheme="minorEastAsia"/>
                <w:color w:val="000000"/>
                <w:sz w:val="24"/>
              </w:rPr>
              <w:t>g/m</w:t>
            </w:r>
            <w:r>
              <w:rPr>
                <w:rFonts w:hint="eastAsia" w:eastAsiaTheme="minorEastAsia"/>
                <w:color w:val="000000"/>
                <w:sz w:val="24"/>
                <w:vertAlign w:val="superscript"/>
              </w:rPr>
              <w:t>3</w:t>
            </w:r>
            <w:r>
              <w:rPr>
                <w:rFonts w:hint="eastAsia" w:eastAsiaTheme="minorEastAsia"/>
                <w:color w:val="000000"/>
                <w:sz w:val="24"/>
              </w:rPr>
              <w:t>以内，达到国家二级标准要求。阶段性目标：以基准年为基础，达标期限内实施阶段式滚动目标，分两个阶段逐步改善空气质量，第一阶段，近期2018-2020年，第二阶段，中长期2021-2025年。</w:t>
            </w:r>
          </w:p>
          <w:p>
            <w:pPr>
              <w:spacing w:line="360" w:lineRule="auto"/>
              <w:ind w:firstLine="480" w:firstLineChars="200"/>
              <w:rPr>
                <w:rFonts w:hint="eastAsia" w:eastAsiaTheme="minorEastAsia"/>
                <w:color w:val="000000" w:themeColor="text1"/>
                <w:sz w:val="24"/>
                <w14:textFill>
                  <w14:solidFill>
                    <w14:schemeClr w14:val="tx1"/>
                  </w14:solidFill>
                </w14:textFill>
              </w:rPr>
            </w:pPr>
            <w:r>
              <w:rPr>
                <w:rFonts w:hint="eastAsia" w:eastAsiaTheme="minorEastAsia"/>
                <w:color w:val="000000" w:themeColor="text1"/>
                <w:sz w:val="24"/>
                <w14:textFill>
                  <w14:solidFill>
                    <w14:schemeClr w14:val="tx1"/>
                  </w14:solidFill>
                </w14:textFill>
              </w:rPr>
              <w:t>根据峨边</w:t>
            </w:r>
            <w:r>
              <w:rPr>
                <w:rFonts w:eastAsiaTheme="minorEastAsia"/>
                <w:color w:val="000000" w:themeColor="text1"/>
                <w:sz w:val="24"/>
                <w14:textFill>
                  <w14:solidFill>
                    <w14:schemeClr w14:val="tx1"/>
                  </w14:solidFill>
                </w14:textFill>
              </w:rPr>
              <w:t>彝族自治县人民政府</w:t>
            </w:r>
            <w:r>
              <w:rPr>
                <w:rFonts w:hint="eastAsia" w:eastAsiaTheme="minorEastAsia"/>
                <w:color w:val="000000" w:themeColor="text1"/>
                <w:sz w:val="24"/>
                <w14:textFill>
                  <w14:solidFill>
                    <w14:schemeClr w14:val="tx1"/>
                  </w14:solidFill>
                </w14:textFill>
              </w:rPr>
              <w:t>2020年第</w:t>
            </w:r>
            <w:r>
              <w:rPr>
                <w:rFonts w:hint="eastAsia" w:eastAsiaTheme="minorEastAsia"/>
                <w:color w:val="000000" w:themeColor="text1"/>
                <w:sz w:val="24"/>
                <w:lang w:eastAsia="zh-CN"/>
                <w14:textFill>
                  <w14:solidFill>
                    <w14:schemeClr w14:val="tx1"/>
                  </w14:solidFill>
                </w14:textFill>
              </w:rPr>
              <w:t>三</w:t>
            </w:r>
            <w:r>
              <w:rPr>
                <w:rFonts w:hint="eastAsia" w:eastAsiaTheme="minorEastAsia"/>
                <w:color w:val="000000" w:themeColor="text1"/>
                <w:sz w:val="24"/>
                <w14:textFill>
                  <w14:solidFill>
                    <w14:schemeClr w14:val="tx1"/>
                  </w14:solidFill>
                </w14:textFill>
              </w:rPr>
              <w:t>季度水环境质量信息公开（http://www.eb.gov.cn/ebyzzzx/ebhjbh/202010/45f48f5d8a5347ab898659447be4dd29.shtml</w:t>
            </w:r>
            <w:r>
              <w:rPr>
                <w:rFonts w:eastAsiaTheme="minorEastAsia"/>
                <w:color w:val="000000" w:themeColor="text1"/>
                <w:sz w:val="24"/>
                <w14:textFill>
                  <w14:solidFill>
                    <w14:schemeClr w14:val="tx1"/>
                  </w14:solidFill>
                </w14:textFill>
              </w:rPr>
              <w:t>）</w:t>
            </w:r>
            <w:r>
              <w:rPr>
                <w:rFonts w:hint="eastAsia" w:eastAsiaTheme="minorEastAsia"/>
                <w:color w:val="000000" w:themeColor="text1"/>
                <w:sz w:val="24"/>
                <w14:textFill>
                  <w14:solidFill>
                    <w14:schemeClr w14:val="tx1"/>
                  </w14:solidFill>
                </w14:textFill>
              </w:rPr>
              <w:t>：</w:t>
            </w:r>
            <w:r>
              <w:rPr>
                <w:rFonts w:hint="eastAsia" w:eastAsiaTheme="minorEastAsia"/>
                <w:color w:val="000000" w:themeColor="text1"/>
                <w:sz w:val="24"/>
                <w:lang w:eastAsia="zh-CN"/>
                <w14:textFill>
                  <w14:solidFill>
                    <w14:schemeClr w14:val="tx1"/>
                  </w14:solidFill>
                </w14:textFill>
              </w:rPr>
              <w:t>峨边彝族自治县</w:t>
            </w:r>
            <w:r>
              <w:rPr>
                <w:rFonts w:hint="eastAsia" w:eastAsiaTheme="minorEastAsia"/>
                <w:color w:val="000000" w:themeColor="text1"/>
                <w:sz w:val="24"/>
                <w14:textFill>
                  <w14:solidFill>
                    <w14:schemeClr w14:val="tx1"/>
                  </w14:solidFill>
                </w14:textFill>
              </w:rPr>
              <w:t>县域监测河流为大渡河（地表水），断面监测点位2个，名称分别为宜坪、芝麻凼根据2020年</w:t>
            </w:r>
            <w:r>
              <w:rPr>
                <w:rFonts w:hint="eastAsia" w:eastAsiaTheme="minorEastAsia"/>
                <w:color w:val="000000" w:themeColor="text1"/>
                <w:sz w:val="24"/>
                <w:lang w:val="en-US" w:eastAsia="zh-CN"/>
                <w14:textFill>
                  <w14:solidFill>
                    <w14:schemeClr w14:val="tx1"/>
                  </w14:solidFill>
                </w14:textFill>
              </w:rPr>
              <w:t>7-9</w:t>
            </w:r>
            <w:r>
              <w:rPr>
                <w:rFonts w:hint="eastAsia" w:eastAsiaTheme="minorEastAsia"/>
                <w:color w:val="000000" w:themeColor="text1"/>
                <w:sz w:val="24"/>
                <w14:textFill>
                  <w14:solidFill>
                    <w14:schemeClr w14:val="tx1"/>
                  </w14:solidFill>
                </w14:textFill>
              </w:rPr>
              <w:t>月监测报告显示，大渡河峨边段出入境断面地表水环境质量均达到《地表水环境质量标准》（GB3838-2002）表I中III类水质。</w:t>
            </w:r>
          </w:p>
          <w:p>
            <w:pPr>
              <w:spacing w:line="360" w:lineRule="auto"/>
              <w:ind w:firstLine="480" w:firstLineChars="200"/>
              <w:rPr>
                <w:rFonts w:eastAsiaTheme="minorEastAsia"/>
                <w:color w:val="FF0000"/>
                <w:sz w:val="24"/>
              </w:rPr>
            </w:pPr>
            <w:r>
              <w:rPr>
                <w:rFonts w:hint="eastAsia" w:eastAsiaTheme="minorEastAsia"/>
                <w:color w:val="000000" w:themeColor="text1"/>
                <w:sz w:val="24"/>
                <w:lang w:eastAsia="zh-CN"/>
                <w14:textFill>
                  <w14:solidFill>
                    <w14:schemeClr w14:val="tx1"/>
                  </w14:solidFill>
                </w14:textFill>
              </w:rPr>
              <w:t>根据现状监测，</w:t>
            </w:r>
            <w:r>
              <w:rPr>
                <w:rFonts w:hint="eastAsia" w:eastAsiaTheme="minorEastAsia"/>
                <w:color w:val="000000" w:themeColor="text1"/>
                <w:sz w:val="24"/>
                <w14:textFill>
                  <w14:solidFill>
                    <w14:schemeClr w14:val="tx1"/>
                  </w14:solidFill>
                </w14:textFill>
              </w:rPr>
              <w:t>本项目</w:t>
            </w:r>
            <w:r>
              <w:rPr>
                <w:rFonts w:hint="eastAsia" w:eastAsiaTheme="minorEastAsia"/>
                <w:color w:val="000000" w:themeColor="text1"/>
                <w:sz w:val="24"/>
                <w:lang w:eastAsia="zh-CN"/>
                <w14:textFill>
                  <w14:solidFill>
                    <w14:schemeClr w14:val="tx1"/>
                  </w14:solidFill>
                </w14:textFill>
              </w:rPr>
              <w:t>建设地</w:t>
            </w:r>
            <w:r>
              <w:rPr>
                <w:rFonts w:hint="eastAsia" w:eastAsiaTheme="minorEastAsia"/>
                <w:color w:val="000000" w:themeColor="text1"/>
                <w:sz w:val="24"/>
                <w14:textFill>
                  <w14:solidFill>
                    <w14:schemeClr w14:val="tx1"/>
                  </w14:solidFill>
                </w14:textFill>
              </w:rPr>
              <w:t>场界噪声昼夜可达《声环境质量标准》（GB3096-2008）的2类</w:t>
            </w:r>
            <w:r>
              <w:rPr>
                <w:rFonts w:hint="eastAsia" w:eastAsiaTheme="minorEastAsia"/>
                <w:color w:val="000000" w:themeColor="text1"/>
                <w:sz w:val="24"/>
                <w:lang w:eastAsia="zh-CN"/>
                <w14:textFill>
                  <w14:solidFill>
                    <w14:schemeClr w14:val="tx1"/>
                  </w14:solidFill>
                </w14:textFill>
              </w:rPr>
              <w:t>和</w:t>
            </w:r>
            <w:r>
              <w:rPr>
                <w:rFonts w:hint="eastAsia" w:eastAsiaTheme="minorEastAsia"/>
                <w:color w:val="000000" w:themeColor="text1"/>
                <w:sz w:val="24"/>
                <w:lang w:val="en-US" w:eastAsia="zh-CN"/>
                <w14:textFill>
                  <w14:solidFill>
                    <w14:schemeClr w14:val="tx1"/>
                  </w14:solidFill>
                </w14:textFill>
              </w:rPr>
              <w:t>4a标准</w:t>
            </w:r>
            <w:r>
              <w:rPr>
                <w:rFonts w:hint="eastAsia" w:eastAsiaTheme="minorEastAsia"/>
                <w:color w:val="000000" w:themeColor="text1"/>
                <w:sz w:val="24"/>
                <w14:textFill>
                  <w14:solidFill>
                    <w14:schemeClr w14:val="tx1"/>
                  </w14:solidFill>
                </w14:textFill>
              </w:rPr>
              <w:t>。</w:t>
            </w:r>
          </w:p>
          <w:p>
            <w:pPr>
              <w:pStyle w:val="94"/>
              <w:spacing w:line="360" w:lineRule="auto"/>
              <w:ind w:firstLine="482" w:firstLineChars="200"/>
              <w:jc w:val="both"/>
              <w:rPr>
                <w:rFonts w:ascii="Times New Roman" w:eastAsiaTheme="minorEastAsia"/>
                <w:b/>
                <w:color w:val="000000"/>
              </w:rPr>
            </w:pPr>
            <w:r>
              <w:rPr>
                <w:rFonts w:ascii="Times New Roman" w:eastAsiaTheme="minorEastAsia"/>
                <w:b/>
                <w:color w:val="000000"/>
              </w:rPr>
              <w:t>3、资源利用上线</w:t>
            </w:r>
          </w:p>
          <w:p>
            <w:pPr>
              <w:keepLines/>
              <w:spacing w:line="360" w:lineRule="auto"/>
              <w:ind w:firstLine="480" w:firstLineChars="200"/>
              <w:rPr>
                <w:rFonts w:eastAsiaTheme="minorEastAsia"/>
                <w:color w:val="000000"/>
                <w:sz w:val="24"/>
              </w:rPr>
            </w:pPr>
            <w:r>
              <w:rPr>
                <w:rFonts w:hint="eastAsia" w:eastAsiaTheme="minorEastAsia"/>
                <w:color w:val="000000"/>
                <w:sz w:val="24"/>
              </w:rPr>
              <w:t>本项目营运过程中存在一定量的水、电等资源消耗，项目资源消耗在区域资源总量中占比较小，且各类资源利用满足清洁生产要求，符合资源利用上限要求</w:t>
            </w:r>
            <w:r>
              <w:rPr>
                <w:rFonts w:eastAsiaTheme="minorEastAsia"/>
                <w:color w:val="000000"/>
                <w:sz w:val="24"/>
              </w:rPr>
              <w:t>。</w:t>
            </w:r>
          </w:p>
          <w:p>
            <w:pPr>
              <w:pStyle w:val="94"/>
              <w:spacing w:line="360" w:lineRule="auto"/>
              <w:ind w:firstLine="482" w:firstLineChars="200"/>
              <w:jc w:val="both"/>
              <w:rPr>
                <w:rFonts w:ascii="Times New Roman" w:eastAsiaTheme="minorEastAsia"/>
                <w:b/>
                <w:color w:val="000000"/>
              </w:rPr>
            </w:pPr>
            <w:r>
              <w:rPr>
                <w:rFonts w:ascii="Times New Roman" w:eastAsiaTheme="minorEastAsia"/>
                <w:b/>
                <w:color w:val="000000"/>
              </w:rPr>
              <w:t>4、环境准入负面清单</w:t>
            </w:r>
          </w:p>
          <w:p>
            <w:pPr>
              <w:pStyle w:val="97"/>
              <w:bidi w:val="0"/>
              <w:rPr>
                <w:rFonts w:hint="eastAsia" w:ascii="Times New Roman" w:eastAsiaTheme="minorEastAsia"/>
                <w:color w:val="000000"/>
                <w:lang w:val="en-US" w:eastAsia="zh-CN"/>
              </w:rPr>
            </w:pPr>
            <w:r>
              <w:rPr>
                <w:rFonts w:hint="eastAsia" w:ascii="Times New Roman" w:eastAsiaTheme="minorEastAsia"/>
                <w:color w:val="000000"/>
                <w:lang w:val="en-US" w:eastAsia="zh-CN"/>
              </w:rPr>
              <w:t>本项目为 LNG 加气站建设项目，符合《产业结构调整指导目录（2019 年本）》。因此，本项目不属于环境准入负面清单中项目。</w:t>
            </w:r>
          </w:p>
          <w:p>
            <w:pPr>
              <w:pStyle w:val="97"/>
              <w:bidi w:val="0"/>
              <w:ind w:left="0" w:leftChars="0" w:firstLine="0" w:firstLineChars="0"/>
              <w:rPr>
                <w:rFonts w:eastAsiaTheme="minorEastAsia"/>
                <w:b/>
                <w:color w:val="FF0000"/>
                <w:kern w:val="0"/>
                <w:sz w:val="28"/>
                <w:szCs w:val="28"/>
              </w:rPr>
            </w:pPr>
            <w:r>
              <w:rPr>
                <w:rFonts w:hint="eastAsia" w:eastAsiaTheme="minorEastAsia"/>
                <w:b/>
                <w:color w:val="000000"/>
                <w:kern w:val="0"/>
                <w:sz w:val="28"/>
                <w:szCs w:val="28"/>
                <w:lang w:eastAsia="zh-CN"/>
              </w:rPr>
              <w:t>四</w:t>
            </w:r>
            <w:r>
              <w:rPr>
                <w:rFonts w:eastAsiaTheme="minorEastAsia"/>
                <w:b/>
                <w:color w:val="000000"/>
                <w:kern w:val="0"/>
                <w:sz w:val="28"/>
                <w:szCs w:val="28"/>
              </w:rPr>
              <w:t>、</w:t>
            </w:r>
            <w:r>
              <w:rPr>
                <w:rFonts w:hint="eastAsia" w:eastAsiaTheme="minorEastAsia"/>
                <w:b/>
                <w:color w:val="000000"/>
                <w:kern w:val="0"/>
                <w:sz w:val="28"/>
                <w:szCs w:val="28"/>
                <w:lang w:eastAsia="zh-CN"/>
              </w:rPr>
              <w:t>项目</w:t>
            </w:r>
            <w:r>
              <w:rPr>
                <w:rFonts w:eastAsiaTheme="minorEastAsia"/>
                <w:b/>
                <w:color w:val="000000" w:themeColor="text1"/>
                <w:kern w:val="0"/>
                <w:sz w:val="28"/>
                <w:szCs w:val="28"/>
                <w14:textFill>
                  <w14:solidFill>
                    <w14:schemeClr w14:val="tx1"/>
                  </w14:solidFill>
                </w14:textFill>
              </w:rPr>
              <w:t>选址合理性与环境相容性分析</w:t>
            </w:r>
          </w:p>
          <w:p>
            <w:pPr>
              <w:widowControl/>
              <w:shd w:val="clear" w:color="auto" w:fill="FFFFFF"/>
              <w:spacing w:line="360" w:lineRule="auto"/>
              <w:ind w:firstLine="482" w:firstLineChars="200"/>
              <w:rPr>
                <w:rFonts w:hint="eastAsia" w:eastAsiaTheme="minorEastAsia"/>
                <w:b/>
                <w:color w:val="000000"/>
                <w:sz w:val="24"/>
              </w:rPr>
            </w:pPr>
            <w:r>
              <w:rPr>
                <w:rFonts w:hint="eastAsia" w:eastAsiaTheme="minorEastAsia"/>
                <w:b/>
                <w:color w:val="000000"/>
                <w:sz w:val="24"/>
                <w:lang w:val="en-US" w:eastAsia="zh-CN"/>
              </w:rPr>
              <w:t>1、与《乐山市城市总体规划（2011-2030）》符合性分析</w:t>
            </w:r>
          </w:p>
          <w:p>
            <w:pPr>
              <w:keepLines/>
              <w:spacing w:line="360" w:lineRule="auto"/>
              <w:ind w:firstLine="480" w:firstLineChars="200"/>
              <w:rPr>
                <w:rFonts w:hint="eastAsia" w:eastAsiaTheme="minorEastAsia"/>
                <w:color w:val="000000"/>
                <w:sz w:val="24"/>
                <w:lang w:val="en-US" w:eastAsia="zh-CN"/>
              </w:rPr>
            </w:pPr>
            <w:r>
              <w:rPr>
                <w:rFonts w:hint="eastAsia" w:eastAsiaTheme="minorEastAsia"/>
                <w:color w:val="000000"/>
                <w:sz w:val="24"/>
                <w:lang w:val="en-US" w:eastAsia="zh-CN"/>
              </w:rPr>
              <w:t>2012年3月乐山市被四川省发展与改革委员会确定为LNG汽车试点试点城市之一，倡导使用低污染的LNG燃料。在《乐山市城市总体规划（2011-2030）》中，强调突出资源节约利用及环境保护，努力发展节能及新能源汽车，降低污染物排放，降低温室气体排放，积极推广低碳技术，发展循环经济，增强可持续发展能力，走绿色发展之路。</w:t>
            </w:r>
          </w:p>
          <w:p>
            <w:pPr>
              <w:keepLines/>
              <w:spacing w:line="360" w:lineRule="auto"/>
              <w:ind w:firstLine="480" w:firstLineChars="200"/>
              <w:rPr>
                <w:rFonts w:hint="eastAsia" w:eastAsiaTheme="minorEastAsia"/>
                <w:b/>
                <w:bCs/>
                <w:color w:val="000000"/>
                <w:sz w:val="24"/>
                <w:lang w:val="en-US" w:eastAsia="zh-CN"/>
              </w:rPr>
            </w:pPr>
            <w:r>
              <w:rPr>
                <w:rFonts w:hint="eastAsia" w:eastAsiaTheme="minorEastAsia"/>
                <w:color w:val="000000"/>
                <w:sz w:val="24"/>
                <w:lang w:val="en-US" w:eastAsia="zh-CN"/>
              </w:rPr>
              <w:t>根据《乐山市城市总体规划（2011-2030）》，总体布局为：形成“一心五带两片”的产业空间布局。其中“一心”指主城区产业服务中心。“五带”指乐峨产业带、乐沙产业带、乐犍产业带、乐夹产业带和乐井产业带，其中乐峨产业带以培育休闲游憩产业功能为主；乐沙产业带以培育文旅融合绿色生态产业功能为主；乐犍产业带以培育综合产业功能为主；乐夹产业带以培育军民融合产业功能为主；乐井产业带以培育现代农业和轻工业为主。“两片”指西南绿色生态产业发展片和东北现代产业与服务业发展片。本项目为加气站新增 LNG 项目，属于《国民经济行业》中机动车燃料零售类，</w:t>
            </w:r>
            <w:r>
              <w:rPr>
                <w:rFonts w:hint="eastAsia" w:eastAsiaTheme="minorEastAsia"/>
                <w:b/>
                <w:bCs/>
                <w:color w:val="000000"/>
                <w:sz w:val="24"/>
                <w:lang w:val="en-US" w:eastAsia="zh-CN"/>
              </w:rPr>
              <w:t>因此符合乐山市城市总体规划。</w:t>
            </w:r>
          </w:p>
          <w:p>
            <w:pPr>
              <w:pStyle w:val="97"/>
              <w:bidi w:val="0"/>
              <w:rPr>
                <w:rFonts w:hint="eastAsia"/>
                <w:b/>
                <w:bCs/>
                <w:color w:val="000000"/>
                <w:lang w:val="en-US" w:eastAsia="zh-CN"/>
              </w:rPr>
            </w:pPr>
            <w:r>
              <w:rPr>
                <w:rFonts w:hint="eastAsia"/>
                <w:b/>
                <w:bCs/>
                <w:color w:val="000000"/>
                <w:lang w:val="en-US" w:eastAsia="zh-CN"/>
              </w:rPr>
              <w:t>2、与“乐山市2014-2020年城镇燃气发展规划”符合性</w:t>
            </w:r>
          </w:p>
          <w:p>
            <w:pPr>
              <w:pStyle w:val="97"/>
              <w:bidi w:val="0"/>
              <w:rPr>
                <w:rFonts w:hint="eastAsia"/>
                <w:color w:val="000000"/>
                <w:vertAlign w:val="baseline"/>
                <w:lang w:val="en-US" w:eastAsia="zh-CN"/>
              </w:rPr>
            </w:pPr>
            <w:r>
              <w:rPr>
                <w:rFonts w:hint="eastAsia"/>
                <w:color w:val="000000"/>
                <w:lang w:val="en-US" w:eastAsia="zh-CN"/>
              </w:rPr>
              <w:t>根据国家《城镇燃气管理条例》要求，为进一步规范乐山市燃气基础设施建设，提高天然气综合利用水平，促进燃气设施建设管理规范化，确保经济安全和社会发展平稳进行，保障人民群众生活和燃气安全供应，制定了“乐山市2014-2020年城镇燃气发展规划”（以下简称该规划）。根据该规划表64“峨边彝族自治县CNG/LNG汽车加气站计算数量”规划2014-2030年所需LNG加气站数量为“1”座，本项目建设地址位于峨边彝族自治县新场乡长虹村，设计日加气规模为15×10</w:t>
            </w:r>
            <w:r>
              <w:rPr>
                <w:rFonts w:hint="eastAsia"/>
                <w:color w:val="000000"/>
                <w:vertAlign w:val="superscript"/>
                <w:lang w:val="en-US" w:eastAsia="zh-CN"/>
              </w:rPr>
              <w:t>4</w:t>
            </w:r>
            <w:r>
              <w:rPr>
                <w:rFonts w:hint="eastAsia"/>
                <w:color w:val="000000"/>
                <w:vertAlign w:val="baseline"/>
                <w:lang w:val="en-US" w:eastAsia="zh-CN"/>
              </w:rPr>
              <w:t>Nm³/d，能满足该规划目标；根据该规划中表68“乐山市LNG汽车加气站数量规划”表明2016-2020年规划1座加气站（在2016年之前LNG加气站已建数目为0）。</w:t>
            </w:r>
          </w:p>
          <w:p>
            <w:pPr>
              <w:pStyle w:val="97"/>
              <w:bidi w:val="0"/>
              <w:rPr>
                <w:rFonts w:hint="eastAsia" w:eastAsiaTheme="minorEastAsia"/>
                <w:b/>
                <w:bCs/>
                <w:color w:val="000000"/>
                <w:sz w:val="24"/>
                <w:lang w:val="en-US" w:eastAsia="zh-CN"/>
              </w:rPr>
            </w:pPr>
            <w:r>
              <w:rPr>
                <w:rFonts w:hint="eastAsia"/>
                <w:b/>
                <w:bCs/>
                <w:color w:val="000000"/>
                <w:vertAlign w:val="baseline"/>
                <w:lang w:val="en-US" w:eastAsia="zh-CN"/>
              </w:rPr>
              <w:t>因此，本项目的建设符合“乐山市2014-2020年城镇燃气发展规划”。</w:t>
            </w:r>
          </w:p>
          <w:p>
            <w:pPr>
              <w:keepLines/>
              <w:spacing w:line="360" w:lineRule="auto"/>
              <w:ind w:firstLine="482" w:firstLineChars="200"/>
              <w:rPr>
                <w:rFonts w:hint="eastAsia" w:eastAsiaTheme="minorEastAsia"/>
                <w:b/>
                <w:bCs/>
                <w:color w:val="000000"/>
                <w:sz w:val="24"/>
                <w:lang w:val="en-US" w:eastAsia="zh-CN"/>
              </w:rPr>
            </w:pPr>
            <w:r>
              <w:rPr>
                <w:rFonts w:hint="eastAsia" w:eastAsiaTheme="minorEastAsia"/>
                <w:b/>
                <w:bCs/>
                <w:color w:val="000000"/>
                <w:sz w:val="24"/>
                <w:lang w:val="en-US" w:eastAsia="zh-CN"/>
              </w:rPr>
              <w:t>3、用地规划符合性分析</w:t>
            </w:r>
          </w:p>
          <w:p>
            <w:pPr>
              <w:pStyle w:val="97"/>
              <w:bidi w:val="0"/>
              <w:rPr>
                <w:rFonts w:hint="eastAsia"/>
                <w:color w:val="000000"/>
                <w:lang w:val="en-US" w:eastAsia="zh-CN"/>
              </w:rPr>
            </w:pPr>
            <w:r>
              <w:rPr>
                <w:rFonts w:hint="eastAsia"/>
                <w:color w:val="000000"/>
                <w:lang w:val="en-US" w:eastAsia="zh-CN"/>
              </w:rPr>
              <w:t>拟建项目选址于乐山市峨边彝族自治县新场乡长虹村2组，本项目于2020年10月30日，取得峨边彝族自治县自然资源局下发的关于该项目的建设用地规划许可证，项目用地性质为商业服务业设施用地，使用面积约为6666.04m²。本项目为加气站新建项目，依据《建设项目环境影响评价分类管理名录》(环境保护部 44 号令)及关于修改《建设项目环境影响评价分类管理名录》部分内容的决定（生态环境部令第 1 号）的规定，项目属于“四十、社会事业与服务业，因此，土地利用性质合理。同时于2020年10月31日，取得峨边彝族自治县自然资源局下发的关于该项目的建设工程规划许可证，因此本建设工程符合城乡规划要求。并且本项目属于乐山市十三五加油加气站布点规划中的站点，项目站址交通便利，供水、供电、供气可依托城市基础配套设施。</w:t>
            </w:r>
          </w:p>
          <w:p>
            <w:pPr>
              <w:pStyle w:val="97"/>
              <w:bidi w:val="0"/>
              <w:rPr>
                <w:rFonts w:hint="eastAsia"/>
                <w:b/>
                <w:bCs/>
                <w:color w:val="000000"/>
                <w:lang w:val="en-US" w:eastAsia="zh-CN"/>
              </w:rPr>
            </w:pPr>
            <w:r>
              <w:rPr>
                <w:rFonts w:hint="eastAsia"/>
                <w:b/>
                <w:bCs/>
                <w:color w:val="000000"/>
                <w:lang w:val="en-US" w:eastAsia="zh-CN"/>
              </w:rPr>
              <w:t>因此，本项目用地规划符合要求。</w:t>
            </w:r>
          </w:p>
          <w:p>
            <w:pPr>
              <w:keepLines/>
              <w:spacing w:line="360" w:lineRule="auto"/>
              <w:ind w:firstLine="482" w:firstLineChars="200"/>
              <w:rPr>
                <w:rFonts w:hint="eastAsia" w:eastAsiaTheme="minorEastAsia"/>
                <w:b/>
                <w:color w:val="000000"/>
                <w:sz w:val="24"/>
              </w:rPr>
            </w:pPr>
            <w:r>
              <w:rPr>
                <w:rFonts w:hint="eastAsia" w:eastAsiaTheme="minorEastAsia"/>
                <w:b/>
                <w:color w:val="000000"/>
                <w:sz w:val="24"/>
                <w:lang w:val="en-US" w:eastAsia="zh-CN"/>
              </w:rPr>
              <w:t>4、选址合理性及外环境相容性分析</w:t>
            </w:r>
          </w:p>
          <w:p>
            <w:pPr>
              <w:keepLines/>
              <w:spacing w:line="360" w:lineRule="auto"/>
              <w:ind w:firstLine="482" w:firstLineChars="200"/>
              <w:rPr>
                <w:rFonts w:hint="eastAsia" w:eastAsiaTheme="minorEastAsia"/>
                <w:b/>
                <w:color w:val="000000"/>
                <w:sz w:val="24"/>
                <w:lang w:val="en-US" w:eastAsia="zh-CN"/>
              </w:rPr>
            </w:pPr>
            <w:r>
              <w:rPr>
                <w:rFonts w:hint="eastAsia" w:eastAsiaTheme="minorEastAsia"/>
                <w:b/>
                <w:color w:val="000000"/>
                <w:sz w:val="24"/>
                <w:lang w:val="en-US" w:eastAsia="zh-CN"/>
              </w:rPr>
              <w:t>（1）本项目与《液化天然气（LNG）汽车加气站技术规范》（NB/T1001-2011）规定 4.3“站址选择”的符合性分析如下：</w:t>
            </w:r>
          </w:p>
          <w:p>
            <w:pPr>
              <w:pStyle w:val="8"/>
              <w:bidi w:val="0"/>
              <w:rPr>
                <w:rFonts w:hint="eastAsia"/>
                <w:color w:val="000000"/>
                <w:lang w:val="en-US" w:eastAsia="zh-CN"/>
              </w:rPr>
            </w:pPr>
            <w:r>
              <w:rPr>
                <w:rFonts w:hint="eastAsia"/>
                <w:color w:val="000000"/>
                <w:lang w:val="en-US" w:eastAsia="zh-CN"/>
              </w:rPr>
              <w:t>表 1-1 本项目选址与《液化天然气（LNG）汽车加气站技术规范》对比表</w:t>
            </w:r>
          </w:p>
          <w:tbl>
            <w:tblPr>
              <w:tblStyle w:val="29"/>
              <w:tblW w:w="9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43"/>
              <w:gridCol w:w="3523"/>
              <w:gridCol w:w="3813"/>
              <w:gridCol w:w="10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2440" w:type="pct"/>
                  <w:gridSpan w:val="2"/>
                  <w:tcBorders>
                    <w:top w:val="single" w:color="000000" w:sz="4" w:space="0"/>
                    <w:left w:val="single" w:color="000000" w:sz="4" w:space="0"/>
                    <w:bottom w:val="single" w:color="000000" w:sz="6" w:space="0"/>
                    <w:right w:val="single" w:color="000000" w:sz="6" w:space="0"/>
                    <w:tl2br w:val="nil"/>
                    <w:tr2bl w:val="nil"/>
                  </w:tcBorders>
                  <w:noWrap w:val="0"/>
                  <w:vAlign w:val="center"/>
                </w:tcPr>
                <w:p>
                  <w:pPr>
                    <w:pStyle w:val="203"/>
                    <w:bidi w:val="0"/>
                    <w:rPr>
                      <w:rFonts w:hint="eastAsia"/>
                      <w:color w:val="000000"/>
                    </w:rPr>
                  </w:pPr>
                  <w:r>
                    <w:rPr>
                      <w:rFonts w:hint="eastAsia"/>
                      <w:color w:val="000000"/>
                      <w:lang w:val="en-US" w:eastAsia="zh-CN"/>
                    </w:rPr>
                    <w:t>《液化天然气（LNG）汽车加气站技术规范》（NB/T1001-2011）规定 4.3“站址选择”</w:t>
                  </w:r>
                </w:p>
              </w:tc>
              <w:tc>
                <w:tcPr>
                  <w:tcW w:w="1994" w:type="pct"/>
                  <w:tcBorders>
                    <w:top w:val="single" w:color="000000" w:sz="4"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color w:val="000000"/>
                    </w:rPr>
                  </w:pPr>
                  <w:r>
                    <w:rPr>
                      <w:rFonts w:hint="eastAsia"/>
                      <w:color w:val="000000"/>
                    </w:rPr>
                    <w:t>本项目</w:t>
                  </w:r>
                </w:p>
                <w:p>
                  <w:pPr>
                    <w:pStyle w:val="203"/>
                    <w:bidi w:val="0"/>
                    <w:rPr>
                      <w:rFonts w:hint="eastAsia"/>
                      <w:color w:val="000000"/>
                    </w:rPr>
                  </w:pPr>
                  <w:r>
                    <w:rPr>
                      <w:rFonts w:hint="eastAsia"/>
                      <w:color w:val="000000"/>
                    </w:rPr>
                    <w:t>情况</w:t>
                  </w:r>
                </w:p>
              </w:tc>
              <w:tc>
                <w:tcPr>
                  <w:tcW w:w="565" w:type="pct"/>
                  <w:tcBorders>
                    <w:top w:val="single" w:color="000000" w:sz="4"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r>
                    <w:rPr>
                      <w:rFonts w:hint="eastAsia"/>
                      <w:color w:val="000000"/>
                    </w:rPr>
                    <w:t>符合</w:t>
                  </w:r>
                </w:p>
                <w:p>
                  <w:pPr>
                    <w:pStyle w:val="203"/>
                    <w:bidi w:val="0"/>
                    <w:rPr>
                      <w:rFonts w:hint="eastAsia"/>
                      <w:color w:val="000000"/>
                    </w:rPr>
                  </w:pPr>
                  <w:r>
                    <w:rPr>
                      <w:rFonts w:hint="eastAsia"/>
                      <w:color w:val="000000"/>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598" w:type="pct"/>
                  <w:tcBorders>
                    <w:top w:val="single" w:color="000000" w:sz="6" w:space="0"/>
                    <w:left w:val="single" w:color="000000" w:sz="4" w:space="0"/>
                    <w:bottom w:val="single" w:color="000000" w:sz="6" w:space="0"/>
                    <w:right w:val="single" w:color="000000" w:sz="6" w:space="0"/>
                    <w:tl2br w:val="nil"/>
                    <w:tr2bl w:val="nil"/>
                  </w:tcBorders>
                  <w:noWrap w:val="0"/>
                  <w:vAlign w:val="center"/>
                </w:tcPr>
                <w:p>
                  <w:pPr>
                    <w:pStyle w:val="203"/>
                    <w:bidi w:val="0"/>
                    <w:rPr>
                      <w:rFonts w:hint="default"/>
                      <w:color w:val="000000"/>
                    </w:rPr>
                  </w:pPr>
                  <w:r>
                    <w:rPr>
                      <w:rFonts w:hint="default"/>
                      <w:color w:val="000000"/>
                    </w:rPr>
                    <w:t>4.</w:t>
                  </w:r>
                  <w:r>
                    <w:rPr>
                      <w:rFonts w:hint="eastAsia"/>
                      <w:color w:val="000000"/>
                      <w:lang w:val="en-US" w:eastAsia="zh-CN"/>
                    </w:rPr>
                    <w:t>3</w:t>
                  </w:r>
                  <w:r>
                    <w:rPr>
                      <w:rFonts w:hint="default"/>
                      <w:color w:val="000000"/>
                    </w:rPr>
                    <w:t>.1</w:t>
                  </w:r>
                </w:p>
              </w:tc>
              <w:tc>
                <w:tcPr>
                  <w:tcW w:w="1841"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eastAsia="宋体"/>
                      <w:color w:val="000000"/>
                      <w:lang w:eastAsia="zh-CN"/>
                    </w:rPr>
                  </w:pPr>
                  <w:r>
                    <w:rPr>
                      <w:rFonts w:hint="eastAsia"/>
                      <w:color w:val="000000"/>
                      <w:lang w:eastAsia="zh-CN"/>
                    </w:rPr>
                    <w:t>站址选择应符合城市规划、交通规划、环境保护和消防安全要求，并应选在交通便利的地方</w:t>
                  </w:r>
                </w:p>
              </w:tc>
              <w:tc>
                <w:tcPr>
                  <w:tcW w:w="19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color w:val="000000"/>
                    </w:rPr>
                  </w:pPr>
                  <w:r>
                    <w:rPr>
                      <w:rFonts w:hint="eastAsia"/>
                      <w:color w:val="000000"/>
                      <w:lang w:val="en-US" w:eastAsia="zh-CN"/>
                    </w:rPr>
                    <w:t>本项目已取得峨边彝族自治县自然资源局下发的关于该项目的建设工程规划许可证，因此</w:t>
                  </w:r>
                  <w:r>
                    <w:rPr>
                      <w:rFonts w:hint="eastAsia"/>
                      <w:color w:val="000000"/>
                    </w:rPr>
                    <w:t>本项目选址符合当地</w:t>
                  </w:r>
                  <w:r>
                    <w:rPr>
                      <w:rFonts w:hint="eastAsia"/>
                      <w:color w:val="000000"/>
                      <w:lang w:eastAsia="zh-CN"/>
                    </w:rPr>
                    <w:t>城市</w:t>
                  </w:r>
                  <w:r>
                    <w:rPr>
                      <w:rFonts w:hint="eastAsia"/>
                      <w:color w:val="000000"/>
                    </w:rPr>
                    <w:t>规划，</w:t>
                  </w:r>
                  <w:r>
                    <w:rPr>
                      <w:rFonts w:hint="eastAsia"/>
                      <w:color w:val="000000"/>
                      <w:lang w:eastAsia="zh-CN"/>
                    </w:rPr>
                    <w:t>项目设计</w:t>
                  </w:r>
                  <w:r>
                    <w:rPr>
                      <w:rFonts w:hint="eastAsia"/>
                      <w:color w:val="000000"/>
                    </w:rPr>
                    <w:t>满足环境保护和防火安全要求，</w:t>
                  </w:r>
                  <w:r>
                    <w:rPr>
                      <w:rFonts w:hint="eastAsia"/>
                      <w:color w:val="000000"/>
                      <w:lang w:eastAsia="zh-CN"/>
                    </w:rPr>
                    <w:t>紧邻</w:t>
                  </w:r>
                  <w:r>
                    <w:rPr>
                      <w:rFonts w:hint="eastAsia"/>
                      <w:color w:val="000000"/>
                      <w:lang w:val="en-US" w:eastAsia="zh-CN"/>
                    </w:rPr>
                    <w:t>在建的国道245高速工程，因此</w:t>
                  </w:r>
                  <w:r>
                    <w:rPr>
                      <w:rFonts w:hint="eastAsia"/>
                      <w:color w:val="000000"/>
                    </w:rPr>
                    <w:t>交通便利</w:t>
                  </w:r>
                </w:p>
              </w:tc>
              <w:tc>
                <w:tcPr>
                  <w:tcW w:w="565" w:type="pct"/>
                  <w:tcBorders>
                    <w:top w:val="single" w:color="000000" w:sz="6"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p>
                <w:p>
                  <w:pPr>
                    <w:pStyle w:val="203"/>
                    <w:bidi w:val="0"/>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7" w:hRule="atLeast"/>
                <w:jc w:val="center"/>
              </w:trPr>
              <w:tc>
                <w:tcPr>
                  <w:tcW w:w="598" w:type="pct"/>
                  <w:tcBorders>
                    <w:top w:val="single" w:color="000000" w:sz="6" w:space="0"/>
                    <w:left w:val="single" w:color="000000" w:sz="4" w:space="0"/>
                    <w:bottom w:val="single" w:color="000000" w:sz="6" w:space="0"/>
                    <w:right w:val="single" w:color="000000" w:sz="6" w:space="0"/>
                    <w:tl2br w:val="nil"/>
                    <w:tr2bl w:val="nil"/>
                  </w:tcBorders>
                  <w:noWrap w:val="0"/>
                  <w:vAlign w:val="center"/>
                </w:tcPr>
                <w:p>
                  <w:pPr>
                    <w:pStyle w:val="203"/>
                    <w:bidi w:val="0"/>
                    <w:rPr>
                      <w:rFonts w:hint="default"/>
                      <w:color w:val="000000"/>
                    </w:rPr>
                  </w:pPr>
                  <w:r>
                    <w:rPr>
                      <w:rFonts w:hint="default"/>
                      <w:color w:val="000000"/>
                    </w:rPr>
                    <w:t>4.</w:t>
                  </w:r>
                  <w:r>
                    <w:rPr>
                      <w:rFonts w:hint="eastAsia"/>
                      <w:color w:val="000000"/>
                      <w:lang w:val="en-US" w:eastAsia="zh-CN"/>
                    </w:rPr>
                    <w:t>3</w:t>
                  </w:r>
                  <w:r>
                    <w:rPr>
                      <w:rFonts w:hint="default"/>
                      <w:color w:val="000000"/>
                    </w:rPr>
                    <w:t>.2</w:t>
                  </w:r>
                </w:p>
              </w:tc>
              <w:tc>
                <w:tcPr>
                  <w:tcW w:w="1841"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eastAsia="宋体"/>
                      <w:color w:val="000000"/>
                      <w:lang w:eastAsia="zh-CN"/>
                    </w:rPr>
                  </w:pPr>
                  <w:r>
                    <w:rPr>
                      <w:rFonts w:hint="eastAsia"/>
                      <w:color w:val="000000"/>
                      <w:lang w:eastAsia="zh-CN"/>
                    </w:rPr>
                    <w:t>城市建成区内的加气站，宜靠近城市道路，与道路交叉路口的距离应符合交通主管部门的要求</w:t>
                  </w:r>
                </w:p>
              </w:tc>
              <w:tc>
                <w:tcPr>
                  <w:tcW w:w="19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default" w:eastAsia="宋体"/>
                      <w:color w:val="000000"/>
                      <w:lang w:val="en-US" w:eastAsia="zh-CN"/>
                    </w:rPr>
                  </w:pPr>
                  <w:r>
                    <w:rPr>
                      <w:rFonts w:hint="eastAsia"/>
                      <w:color w:val="000000"/>
                    </w:rPr>
                    <w:t>项目位于</w:t>
                  </w:r>
                  <w:r>
                    <w:rPr>
                      <w:rFonts w:hint="eastAsia"/>
                      <w:color w:val="000000"/>
                      <w:lang w:eastAsia="zh-CN"/>
                    </w:rPr>
                    <w:t>乐山市峨边新场乡长虹村2组</w:t>
                  </w:r>
                  <w:r>
                    <w:rPr>
                      <w:rFonts w:hint="eastAsia"/>
                      <w:color w:val="000000"/>
                    </w:rPr>
                    <w:t>，</w:t>
                  </w:r>
                  <w:r>
                    <w:rPr>
                      <w:rFonts w:hint="eastAsia"/>
                      <w:color w:val="000000"/>
                      <w:lang w:eastAsia="zh-CN"/>
                    </w:rPr>
                    <w:t>距峨边县城约</w:t>
                  </w:r>
                  <w:r>
                    <w:rPr>
                      <w:rFonts w:hint="eastAsia"/>
                      <w:color w:val="000000"/>
                      <w:lang w:val="en-US" w:eastAsia="zh-CN"/>
                    </w:rPr>
                    <w:t>4km，</w:t>
                  </w:r>
                  <w:r>
                    <w:rPr>
                      <w:rFonts w:hint="eastAsia"/>
                      <w:color w:val="000000"/>
                    </w:rPr>
                    <w:t>为城市建成区边缘，</w:t>
                  </w:r>
                  <w:r>
                    <w:rPr>
                      <w:rFonts w:hint="eastAsia"/>
                      <w:color w:val="000000"/>
                      <w:lang w:eastAsia="zh-CN"/>
                    </w:rPr>
                    <w:t>且项目建址紧挨</w:t>
                  </w:r>
                  <w:r>
                    <w:rPr>
                      <w:rFonts w:hint="eastAsia"/>
                      <w:color w:val="000000"/>
                      <w:lang w:val="en-US" w:eastAsia="zh-CN"/>
                    </w:rPr>
                    <w:t>S306，不在道路交叉路口，能方便过往车辆加气所需</w:t>
                  </w:r>
                </w:p>
              </w:tc>
              <w:tc>
                <w:tcPr>
                  <w:tcW w:w="565" w:type="pct"/>
                  <w:tcBorders>
                    <w:top w:val="single" w:color="000000" w:sz="6"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p>
                <w:p>
                  <w:pPr>
                    <w:pStyle w:val="203"/>
                    <w:bidi w:val="0"/>
                    <w:rPr>
                      <w:rFonts w:hint="eastAsia"/>
                      <w:color w:val="000000"/>
                    </w:rPr>
                  </w:pPr>
                </w:p>
                <w:p>
                  <w:pPr>
                    <w:pStyle w:val="203"/>
                    <w:bidi w:val="0"/>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98" w:type="pct"/>
                  <w:tcBorders>
                    <w:top w:val="single" w:color="000000" w:sz="6" w:space="0"/>
                    <w:left w:val="single" w:color="000000" w:sz="4" w:space="0"/>
                    <w:bottom w:val="single" w:color="000000" w:sz="6" w:space="0"/>
                    <w:right w:val="single" w:color="000000" w:sz="6" w:space="0"/>
                    <w:tl2br w:val="nil"/>
                    <w:tr2bl w:val="nil"/>
                  </w:tcBorders>
                  <w:noWrap w:val="0"/>
                  <w:vAlign w:val="center"/>
                </w:tcPr>
                <w:p>
                  <w:pPr>
                    <w:pStyle w:val="203"/>
                    <w:bidi w:val="0"/>
                    <w:rPr>
                      <w:rFonts w:hint="default"/>
                      <w:color w:val="000000"/>
                    </w:rPr>
                  </w:pPr>
                  <w:r>
                    <w:rPr>
                      <w:rFonts w:hint="default"/>
                      <w:color w:val="000000"/>
                    </w:rPr>
                    <w:t>4.</w:t>
                  </w:r>
                  <w:r>
                    <w:rPr>
                      <w:rFonts w:hint="eastAsia"/>
                      <w:color w:val="000000"/>
                      <w:lang w:val="en-US" w:eastAsia="zh-CN"/>
                    </w:rPr>
                    <w:t>3</w:t>
                  </w:r>
                  <w:r>
                    <w:rPr>
                      <w:rFonts w:hint="default"/>
                      <w:color w:val="000000"/>
                    </w:rPr>
                    <w:t>.3</w:t>
                  </w:r>
                </w:p>
              </w:tc>
              <w:tc>
                <w:tcPr>
                  <w:tcW w:w="1841"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default" w:eastAsia="宋体"/>
                      <w:color w:val="000000"/>
                      <w:lang w:val="en-US" w:eastAsia="zh-CN"/>
                    </w:rPr>
                  </w:pPr>
                  <w:r>
                    <w:rPr>
                      <w:rFonts w:hint="eastAsia"/>
                      <w:color w:val="000000"/>
                      <w:lang w:eastAsia="zh-CN"/>
                    </w:rPr>
                    <w:t>加气站的</w:t>
                  </w:r>
                  <w:r>
                    <w:rPr>
                      <w:rFonts w:hint="eastAsia"/>
                      <w:color w:val="000000"/>
                      <w:lang w:val="en-US" w:eastAsia="zh-CN"/>
                    </w:rPr>
                    <w:t>LNG储罐、放散管管口、LNG卸车口与站外建、构筑物的防火间距，不应小于《液化天然气（LNG）汽车加气站技术规范》（NB/T1001-2011）中表4.3的规定</w:t>
                  </w:r>
                </w:p>
              </w:tc>
              <w:tc>
                <w:tcPr>
                  <w:tcW w:w="19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default" w:eastAsia="宋体"/>
                      <w:color w:val="000000"/>
                      <w:lang w:val="en-US" w:eastAsia="zh-CN"/>
                    </w:rPr>
                  </w:pPr>
                  <w:r>
                    <w:rPr>
                      <w:rFonts w:hint="eastAsia"/>
                      <w:color w:val="000000"/>
                      <w:lang w:eastAsia="zh-CN"/>
                    </w:rPr>
                    <w:t>详见下表</w:t>
                  </w:r>
                  <w:r>
                    <w:rPr>
                      <w:rFonts w:hint="eastAsia"/>
                      <w:color w:val="000000"/>
                      <w:lang w:val="en-US" w:eastAsia="zh-CN"/>
                    </w:rPr>
                    <w:t>1-2</w:t>
                  </w:r>
                </w:p>
              </w:tc>
              <w:tc>
                <w:tcPr>
                  <w:tcW w:w="565" w:type="pct"/>
                  <w:tcBorders>
                    <w:top w:val="single" w:color="000000" w:sz="6"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r>
                    <w:rPr>
                      <w:rFonts w:hint="eastAsia"/>
                      <w:color w:val="000000"/>
                    </w:rPr>
                    <w:t>符合</w:t>
                  </w:r>
                </w:p>
              </w:tc>
            </w:tr>
          </w:tbl>
          <w:p>
            <w:pPr>
              <w:pStyle w:val="97"/>
              <w:bidi w:val="0"/>
              <w:jc w:val="both"/>
              <w:rPr>
                <w:rFonts w:hint="eastAsia"/>
                <w:color w:val="000000"/>
                <w:lang w:val="en-US" w:eastAsia="zh-CN"/>
              </w:rPr>
            </w:pPr>
            <w:r>
              <w:rPr>
                <w:rFonts w:hint="eastAsia"/>
                <w:b/>
                <w:bCs/>
                <w:color w:val="000000"/>
                <w:lang w:val="en-US" w:eastAsia="zh-CN"/>
              </w:rPr>
              <w:t>从上表可以看出，本项目的选址符合《液化天然气（LNG）汽车加气站技术规范》（NB/T1001-2011）中4.3“站址选择”的要求。</w:t>
            </w:r>
          </w:p>
          <w:p>
            <w:pPr>
              <w:pStyle w:val="97"/>
              <w:bidi w:val="0"/>
              <w:rPr>
                <w:rFonts w:hint="eastAsia" w:eastAsiaTheme="minorEastAsia"/>
                <w:color w:val="000000"/>
                <w:sz w:val="24"/>
              </w:rPr>
            </w:pPr>
            <w:r>
              <w:rPr>
                <w:rFonts w:hint="eastAsia"/>
                <w:b/>
                <w:bCs/>
                <w:color w:val="000000"/>
                <w:lang w:val="en-US" w:eastAsia="zh-CN"/>
              </w:rPr>
              <w:t>（2）站内主要设施与站外建筑物的安全距离符合性分析</w:t>
            </w:r>
          </w:p>
          <w:p>
            <w:pPr>
              <w:widowControl/>
              <w:shd w:val="clear" w:color="auto" w:fill="FFFFFF"/>
              <w:spacing w:line="360" w:lineRule="auto"/>
              <w:ind w:firstLine="480" w:firstLineChars="200"/>
              <w:rPr>
                <w:rFonts w:hint="default" w:eastAsiaTheme="minorEastAsia"/>
                <w:color w:val="000000"/>
                <w:sz w:val="24"/>
                <w:lang w:val="en-US" w:eastAsia="zh-CN"/>
              </w:rPr>
            </w:pPr>
            <w:r>
              <w:rPr>
                <w:rFonts w:hint="eastAsia" w:eastAsiaTheme="minorEastAsia"/>
                <w:color w:val="000000"/>
                <w:sz w:val="24"/>
                <w:lang w:val="en-US" w:eastAsia="zh-CN"/>
              </w:rPr>
              <w:t>拟建项目位于乐山市峨边彝族自治县新场乡长虹村2组。项目南西北侧均为耕地（旱地）和林地，项目建址东侧紧邻S306道路，隔道路东南侧40m处为一洗车和生活用房，项目东侧为成（都）昆（明）铁路线经过，距离本项目建址301m，高差-136m；项目正北侧270m~500m，高差+70m处为长虹村二组村落（约30户，90人），有山坡阻挡，不可直视；东南侧230m处为一在建的G245高速公路，高差-115m</w:t>
            </w:r>
            <w:r>
              <w:rPr>
                <w:rFonts w:hint="eastAsia" w:eastAsiaTheme="minorEastAsia"/>
                <w:color w:val="000000"/>
                <w:sz w:val="24"/>
                <w:lang w:eastAsia="zh-CN"/>
              </w:rPr>
              <w:t>；东侧</w:t>
            </w:r>
            <w:r>
              <w:rPr>
                <w:rFonts w:hint="eastAsia" w:eastAsiaTheme="minorEastAsia"/>
                <w:color w:val="000000"/>
                <w:sz w:val="24"/>
                <w:lang w:val="en-US" w:eastAsia="zh-CN"/>
              </w:rPr>
              <w:t xml:space="preserve">300处为峨边西南水泥，高差-140m；项目东侧500m处为大渡河流域，高差-156m；东南方向380m处分布有散居住户（约10户、30人），高差为-129m；项目东侧270m处分布有散居住户（约4户，12人），高差为-130m；项目南侧240m处分布有散居住户（约1户、3人），高差为-90m；项目南侧79m处为一寺庙（无人）。 </w:t>
            </w:r>
          </w:p>
          <w:p>
            <w:pPr>
              <w:widowControl/>
              <w:shd w:val="clear" w:color="auto" w:fill="FFFFFF"/>
              <w:spacing w:line="360" w:lineRule="auto"/>
              <w:ind w:firstLine="480" w:firstLineChars="200"/>
              <w:rPr>
                <w:rFonts w:hint="eastAsia" w:eastAsiaTheme="minorEastAsia"/>
                <w:color w:val="000000"/>
                <w:sz w:val="24"/>
                <w:lang w:val="en-US" w:eastAsia="zh-CN"/>
              </w:rPr>
            </w:pPr>
            <w:r>
              <w:rPr>
                <w:rFonts w:hint="eastAsia" w:eastAsiaTheme="minorEastAsia"/>
                <w:color w:val="000000"/>
                <w:sz w:val="24"/>
                <w:lang w:val="en-US" w:eastAsia="zh-CN"/>
              </w:rPr>
              <w:t>本项目加气站为三级加气站，根据《液化天然气（LNG）汽车加气站技术规范》（NB/T1001-2011）中表 4.3 对加气站的 LNG储罐、放散管管口、LNG 卸车点、加气机与站外建（构）筑物的安全距离进行检查，如下表所示：</w:t>
            </w:r>
          </w:p>
          <w:p>
            <w:pPr>
              <w:pStyle w:val="8"/>
              <w:bidi w:val="0"/>
              <w:rPr>
                <w:rFonts w:hint="eastAsia"/>
                <w:color w:val="000000"/>
                <w:lang w:val="en-US" w:eastAsia="zh-CN"/>
              </w:rPr>
            </w:pPr>
            <w:r>
              <w:rPr>
                <w:rFonts w:hint="eastAsia"/>
                <w:color w:val="000000"/>
                <w:lang w:val="en-US" w:eastAsia="zh-CN"/>
              </w:rPr>
              <w:t>表 1-2 LNG 设备与站外建（构）筑物的安全距离（m）</w:t>
            </w:r>
          </w:p>
          <w:tbl>
            <w:tblPr>
              <w:tblStyle w:val="30"/>
              <w:tblW w:w="9556" w:type="dxa"/>
              <w:jc w:val="center"/>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Layout w:type="autofit"/>
              <w:tblCellMar>
                <w:top w:w="0" w:type="dxa"/>
                <w:left w:w="108" w:type="dxa"/>
                <w:bottom w:w="0" w:type="dxa"/>
                <w:right w:w="108" w:type="dxa"/>
              </w:tblCellMar>
            </w:tblPr>
            <w:tblGrid>
              <w:gridCol w:w="832"/>
              <w:gridCol w:w="1117"/>
              <w:gridCol w:w="1091"/>
              <w:gridCol w:w="165"/>
              <w:gridCol w:w="789"/>
              <w:gridCol w:w="968"/>
              <w:gridCol w:w="1064"/>
              <w:gridCol w:w="915"/>
              <w:gridCol w:w="879"/>
              <w:gridCol w:w="816"/>
              <w:gridCol w:w="920"/>
            </w:tblGrid>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949" w:type="dxa"/>
                  <w:gridSpan w:val="2"/>
                  <w:vMerge w:val="restart"/>
                  <w:tcBorders>
                    <w:tl2br w:val="nil"/>
                    <w:tr2bl w:val="nil"/>
                  </w:tcBorders>
                  <w:noWrap w:val="0"/>
                  <w:vAlign w:val="top"/>
                </w:tcPr>
                <w:p>
                  <w:pPr>
                    <w:pStyle w:val="134"/>
                    <w:bidi w:val="0"/>
                    <w:rPr>
                      <w:rFonts w:hint="eastAsia" w:ascii="Calibri" w:hAnsi="Calibri" w:eastAsia="Calibri" w:cs="Times New Roman"/>
                      <w:color w:val="000000"/>
                      <w:sz w:val="20"/>
                      <w:szCs w:val="18"/>
                    </w:rPr>
                  </w:pPr>
                </w:p>
                <w:p>
                  <w:pPr>
                    <w:pStyle w:val="134"/>
                    <w:bidi w:val="0"/>
                    <w:rPr>
                      <w:rFonts w:hint="eastAsia" w:ascii="Calibri" w:hAnsi="Calibri" w:eastAsia="Calibri" w:cs="Times New Roman"/>
                      <w:color w:val="000000"/>
                      <w:sz w:val="20"/>
                      <w:szCs w:val="18"/>
                    </w:rPr>
                  </w:pPr>
                </w:p>
                <w:p>
                  <w:pPr>
                    <w:pStyle w:val="134"/>
                    <w:bidi w:val="0"/>
                    <w:rPr>
                      <w:rFonts w:hint="eastAsia" w:ascii="Calibri" w:hAnsi="Calibri" w:eastAsia="Calibri" w:cs="Times New Roman"/>
                      <w:color w:val="000000"/>
                      <w:sz w:val="20"/>
                      <w:szCs w:val="18"/>
                    </w:rPr>
                  </w:pPr>
                </w:p>
                <w:p>
                  <w:pPr>
                    <w:pStyle w:val="134"/>
                    <w:bidi w:val="0"/>
                    <w:rPr>
                      <w:rFonts w:ascii="Calibri" w:hAnsi="Calibri" w:eastAsia="Calibri" w:cs="Times New Roman"/>
                      <w:color w:val="000000"/>
                      <w:sz w:val="20"/>
                      <w:szCs w:val="18"/>
                    </w:rPr>
                  </w:pPr>
                  <w:r>
                    <w:rPr>
                      <w:rFonts w:hint="eastAsia" w:ascii="Calibri" w:hAnsi="Calibri" w:eastAsia="Calibri" w:cs="Times New Roman"/>
                      <w:color w:val="000000"/>
                      <w:sz w:val="20"/>
                      <w:szCs w:val="18"/>
                    </w:rPr>
                    <w:t>站外建（构）筑物</w:t>
                  </w:r>
                </w:p>
              </w:tc>
              <w:tc>
                <w:tcPr>
                  <w:tcW w:w="7607" w:type="dxa"/>
                  <w:gridSpan w:val="9"/>
                  <w:tcBorders>
                    <w:tl2br w:val="nil"/>
                    <w:tr2bl w:val="nil"/>
                  </w:tcBorders>
                  <w:noWrap w:val="0"/>
                  <w:vAlign w:val="top"/>
                </w:tcPr>
                <w:p>
                  <w:pPr>
                    <w:pStyle w:val="134"/>
                    <w:bidi w:val="0"/>
                    <w:rPr>
                      <w:rFonts w:ascii="Calibri" w:hAnsi="Calibri" w:eastAsia="Calibri" w:cs="Times New Roman"/>
                      <w:color w:val="000000"/>
                      <w:sz w:val="20"/>
                      <w:szCs w:val="18"/>
                    </w:rPr>
                  </w:pPr>
                  <w:r>
                    <w:rPr>
                      <w:rFonts w:hint="eastAsia" w:ascii="Calibri" w:hAnsi="Calibri" w:eastAsia="Calibri" w:cs="Times New Roman"/>
                      <w:color w:val="000000"/>
                      <w:sz w:val="20"/>
                      <w:szCs w:val="18"/>
                    </w:rPr>
                    <w:t>站内 LNG 设备</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949" w:type="dxa"/>
                  <w:gridSpan w:val="2"/>
                  <w:vMerge w:val="continue"/>
                  <w:tcBorders>
                    <w:tl2br w:val="nil"/>
                    <w:tr2bl w:val="nil"/>
                  </w:tcBorders>
                  <w:noWrap w:val="0"/>
                  <w:vAlign w:val="top"/>
                </w:tcPr>
                <w:p>
                  <w:pPr>
                    <w:pStyle w:val="134"/>
                    <w:bidi w:val="0"/>
                    <w:rPr>
                      <w:rFonts w:ascii="Calibri" w:hAnsi="Calibri" w:eastAsia="Calibri" w:cs="Times New Roman"/>
                      <w:color w:val="000000"/>
                      <w:sz w:val="20"/>
                      <w:szCs w:val="18"/>
                    </w:rPr>
                  </w:pPr>
                </w:p>
              </w:tc>
              <w:tc>
                <w:tcPr>
                  <w:tcW w:w="1256" w:type="dxa"/>
                  <w:gridSpan w:val="2"/>
                  <w:tcBorders>
                    <w:right w:val="nil"/>
                    <w:tl2br w:val="nil"/>
                    <w:tr2bl w:val="nil"/>
                  </w:tcBorders>
                  <w:noWrap w:val="0"/>
                  <w:vAlign w:val="center"/>
                </w:tcPr>
                <w:p>
                  <w:pPr>
                    <w:pStyle w:val="134"/>
                    <w:bidi w:val="0"/>
                    <w:jc w:val="center"/>
                    <w:rPr>
                      <w:rFonts w:hint="default" w:ascii="Calibri" w:hAnsi="Calibri" w:eastAsia="宋体" w:cs="Times New Roman"/>
                      <w:color w:val="000000"/>
                      <w:sz w:val="20"/>
                      <w:szCs w:val="18"/>
                      <w:lang w:val="en-US" w:eastAsia="zh-CN"/>
                    </w:rPr>
                  </w:pPr>
                  <w:r>
                    <w:rPr>
                      <w:rFonts w:hint="eastAsia" w:ascii="Calibri" w:hAnsi="Calibri" w:cs="Times New Roman"/>
                      <w:color w:val="000000"/>
                      <w:sz w:val="20"/>
                      <w:szCs w:val="18"/>
                      <w:lang w:val="en-US" w:eastAsia="zh-CN"/>
                    </w:rPr>
                    <w:t xml:space="preserve"> LNG储罐</w:t>
                  </w:r>
                </w:p>
              </w:tc>
              <w:tc>
                <w:tcPr>
                  <w:tcW w:w="789" w:type="dxa"/>
                  <w:tcBorders>
                    <w:left w:val="nil"/>
                    <w:bottom w:val="single" w:color="auto" w:sz="4" w:space="0"/>
                    <w:right w:val="single" w:color="auto" w:sz="4" w:space="0"/>
                    <w:tl2br w:val="nil"/>
                    <w:tr2bl w:val="nil"/>
                  </w:tcBorders>
                  <w:noWrap w:val="0"/>
                  <w:vAlign w:val="center"/>
                </w:tcPr>
                <w:p>
                  <w:pPr>
                    <w:pStyle w:val="134"/>
                    <w:bidi w:val="0"/>
                    <w:jc w:val="both"/>
                    <w:rPr>
                      <w:rFonts w:hint="eastAsia" w:ascii="Calibri" w:hAnsi="Calibri" w:eastAsia="Calibri" w:cs="Times New Roman"/>
                      <w:color w:val="000000"/>
                      <w:sz w:val="20"/>
                      <w:szCs w:val="18"/>
                      <w:lang w:eastAsia="zh-CN"/>
                    </w:rPr>
                  </w:pPr>
                </w:p>
              </w:tc>
              <w:tc>
                <w:tcPr>
                  <w:tcW w:w="2032" w:type="dxa"/>
                  <w:gridSpan w:val="2"/>
                  <w:vMerge w:val="restart"/>
                  <w:tcBorders>
                    <w:left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放散管</w:t>
                  </w:r>
                </w:p>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管口</w:t>
                  </w:r>
                </w:p>
              </w:tc>
              <w:tc>
                <w:tcPr>
                  <w:tcW w:w="915" w:type="dxa"/>
                  <w:vMerge w:val="restart"/>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加气机</w:t>
                  </w:r>
                </w:p>
              </w:tc>
              <w:tc>
                <w:tcPr>
                  <w:tcW w:w="2615" w:type="dxa"/>
                  <w:gridSpan w:val="3"/>
                  <w:vMerge w:val="restart"/>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LNG卸</w:t>
                  </w:r>
                </w:p>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车点</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949" w:type="dxa"/>
                  <w:gridSpan w:val="2"/>
                  <w:vMerge w:val="continue"/>
                  <w:tcBorders>
                    <w:tl2br w:val="nil"/>
                    <w:tr2bl w:val="nil"/>
                  </w:tcBorders>
                  <w:noWrap w:val="0"/>
                  <w:vAlign w:val="top"/>
                </w:tcPr>
                <w:p>
                  <w:pPr>
                    <w:pStyle w:val="134"/>
                    <w:bidi w:val="0"/>
                    <w:rPr>
                      <w:rFonts w:ascii="Calibri" w:hAnsi="Calibri" w:eastAsia="Calibri" w:cs="Times New Roman"/>
                      <w:color w:val="000000"/>
                      <w:sz w:val="20"/>
                      <w:szCs w:val="18"/>
                    </w:rPr>
                  </w:pPr>
                </w:p>
              </w:tc>
              <w:tc>
                <w:tcPr>
                  <w:tcW w:w="1256" w:type="dxa"/>
                  <w:gridSpan w:val="2"/>
                  <w:tcBorders>
                    <w:right w:val="nil"/>
                    <w:tl2br w:val="nil"/>
                    <w:tr2bl w:val="nil"/>
                  </w:tcBorders>
                  <w:noWrap w:val="0"/>
                  <w:vAlign w:val="top"/>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三级站</w:t>
                  </w:r>
                </w:p>
              </w:tc>
              <w:tc>
                <w:tcPr>
                  <w:tcW w:w="789" w:type="dxa"/>
                  <w:tcBorders>
                    <w:top w:val="single" w:color="auto" w:sz="4" w:space="0"/>
                    <w:left w:val="nil"/>
                    <w:bottom w:val="single" w:color="auto" w:sz="4" w:space="0"/>
                    <w:right w:val="single" w:color="auto" w:sz="4" w:space="0"/>
                    <w:tl2br w:val="nil"/>
                    <w:tr2bl w:val="nil"/>
                  </w:tcBorders>
                  <w:noWrap w:val="0"/>
                  <w:vAlign w:val="top"/>
                </w:tcPr>
                <w:p>
                  <w:pPr>
                    <w:pStyle w:val="134"/>
                    <w:bidi w:val="0"/>
                    <w:rPr>
                      <w:rFonts w:ascii="Calibri" w:hAnsi="Calibri" w:eastAsia="Calibri" w:cs="Times New Roman"/>
                      <w:color w:val="000000"/>
                      <w:sz w:val="20"/>
                      <w:szCs w:val="18"/>
                    </w:rPr>
                  </w:pPr>
                </w:p>
              </w:tc>
              <w:tc>
                <w:tcPr>
                  <w:tcW w:w="2032" w:type="dxa"/>
                  <w:gridSpan w:val="2"/>
                  <w:vMerge w:val="continue"/>
                  <w:tcBorders>
                    <w:left w:val="single" w:color="auto" w:sz="4" w:space="0"/>
                    <w:tl2br w:val="nil"/>
                    <w:tr2bl w:val="nil"/>
                  </w:tcBorders>
                  <w:noWrap w:val="0"/>
                  <w:vAlign w:val="top"/>
                </w:tcPr>
                <w:p>
                  <w:pPr>
                    <w:pStyle w:val="134"/>
                    <w:bidi w:val="0"/>
                    <w:rPr>
                      <w:rFonts w:ascii="Calibri" w:hAnsi="Calibri" w:eastAsia="Calibri" w:cs="Times New Roman"/>
                      <w:color w:val="000000"/>
                      <w:sz w:val="20"/>
                      <w:szCs w:val="18"/>
                    </w:rPr>
                  </w:pPr>
                </w:p>
              </w:tc>
              <w:tc>
                <w:tcPr>
                  <w:tcW w:w="915" w:type="dxa"/>
                  <w:vMerge w:val="continue"/>
                  <w:tcBorders>
                    <w:tl2br w:val="nil"/>
                    <w:tr2bl w:val="nil"/>
                  </w:tcBorders>
                  <w:noWrap w:val="0"/>
                  <w:vAlign w:val="top"/>
                </w:tcPr>
                <w:p>
                  <w:pPr>
                    <w:pStyle w:val="134"/>
                    <w:bidi w:val="0"/>
                    <w:rPr>
                      <w:rFonts w:ascii="Calibri" w:hAnsi="Calibri" w:eastAsia="Calibri" w:cs="Times New Roman"/>
                      <w:color w:val="000000"/>
                      <w:sz w:val="20"/>
                      <w:szCs w:val="18"/>
                    </w:rPr>
                  </w:pPr>
                </w:p>
              </w:tc>
              <w:tc>
                <w:tcPr>
                  <w:tcW w:w="2615" w:type="dxa"/>
                  <w:gridSpan w:val="3"/>
                  <w:vMerge w:val="continue"/>
                  <w:tcBorders>
                    <w:tl2br w:val="nil"/>
                    <w:tr2bl w:val="nil"/>
                  </w:tcBorders>
                  <w:noWrap w:val="0"/>
                  <w:vAlign w:val="top"/>
                </w:tcPr>
                <w:p>
                  <w:pPr>
                    <w:pStyle w:val="134"/>
                    <w:bidi w:val="0"/>
                    <w:rPr>
                      <w:rFonts w:ascii="Calibri" w:hAnsi="Calibri" w:eastAsia="Calibri" w:cs="Times New Roman"/>
                      <w:color w:val="000000"/>
                      <w:sz w:val="20"/>
                      <w:szCs w:val="18"/>
                    </w:rPr>
                  </w:pP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775" w:hRule="atLeast"/>
                <w:jc w:val="center"/>
              </w:trPr>
              <w:tc>
                <w:tcPr>
                  <w:tcW w:w="1949" w:type="dxa"/>
                  <w:gridSpan w:val="2"/>
                  <w:vMerge w:val="continue"/>
                  <w:tcBorders>
                    <w:tl2br w:val="nil"/>
                    <w:tr2bl w:val="nil"/>
                  </w:tcBorders>
                  <w:noWrap w:val="0"/>
                  <w:vAlign w:val="top"/>
                </w:tcPr>
                <w:p>
                  <w:pPr>
                    <w:pStyle w:val="134"/>
                    <w:bidi w:val="0"/>
                    <w:rPr>
                      <w:rFonts w:ascii="Calibri" w:hAnsi="Calibri" w:eastAsia="Calibri" w:cs="Times New Roman"/>
                      <w:color w:val="000000"/>
                      <w:sz w:val="20"/>
                      <w:szCs w:val="18"/>
                    </w:rPr>
                  </w:pPr>
                </w:p>
              </w:tc>
              <w:tc>
                <w:tcPr>
                  <w:tcW w:w="1256" w:type="dxa"/>
                  <w:gridSpan w:val="2"/>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标准</w:t>
                  </w:r>
                </w:p>
                <w:p>
                  <w:pPr>
                    <w:pStyle w:val="134"/>
                    <w:bidi w:val="0"/>
                    <w:jc w:val="center"/>
                    <w:rPr>
                      <w:rFonts w:hint="eastAsia" w:ascii="Calibri" w:hAnsi="Calibri" w:eastAsia="Calibri" w:cs="Times New Roman"/>
                      <w:color w:val="000000"/>
                      <w:sz w:val="20"/>
                      <w:szCs w:val="18"/>
                      <w:lang w:eastAsia="zh-CN"/>
                    </w:rPr>
                  </w:pPr>
                </w:p>
              </w:tc>
              <w:tc>
                <w:tcPr>
                  <w:tcW w:w="789" w:type="dxa"/>
                  <w:tcBorders>
                    <w:top w:val="single" w:color="auto" w:sz="4" w:space="0"/>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本项目</w:t>
                  </w:r>
                </w:p>
              </w:tc>
              <w:tc>
                <w:tcPr>
                  <w:tcW w:w="968"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标准</w:t>
                  </w:r>
                </w:p>
                <w:p>
                  <w:pPr>
                    <w:pStyle w:val="134"/>
                    <w:bidi w:val="0"/>
                    <w:jc w:val="center"/>
                    <w:rPr>
                      <w:rFonts w:hint="eastAsia" w:ascii="Calibri" w:hAnsi="Calibri" w:eastAsia="Calibri" w:cs="Times New Roman"/>
                      <w:color w:val="000000"/>
                      <w:sz w:val="20"/>
                      <w:szCs w:val="18"/>
                      <w:lang w:eastAsia="zh-CN"/>
                    </w:rPr>
                  </w:pPr>
                </w:p>
              </w:tc>
              <w:tc>
                <w:tcPr>
                  <w:tcW w:w="1064"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本项目</w:t>
                  </w:r>
                </w:p>
                <w:p>
                  <w:pPr>
                    <w:pStyle w:val="134"/>
                    <w:bidi w:val="0"/>
                    <w:jc w:val="center"/>
                    <w:rPr>
                      <w:rFonts w:hint="eastAsia" w:ascii="Calibri" w:hAnsi="Calibri" w:eastAsia="Calibri" w:cs="Times New Roman"/>
                      <w:color w:val="000000"/>
                      <w:sz w:val="20"/>
                      <w:szCs w:val="18"/>
                      <w:lang w:eastAsia="zh-CN"/>
                    </w:rPr>
                  </w:pPr>
                </w:p>
              </w:tc>
              <w:tc>
                <w:tcPr>
                  <w:tcW w:w="915"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标准</w:t>
                  </w:r>
                </w:p>
                <w:p>
                  <w:pPr>
                    <w:pStyle w:val="134"/>
                    <w:bidi w:val="0"/>
                    <w:jc w:val="center"/>
                    <w:rPr>
                      <w:rFonts w:hint="default" w:ascii="Calibri" w:hAnsi="Calibri" w:eastAsia="Calibri" w:cs="Times New Roman"/>
                      <w:color w:val="000000"/>
                      <w:sz w:val="20"/>
                      <w:szCs w:val="18"/>
                      <w:lang w:val="en-US" w:eastAsia="zh-CN"/>
                    </w:rPr>
                  </w:pPr>
                </w:p>
              </w:tc>
              <w:tc>
                <w:tcPr>
                  <w:tcW w:w="879"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本项目</w:t>
                  </w:r>
                </w:p>
                <w:p>
                  <w:pPr>
                    <w:pStyle w:val="134"/>
                    <w:bidi w:val="0"/>
                    <w:jc w:val="center"/>
                    <w:rPr>
                      <w:rFonts w:hint="eastAsia" w:ascii="Calibri" w:hAnsi="Calibri" w:eastAsia="Calibri" w:cs="Times New Roman"/>
                      <w:color w:val="000000"/>
                      <w:sz w:val="20"/>
                      <w:szCs w:val="18"/>
                      <w:lang w:eastAsia="zh-CN"/>
                    </w:rPr>
                  </w:pPr>
                </w:p>
              </w:tc>
              <w:tc>
                <w:tcPr>
                  <w:tcW w:w="816"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标准</w:t>
                  </w:r>
                </w:p>
                <w:p>
                  <w:pPr>
                    <w:pStyle w:val="134"/>
                    <w:bidi w:val="0"/>
                    <w:jc w:val="center"/>
                    <w:rPr>
                      <w:rFonts w:hint="eastAsia" w:ascii="Calibri" w:hAnsi="Calibri" w:eastAsia="Calibri" w:cs="Times New Roman"/>
                      <w:color w:val="000000"/>
                      <w:sz w:val="20"/>
                      <w:szCs w:val="18"/>
                      <w:lang w:eastAsia="zh-CN"/>
                    </w:rPr>
                  </w:pPr>
                </w:p>
              </w:tc>
              <w:tc>
                <w:tcPr>
                  <w:tcW w:w="920"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本项目</w:t>
                  </w:r>
                </w:p>
                <w:p>
                  <w:pPr>
                    <w:pStyle w:val="134"/>
                    <w:bidi w:val="0"/>
                    <w:jc w:val="center"/>
                    <w:rPr>
                      <w:rFonts w:hint="eastAsia" w:ascii="Calibri" w:hAnsi="Calibri" w:eastAsia="Calibri" w:cs="Times New Roman"/>
                      <w:color w:val="000000"/>
                      <w:sz w:val="20"/>
                      <w:szCs w:val="18"/>
                      <w:lang w:eastAsia="zh-CN"/>
                    </w:rPr>
                  </w:pP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949" w:type="dxa"/>
                  <w:gridSpan w:val="2"/>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重要公共建筑物</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80</w:t>
                  </w:r>
                </w:p>
              </w:tc>
              <w:tc>
                <w:tcPr>
                  <w:tcW w:w="789"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50</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50</w:t>
                  </w:r>
                </w:p>
              </w:tc>
              <w:tc>
                <w:tcPr>
                  <w:tcW w:w="879"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50</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949"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明火或散发火花地点</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789"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879"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832" w:type="dxa"/>
                  <w:vMerge w:val="restart"/>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民用建筑</w:t>
                  </w:r>
                </w:p>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物保护类别</w:t>
                  </w:r>
                </w:p>
              </w:tc>
              <w:tc>
                <w:tcPr>
                  <w:tcW w:w="1117"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一类保</w:t>
                  </w:r>
                </w:p>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护物</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789"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879"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442" w:hRule="atLeast"/>
                <w:jc w:val="center"/>
              </w:trPr>
              <w:tc>
                <w:tcPr>
                  <w:tcW w:w="832" w:type="dxa"/>
                  <w:vMerge w:val="continue"/>
                  <w:tcBorders>
                    <w:tl2br w:val="nil"/>
                    <w:tr2bl w:val="nil"/>
                  </w:tcBorders>
                  <w:noWrap w:val="0"/>
                  <w:vAlign w:val="center"/>
                </w:tcPr>
                <w:p>
                  <w:pPr>
                    <w:pStyle w:val="134"/>
                    <w:bidi w:val="0"/>
                    <w:rPr>
                      <w:rFonts w:ascii="Calibri" w:hAnsi="Calibri" w:eastAsia="Calibri" w:cs="Times New Roman"/>
                      <w:color w:val="000000"/>
                      <w:sz w:val="20"/>
                      <w:szCs w:val="18"/>
                    </w:rPr>
                  </w:pPr>
                </w:p>
              </w:tc>
              <w:tc>
                <w:tcPr>
                  <w:tcW w:w="1117"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二类保</w:t>
                  </w:r>
                </w:p>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护物</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16</w:t>
                  </w:r>
                </w:p>
              </w:tc>
              <w:tc>
                <w:tcPr>
                  <w:tcW w:w="789"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16</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16</w:t>
                  </w:r>
                </w:p>
              </w:tc>
              <w:tc>
                <w:tcPr>
                  <w:tcW w:w="879" w:type="dxa"/>
                  <w:tcBorders>
                    <w:tl2br w:val="nil"/>
                    <w:tr2bl w:val="nil"/>
                  </w:tcBorders>
                  <w:noWrap w:val="0"/>
                  <w:vAlign w:val="center"/>
                </w:tcPr>
                <w:p>
                  <w:pPr>
                    <w:pStyle w:val="134"/>
                    <w:bidi w:val="0"/>
                    <w:rPr>
                      <w:rFonts w:ascii="Calibri" w:hAnsi="Calibri" w:eastAsia="Calibri" w:cs="Times New Roman"/>
                      <w:color w:val="000000"/>
                      <w:sz w:val="20"/>
                      <w:szCs w:val="18"/>
                    </w:rPr>
                  </w:pPr>
                  <w:r>
                    <w:rPr>
                      <w:rFonts w:hint="eastAsia" w:ascii="Calibri" w:hAnsi="Calibri" w:eastAsia="Calibri" w:cs="Times New Roman"/>
                      <w:color w:val="000000"/>
                      <w:sz w:val="20"/>
                      <w:szCs w:val="18"/>
                      <w:lang w:eastAsia="zh-CN"/>
                    </w:rPr>
                    <w:t>无</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16</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530" w:hRule="atLeast"/>
                <w:jc w:val="center"/>
              </w:trPr>
              <w:tc>
                <w:tcPr>
                  <w:tcW w:w="832" w:type="dxa"/>
                  <w:vMerge w:val="continue"/>
                  <w:tcBorders>
                    <w:tl2br w:val="nil"/>
                    <w:tr2bl w:val="nil"/>
                  </w:tcBorders>
                  <w:noWrap w:val="0"/>
                  <w:vAlign w:val="center"/>
                </w:tcPr>
                <w:p>
                  <w:pPr>
                    <w:pStyle w:val="134"/>
                    <w:bidi w:val="0"/>
                    <w:rPr>
                      <w:rFonts w:ascii="Calibri" w:hAnsi="Calibri" w:eastAsia="Calibri" w:cs="Times New Roman"/>
                      <w:color w:val="000000"/>
                      <w:sz w:val="20"/>
                      <w:szCs w:val="18"/>
                    </w:rPr>
                  </w:pPr>
                </w:p>
              </w:tc>
              <w:tc>
                <w:tcPr>
                  <w:tcW w:w="1117"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三类保</w:t>
                  </w:r>
                </w:p>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护物</w:t>
                  </w:r>
                </w:p>
              </w:tc>
              <w:tc>
                <w:tcPr>
                  <w:tcW w:w="1256" w:type="dxa"/>
                  <w:gridSpan w:val="2"/>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val="en-US" w:eastAsia="zh-CN"/>
                    </w:rPr>
                  </w:pPr>
                </w:p>
                <w:p>
                  <w:pPr>
                    <w:pStyle w:val="134"/>
                    <w:bidi w:val="0"/>
                    <w:jc w:val="center"/>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14</w:t>
                  </w:r>
                </w:p>
              </w:tc>
              <w:tc>
                <w:tcPr>
                  <w:tcW w:w="789"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eastAsia="zh-CN"/>
                    </w:rPr>
                    <w:t>＞</w:t>
                  </w:r>
                  <w:r>
                    <w:rPr>
                      <w:rFonts w:hint="eastAsia" w:ascii="Calibri" w:hAnsi="Calibri" w:eastAsia="Calibri" w:cs="Times New Roman"/>
                      <w:color w:val="000000"/>
                      <w:sz w:val="20"/>
                      <w:szCs w:val="18"/>
                      <w:lang w:val="en-US" w:eastAsia="zh-CN"/>
                    </w:rPr>
                    <w:t>14</w:t>
                  </w:r>
                </w:p>
              </w:tc>
              <w:tc>
                <w:tcPr>
                  <w:tcW w:w="968"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val="en-US" w:eastAsia="zh-CN"/>
                    </w:rPr>
                  </w:pPr>
                </w:p>
                <w:p>
                  <w:pPr>
                    <w:pStyle w:val="134"/>
                    <w:bidi w:val="0"/>
                    <w:jc w:val="center"/>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14</w:t>
                  </w:r>
                </w:p>
              </w:tc>
              <w:tc>
                <w:tcPr>
                  <w:tcW w:w="1064"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val="en-US" w:eastAsia="zh-CN"/>
                    </w:rPr>
                  </w:pPr>
                </w:p>
                <w:p>
                  <w:pPr>
                    <w:pStyle w:val="134"/>
                    <w:bidi w:val="0"/>
                    <w:jc w:val="center"/>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＞14</w:t>
                  </w:r>
                </w:p>
              </w:tc>
              <w:tc>
                <w:tcPr>
                  <w:tcW w:w="915" w:type="dxa"/>
                  <w:tcBorders>
                    <w:tl2br w:val="nil"/>
                    <w:tr2bl w:val="nil"/>
                  </w:tcBorders>
                  <w:noWrap w:val="0"/>
                  <w:vAlign w:val="center"/>
                </w:tcPr>
                <w:p>
                  <w:pPr>
                    <w:pStyle w:val="134"/>
                    <w:bidi w:val="0"/>
                    <w:jc w:val="center"/>
                    <w:rPr>
                      <w:rFonts w:ascii="Calibri" w:hAnsi="Calibri" w:eastAsia="Calibri" w:cs="Times New Roman"/>
                      <w:color w:val="000000"/>
                      <w:sz w:val="20"/>
                      <w:szCs w:val="18"/>
                    </w:rPr>
                  </w:pPr>
                </w:p>
                <w:p>
                  <w:pPr>
                    <w:pStyle w:val="134"/>
                    <w:bidi w:val="0"/>
                    <w:jc w:val="center"/>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14</w:t>
                  </w:r>
                </w:p>
              </w:tc>
              <w:tc>
                <w:tcPr>
                  <w:tcW w:w="879"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ascii="Calibri" w:hAnsi="Calibri" w:eastAsia="Calibri" w:cs="Times New Roman"/>
                      <w:color w:val="000000"/>
                      <w:sz w:val="20"/>
                      <w:szCs w:val="18"/>
                    </w:rPr>
                  </w:pPr>
                  <w:r>
                    <w:rPr>
                      <w:rFonts w:hint="eastAsia" w:ascii="Calibri" w:hAnsi="Calibri" w:eastAsia="Calibri" w:cs="Times New Roman"/>
                      <w:color w:val="000000"/>
                      <w:sz w:val="20"/>
                      <w:szCs w:val="18"/>
                      <w:lang w:eastAsia="zh-CN"/>
                    </w:rPr>
                    <w:t>＞</w:t>
                  </w:r>
                  <w:r>
                    <w:rPr>
                      <w:rFonts w:hint="eastAsia" w:ascii="Calibri" w:hAnsi="Calibri" w:eastAsia="Calibri" w:cs="Times New Roman"/>
                      <w:color w:val="000000"/>
                      <w:sz w:val="20"/>
                      <w:szCs w:val="18"/>
                      <w:lang w:val="en-US" w:eastAsia="zh-CN"/>
                    </w:rPr>
                    <w:t>14</w:t>
                  </w:r>
                </w:p>
              </w:tc>
              <w:tc>
                <w:tcPr>
                  <w:tcW w:w="816"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val="en-US" w:eastAsia="zh-CN"/>
                    </w:rPr>
                  </w:pPr>
                </w:p>
                <w:p>
                  <w:pPr>
                    <w:pStyle w:val="134"/>
                    <w:bidi w:val="0"/>
                    <w:jc w:val="center"/>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14</w:t>
                  </w:r>
                </w:p>
              </w:tc>
              <w:tc>
                <w:tcPr>
                  <w:tcW w:w="920" w:type="dxa"/>
                  <w:tcBorders>
                    <w:tl2br w:val="nil"/>
                    <w:tr2bl w:val="nil"/>
                  </w:tcBorders>
                  <w:noWrap w:val="0"/>
                  <w:vAlign w:val="center"/>
                </w:tcPr>
                <w:p>
                  <w:pPr>
                    <w:pStyle w:val="134"/>
                    <w:bidi w:val="0"/>
                    <w:jc w:val="center"/>
                    <w:rPr>
                      <w:rFonts w:hint="eastAsia" w:ascii="Calibri" w:hAnsi="Calibri" w:eastAsia="Calibri" w:cs="Times New Roman"/>
                      <w:color w:val="000000"/>
                      <w:sz w:val="20"/>
                      <w:szCs w:val="18"/>
                      <w:lang w:eastAsia="zh-CN"/>
                    </w:rPr>
                  </w:pPr>
                </w:p>
                <w:p>
                  <w:pPr>
                    <w:pStyle w:val="134"/>
                    <w:bidi w:val="0"/>
                    <w:jc w:val="center"/>
                    <w:rPr>
                      <w:rFonts w:ascii="Calibri" w:hAnsi="Calibri" w:eastAsia="Calibri" w:cs="Times New Roman"/>
                      <w:color w:val="000000"/>
                      <w:sz w:val="20"/>
                      <w:szCs w:val="18"/>
                    </w:rPr>
                  </w:pPr>
                  <w:r>
                    <w:rPr>
                      <w:rFonts w:hint="eastAsia" w:ascii="Calibri" w:hAnsi="Calibri" w:eastAsia="Calibri" w:cs="Times New Roman"/>
                      <w:color w:val="000000"/>
                      <w:sz w:val="20"/>
                      <w:szCs w:val="18"/>
                      <w:lang w:eastAsia="zh-CN"/>
                    </w:rPr>
                    <w:t>＞</w:t>
                  </w:r>
                  <w:r>
                    <w:rPr>
                      <w:rFonts w:hint="eastAsia" w:ascii="Calibri" w:hAnsi="Calibri" w:eastAsia="Calibri" w:cs="Times New Roman"/>
                      <w:color w:val="000000"/>
                      <w:sz w:val="20"/>
                      <w:szCs w:val="18"/>
                      <w:lang w:val="en-US" w:eastAsia="zh-CN"/>
                    </w:rPr>
                    <w:t>14</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889" w:hRule="atLeast"/>
                <w:jc w:val="center"/>
              </w:trPr>
              <w:tc>
                <w:tcPr>
                  <w:tcW w:w="1949" w:type="dxa"/>
                  <w:gridSpan w:val="2"/>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甲、乙类物品生产厂房、库房和甲、乙类液体储罐</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789"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879"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25</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926" w:hRule="atLeast"/>
                <w:jc w:val="center"/>
              </w:trPr>
              <w:tc>
                <w:tcPr>
                  <w:tcW w:w="1949"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eastAsia="zh-CN"/>
                    </w:rPr>
                    <w:t>其他类物品生产厂房、库房和丙类液体储罐以及容积不大于</w:t>
                  </w:r>
                  <w:r>
                    <w:rPr>
                      <w:rFonts w:hint="eastAsia" w:ascii="Calibri" w:hAnsi="Calibri" w:eastAsia="Calibri" w:cs="Times New Roman"/>
                      <w:color w:val="000000"/>
                      <w:sz w:val="20"/>
                      <w:szCs w:val="18"/>
                      <w:lang w:val="en-US" w:eastAsia="zh-CN"/>
                    </w:rPr>
                    <w:t>50m³的埋地甲、乙类液体储罐</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20</w:t>
                  </w:r>
                </w:p>
              </w:tc>
              <w:tc>
                <w:tcPr>
                  <w:tcW w:w="789"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&gt;20</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20</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&gt;20</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20</w:t>
                  </w:r>
                </w:p>
              </w:tc>
              <w:tc>
                <w:tcPr>
                  <w:tcW w:w="879"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&gt;20</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20</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&gt;20</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949" w:type="dxa"/>
                  <w:gridSpan w:val="2"/>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室外变配电站</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30</w:t>
                  </w:r>
                </w:p>
              </w:tc>
              <w:tc>
                <w:tcPr>
                  <w:tcW w:w="789"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30</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30</w:t>
                  </w:r>
                </w:p>
              </w:tc>
              <w:tc>
                <w:tcPr>
                  <w:tcW w:w="879"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30</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1949" w:type="dxa"/>
                  <w:gridSpan w:val="2"/>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铁路</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50</w:t>
                  </w:r>
                </w:p>
              </w:tc>
              <w:tc>
                <w:tcPr>
                  <w:tcW w:w="789"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&gt;50</w:t>
                  </w:r>
                </w:p>
              </w:tc>
              <w:tc>
                <w:tcPr>
                  <w:tcW w:w="968"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50</w:t>
                  </w:r>
                </w:p>
              </w:tc>
              <w:tc>
                <w:tcPr>
                  <w:tcW w:w="1064"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&gt;50</w:t>
                  </w:r>
                </w:p>
              </w:tc>
              <w:tc>
                <w:tcPr>
                  <w:tcW w:w="915"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50</w:t>
                  </w:r>
                </w:p>
              </w:tc>
              <w:tc>
                <w:tcPr>
                  <w:tcW w:w="879"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&gt;50</w:t>
                  </w:r>
                </w:p>
              </w:tc>
              <w:tc>
                <w:tcPr>
                  <w:tcW w:w="816" w:type="dxa"/>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50</w:t>
                  </w:r>
                </w:p>
              </w:tc>
              <w:tc>
                <w:tcPr>
                  <w:tcW w:w="920"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&gt;50</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832" w:type="dxa"/>
                  <w:vMerge w:val="restart"/>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道路</w:t>
                  </w:r>
                </w:p>
              </w:tc>
              <w:tc>
                <w:tcPr>
                  <w:tcW w:w="1117"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快速路、</w:t>
                  </w:r>
                </w:p>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主干路；高速、</w:t>
                  </w:r>
                  <w:r>
                    <w:rPr>
                      <w:rFonts w:hint="eastAsia" w:ascii="Calibri" w:hAnsi="Calibri" w:eastAsia="Calibri" w:cs="Times New Roman"/>
                      <w:color w:val="000000"/>
                      <w:sz w:val="20"/>
                      <w:szCs w:val="18"/>
                      <w:lang w:val="en-US" w:eastAsia="zh-CN"/>
                    </w:rPr>
                    <w:t>I、II级</w:t>
                  </w:r>
                </w:p>
              </w:tc>
              <w:tc>
                <w:tcPr>
                  <w:tcW w:w="1256" w:type="dxa"/>
                  <w:gridSpan w:val="2"/>
                  <w:tcBorders>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8</w:t>
                  </w:r>
                </w:p>
              </w:tc>
              <w:tc>
                <w:tcPr>
                  <w:tcW w:w="789"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68"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8</w:t>
                  </w:r>
                </w:p>
              </w:tc>
              <w:tc>
                <w:tcPr>
                  <w:tcW w:w="1064"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15"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8</w:t>
                  </w:r>
                </w:p>
              </w:tc>
              <w:tc>
                <w:tcPr>
                  <w:tcW w:w="879"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816"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8</w:t>
                  </w:r>
                </w:p>
              </w:tc>
              <w:tc>
                <w:tcPr>
                  <w:tcW w:w="920"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832" w:type="dxa"/>
                  <w:vMerge w:val="continue"/>
                  <w:tcBorders>
                    <w:tl2br w:val="nil"/>
                    <w:tr2bl w:val="nil"/>
                  </w:tcBorders>
                  <w:noWrap w:val="0"/>
                  <w:vAlign w:val="center"/>
                </w:tcPr>
                <w:p>
                  <w:pPr>
                    <w:pStyle w:val="134"/>
                    <w:bidi w:val="0"/>
                    <w:rPr>
                      <w:rFonts w:ascii="Calibri" w:hAnsi="Calibri" w:eastAsia="Calibri" w:cs="Times New Roman"/>
                      <w:color w:val="000000"/>
                      <w:sz w:val="20"/>
                      <w:szCs w:val="18"/>
                    </w:rPr>
                  </w:pPr>
                </w:p>
              </w:tc>
              <w:tc>
                <w:tcPr>
                  <w:tcW w:w="1117"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次干路、</w:t>
                  </w:r>
                </w:p>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eastAsia="zh-CN"/>
                    </w:rPr>
                    <w:t>支路；</w:t>
                  </w:r>
                  <w:r>
                    <w:rPr>
                      <w:rFonts w:hint="default" w:ascii="Times New Roman" w:hAnsi="Times New Roman" w:eastAsia="Calibri" w:cs="Times New Roman"/>
                      <w:color w:val="000000"/>
                      <w:sz w:val="20"/>
                      <w:szCs w:val="18"/>
                      <w:lang w:val="en-US" w:eastAsia="zh-CN"/>
                    </w:rPr>
                    <w:t>III、IV</w:t>
                  </w:r>
                  <w:r>
                    <w:rPr>
                      <w:rFonts w:hint="eastAsia" w:ascii="Calibri" w:hAnsi="Calibri" w:eastAsia="Calibri" w:cs="Times New Roman"/>
                      <w:color w:val="000000"/>
                      <w:sz w:val="20"/>
                      <w:szCs w:val="18"/>
                      <w:lang w:val="en-US" w:eastAsia="zh-CN"/>
                    </w:rPr>
                    <w:t>级</w:t>
                  </w:r>
                </w:p>
              </w:tc>
              <w:tc>
                <w:tcPr>
                  <w:tcW w:w="1256" w:type="dxa"/>
                  <w:gridSpan w:val="2"/>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8</w:t>
                  </w:r>
                </w:p>
              </w:tc>
              <w:tc>
                <w:tcPr>
                  <w:tcW w:w="789"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68"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6</w:t>
                  </w:r>
                </w:p>
              </w:tc>
              <w:tc>
                <w:tcPr>
                  <w:tcW w:w="1064"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15"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6</w:t>
                  </w:r>
                </w:p>
              </w:tc>
              <w:tc>
                <w:tcPr>
                  <w:tcW w:w="879"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816"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6</w:t>
                  </w:r>
                </w:p>
              </w:tc>
              <w:tc>
                <w:tcPr>
                  <w:tcW w:w="920"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819" w:hRule="atLeast"/>
                <w:jc w:val="center"/>
              </w:trPr>
              <w:tc>
                <w:tcPr>
                  <w:tcW w:w="832" w:type="dxa"/>
                  <w:vMerge w:val="restart"/>
                  <w:tcBorders>
                    <w:right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架空</w:t>
                  </w:r>
                </w:p>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eastAsia="zh-CN"/>
                    </w:rPr>
                    <w:t>通信线</w:t>
                  </w:r>
                </w:p>
              </w:tc>
              <w:tc>
                <w:tcPr>
                  <w:tcW w:w="1117" w:type="dxa"/>
                  <w:tcBorders>
                    <w:left w:val="single" w:color="auto" w:sz="4" w:space="0"/>
                    <w:bottom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一般</w:t>
                  </w:r>
                </w:p>
              </w:tc>
              <w:tc>
                <w:tcPr>
                  <w:tcW w:w="1256" w:type="dxa"/>
                  <w:gridSpan w:val="2"/>
                  <w:tcBorders>
                    <w:bottom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p>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0.75</w:t>
                  </w:r>
                </w:p>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倍杆高</w:t>
                  </w:r>
                </w:p>
                <w:p>
                  <w:pPr>
                    <w:pStyle w:val="134"/>
                    <w:bidi w:val="0"/>
                    <w:rPr>
                      <w:rFonts w:hint="default" w:ascii="Calibri" w:hAnsi="Calibri" w:eastAsia="Calibri" w:cs="Times New Roman"/>
                      <w:color w:val="000000"/>
                      <w:sz w:val="20"/>
                      <w:szCs w:val="18"/>
                      <w:lang w:val="en-US" w:eastAsia="zh-CN"/>
                    </w:rPr>
                  </w:pPr>
                </w:p>
              </w:tc>
              <w:tc>
                <w:tcPr>
                  <w:tcW w:w="789" w:type="dxa"/>
                  <w:tcBorders>
                    <w:bottom w:val="single" w:color="auto" w:sz="4" w:space="0"/>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68" w:type="dxa"/>
                  <w:tcBorders>
                    <w:bottom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0.75</w:t>
                  </w:r>
                </w:p>
                <w:p>
                  <w:pPr>
                    <w:pStyle w:val="134"/>
                    <w:bidi w:val="0"/>
                    <w:rPr>
                      <w:rFonts w:ascii="Calibri" w:hAnsi="Calibri" w:eastAsia="Calibri" w:cs="Times New Roman"/>
                      <w:color w:val="000000"/>
                      <w:sz w:val="20"/>
                      <w:szCs w:val="18"/>
                    </w:rPr>
                  </w:pPr>
                  <w:r>
                    <w:rPr>
                      <w:rFonts w:hint="eastAsia" w:ascii="Calibri" w:hAnsi="Calibri" w:eastAsia="Calibri" w:cs="Times New Roman"/>
                      <w:color w:val="000000"/>
                      <w:sz w:val="20"/>
                      <w:szCs w:val="18"/>
                      <w:lang w:val="en-US" w:eastAsia="zh-CN"/>
                    </w:rPr>
                    <w:t>倍杆高</w:t>
                  </w:r>
                </w:p>
              </w:tc>
              <w:tc>
                <w:tcPr>
                  <w:tcW w:w="1064" w:type="dxa"/>
                  <w:tcBorders>
                    <w:bottom w:val="single" w:color="auto" w:sz="4" w:space="0"/>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15" w:type="dxa"/>
                  <w:tcBorders>
                    <w:bottom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0.75</w:t>
                  </w:r>
                </w:p>
                <w:p>
                  <w:pPr>
                    <w:pStyle w:val="134"/>
                    <w:bidi w:val="0"/>
                    <w:rPr>
                      <w:rFonts w:ascii="Calibri" w:hAnsi="Calibri" w:eastAsia="Calibri" w:cs="Times New Roman"/>
                      <w:color w:val="000000"/>
                      <w:sz w:val="20"/>
                      <w:szCs w:val="18"/>
                    </w:rPr>
                  </w:pPr>
                  <w:r>
                    <w:rPr>
                      <w:rFonts w:hint="eastAsia" w:ascii="Calibri" w:hAnsi="Calibri" w:eastAsia="Calibri" w:cs="Times New Roman"/>
                      <w:color w:val="000000"/>
                      <w:sz w:val="20"/>
                      <w:szCs w:val="18"/>
                      <w:lang w:val="en-US" w:eastAsia="zh-CN"/>
                    </w:rPr>
                    <w:t>倍杆高</w:t>
                  </w:r>
                </w:p>
              </w:tc>
              <w:tc>
                <w:tcPr>
                  <w:tcW w:w="879" w:type="dxa"/>
                  <w:tcBorders>
                    <w:bottom w:val="single" w:color="auto" w:sz="4" w:space="0"/>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816" w:type="dxa"/>
                  <w:tcBorders>
                    <w:bottom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0.75</w:t>
                  </w:r>
                </w:p>
                <w:p>
                  <w:pPr>
                    <w:pStyle w:val="134"/>
                    <w:bidi w:val="0"/>
                    <w:rPr>
                      <w:rFonts w:ascii="Calibri" w:hAnsi="Calibri" w:eastAsia="Calibri" w:cs="Times New Roman"/>
                      <w:color w:val="000000"/>
                      <w:sz w:val="20"/>
                      <w:szCs w:val="18"/>
                    </w:rPr>
                  </w:pPr>
                  <w:r>
                    <w:rPr>
                      <w:rFonts w:hint="eastAsia" w:ascii="Calibri" w:hAnsi="Calibri" w:eastAsia="Calibri" w:cs="Times New Roman"/>
                      <w:color w:val="000000"/>
                      <w:sz w:val="20"/>
                      <w:szCs w:val="18"/>
                      <w:lang w:val="en-US" w:eastAsia="zh-CN"/>
                    </w:rPr>
                    <w:t>倍杆高</w:t>
                  </w:r>
                </w:p>
              </w:tc>
              <w:tc>
                <w:tcPr>
                  <w:tcW w:w="920" w:type="dxa"/>
                  <w:tcBorders>
                    <w:bottom w:val="single" w:color="auto" w:sz="4" w:space="0"/>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418" w:hRule="atLeast"/>
                <w:jc w:val="center"/>
              </w:trPr>
              <w:tc>
                <w:tcPr>
                  <w:tcW w:w="832" w:type="dxa"/>
                  <w:vMerge w:val="continue"/>
                  <w:tcBorders>
                    <w:right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p>
              </w:tc>
              <w:tc>
                <w:tcPr>
                  <w:tcW w:w="1117" w:type="dxa"/>
                  <w:tcBorders>
                    <w:top w:val="single" w:color="auto" w:sz="4" w:space="0"/>
                    <w:left w:val="single" w:color="auto" w:sz="4" w:space="0"/>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eastAsia="zh-CN"/>
                    </w:rPr>
                    <w:t>国家</w:t>
                  </w:r>
                  <w:r>
                    <w:rPr>
                      <w:rFonts w:hint="default" w:ascii="Times New Roman" w:hAnsi="Times New Roman" w:eastAsia="Calibri" w:cs="Times New Roman"/>
                      <w:color w:val="000000"/>
                      <w:sz w:val="20"/>
                      <w:szCs w:val="18"/>
                      <w:lang w:val="en-US" w:eastAsia="zh-CN"/>
                    </w:rPr>
                    <w:t>I</w:t>
                  </w:r>
                  <w:r>
                    <w:rPr>
                      <w:rFonts w:hint="eastAsia" w:ascii="Calibri" w:hAnsi="Calibri" w:eastAsia="Calibri" w:cs="Times New Roman"/>
                      <w:color w:val="000000"/>
                      <w:sz w:val="20"/>
                      <w:szCs w:val="18"/>
                      <w:lang w:val="en-US" w:eastAsia="zh-CN"/>
                    </w:rPr>
                    <w:t>、</w:t>
                  </w:r>
                  <w:r>
                    <w:rPr>
                      <w:rFonts w:hint="default" w:ascii="Times New Roman" w:hAnsi="Times New Roman" w:eastAsia="Calibri" w:cs="Times New Roman"/>
                      <w:color w:val="000000"/>
                      <w:sz w:val="20"/>
                      <w:szCs w:val="18"/>
                      <w:lang w:val="en-US" w:eastAsia="zh-CN"/>
                    </w:rPr>
                    <w:t>II</w:t>
                  </w:r>
                  <w:r>
                    <w:rPr>
                      <w:rFonts w:hint="eastAsia" w:ascii="Calibri" w:hAnsi="Calibri" w:eastAsia="Calibri" w:cs="Times New Roman"/>
                      <w:color w:val="000000"/>
                      <w:sz w:val="20"/>
                      <w:szCs w:val="18"/>
                      <w:lang w:val="en-US" w:eastAsia="zh-CN"/>
                    </w:rPr>
                    <w:t>级</w:t>
                  </w:r>
                </w:p>
              </w:tc>
              <w:tc>
                <w:tcPr>
                  <w:tcW w:w="1256" w:type="dxa"/>
                  <w:gridSpan w:val="2"/>
                  <w:tcBorders>
                    <w:top w:val="single" w:color="auto" w:sz="4" w:space="0"/>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1.5倍杆高</w:t>
                  </w:r>
                </w:p>
              </w:tc>
              <w:tc>
                <w:tcPr>
                  <w:tcW w:w="789" w:type="dxa"/>
                  <w:tcBorders>
                    <w:top w:val="single" w:color="auto" w:sz="4" w:space="0"/>
                    <w:tl2br w:val="nil"/>
                    <w:tr2bl w:val="nil"/>
                  </w:tcBorders>
                  <w:noWrap w:val="0"/>
                  <w:vAlign w:val="center"/>
                </w:tcPr>
                <w:p>
                  <w:pPr>
                    <w:pStyle w:val="134"/>
                    <w:bidi w:val="0"/>
                    <w:rPr>
                      <w:rFonts w:hint="eastAsia" w:ascii="Calibri" w:hAnsi="Calibri" w:cs="Times New Roman"/>
                      <w:color w:val="000000"/>
                      <w:sz w:val="20"/>
                      <w:szCs w:val="18"/>
                      <w:lang w:eastAsia="zh-CN"/>
                    </w:rPr>
                  </w:pPr>
                  <w:r>
                    <w:rPr>
                      <w:rFonts w:hint="eastAsia" w:ascii="Calibri" w:hAnsi="Calibri" w:cs="Times New Roman"/>
                      <w:color w:val="000000"/>
                      <w:sz w:val="20"/>
                      <w:szCs w:val="18"/>
                      <w:lang w:eastAsia="zh-CN"/>
                    </w:rPr>
                    <w:t>无</w:t>
                  </w:r>
                </w:p>
              </w:tc>
              <w:tc>
                <w:tcPr>
                  <w:tcW w:w="968" w:type="dxa"/>
                  <w:tcBorders>
                    <w:top w:val="single" w:color="auto" w:sz="4" w:space="0"/>
                    <w:tl2br w:val="nil"/>
                    <w:tr2bl w:val="nil"/>
                  </w:tcBorders>
                  <w:noWrap w:val="0"/>
                  <w:vAlign w:val="center"/>
                </w:tcPr>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1倍杆高</w:t>
                  </w:r>
                </w:p>
              </w:tc>
              <w:tc>
                <w:tcPr>
                  <w:tcW w:w="1064" w:type="dxa"/>
                  <w:tcBorders>
                    <w:top w:val="single" w:color="auto" w:sz="4" w:space="0"/>
                    <w:tl2br w:val="nil"/>
                    <w:tr2bl w:val="nil"/>
                  </w:tcBorders>
                  <w:noWrap w:val="0"/>
                  <w:vAlign w:val="center"/>
                </w:tcPr>
                <w:p>
                  <w:pPr>
                    <w:pStyle w:val="134"/>
                    <w:bidi w:val="0"/>
                    <w:rPr>
                      <w:rFonts w:hint="eastAsia" w:ascii="Calibri" w:hAnsi="Calibri" w:cs="Times New Roman"/>
                      <w:color w:val="000000"/>
                      <w:sz w:val="20"/>
                      <w:szCs w:val="18"/>
                      <w:lang w:eastAsia="zh-CN"/>
                    </w:rPr>
                  </w:pPr>
                  <w:r>
                    <w:rPr>
                      <w:rFonts w:hint="eastAsia" w:ascii="Calibri" w:hAnsi="Calibri" w:cs="Times New Roman"/>
                      <w:color w:val="000000"/>
                      <w:sz w:val="20"/>
                      <w:szCs w:val="18"/>
                      <w:lang w:eastAsia="zh-CN"/>
                    </w:rPr>
                    <w:t>无</w:t>
                  </w:r>
                </w:p>
              </w:tc>
              <w:tc>
                <w:tcPr>
                  <w:tcW w:w="915" w:type="dxa"/>
                  <w:tcBorders>
                    <w:top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1倍杆高</w:t>
                  </w:r>
                </w:p>
              </w:tc>
              <w:tc>
                <w:tcPr>
                  <w:tcW w:w="879" w:type="dxa"/>
                  <w:tcBorders>
                    <w:top w:val="single" w:color="auto" w:sz="4" w:space="0"/>
                    <w:tl2br w:val="nil"/>
                    <w:tr2bl w:val="nil"/>
                  </w:tcBorders>
                  <w:noWrap w:val="0"/>
                  <w:vAlign w:val="center"/>
                </w:tcPr>
                <w:p>
                  <w:pPr>
                    <w:pStyle w:val="134"/>
                    <w:bidi w:val="0"/>
                    <w:rPr>
                      <w:rFonts w:hint="eastAsia" w:ascii="Calibri" w:hAnsi="Calibri" w:cs="Times New Roman"/>
                      <w:color w:val="000000"/>
                      <w:sz w:val="20"/>
                      <w:szCs w:val="18"/>
                      <w:lang w:eastAsia="zh-CN"/>
                    </w:rPr>
                  </w:pPr>
                  <w:r>
                    <w:rPr>
                      <w:rFonts w:hint="eastAsia" w:ascii="Calibri" w:hAnsi="Calibri" w:cs="Times New Roman"/>
                      <w:color w:val="000000"/>
                      <w:sz w:val="20"/>
                      <w:szCs w:val="18"/>
                      <w:lang w:eastAsia="zh-CN"/>
                    </w:rPr>
                    <w:t>无</w:t>
                  </w:r>
                </w:p>
              </w:tc>
              <w:tc>
                <w:tcPr>
                  <w:tcW w:w="816" w:type="dxa"/>
                  <w:tcBorders>
                    <w:top w:val="single" w:color="auto" w:sz="4" w:space="0"/>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1倍杆高</w:t>
                  </w:r>
                </w:p>
              </w:tc>
              <w:tc>
                <w:tcPr>
                  <w:tcW w:w="920" w:type="dxa"/>
                  <w:tcBorders>
                    <w:top w:val="single" w:color="auto" w:sz="4" w:space="0"/>
                    <w:tl2br w:val="nil"/>
                    <w:tr2bl w:val="nil"/>
                  </w:tcBorders>
                  <w:noWrap w:val="0"/>
                  <w:vAlign w:val="center"/>
                </w:tcPr>
                <w:p>
                  <w:pPr>
                    <w:pStyle w:val="134"/>
                    <w:bidi w:val="0"/>
                    <w:rPr>
                      <w:rFonts w:hint="eastAsia" w:ascii="Calibri" w:hAnsi="Calibri" w:cs="Times New Roman"/>
                      <w:color w:val="000000"/>
                      <w:sz w:val="20"/>
                      <w:szCs w:val="18"/>
                      <w:lang w:eastAsia="zh-CN"/>
                    </w:rPr>
                  </w:pPr>
                  <w:r>
                    <w:rPr>
                      <w:rFonts w:hint="eastAsia" w:ascii="Calibri" w:hAnsi="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926" w:hRule="atLeast"/>
                <w:jc w:val="center"/>
              </w:trPr>
              <w:tc>
                <w:tcPr>
                  <w:tcW w:w="832" w:type="dxa"/>
                  <w:vMerge w:val="restart"/>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架空电力线</w:t>
                  </w:r>
                </w:p>
              </w:tc>
              <w:tc>
                <w:tcPr>
                  <w:tcW w:w="1117"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无绝缘层</w:t>
                  </w:r>
                </w:p>
              </w:tc>
              <w:tc>
                <w:tcPr>
                  <w:tcW w:w="1256" w:type="dxa"/>
                  <w:gridSpan w:val="2"/>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1.5倍</w:t>
                  </w:r>
                </w:p>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杆（塔）高</w:t>
                  </w:r>
                </w:p>
              </w:tc>
              <w:tc>
                <w:tcPr>
                  <w:tcW w:w="789"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68"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1倍杆</w:t>
                  </w:r>
                </w:p>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（塔高</w:t>
                  </w:r>
                </w:p>
              </w:tc>
              <w:tc>
                <w:tcPr>
                  <w:tcW w:w="1064"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c>
                <w:tcPr>
                  <w:tcW w:w="915"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1倍杆</w:t>
                  </w:r>
                </w:p>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（塔）高</w:t>
                  </w:r>
                </w:p>
              </w:tc>
              <w:tc>
                <w:tcPr>
                  <w:tcW w:w="879" w:type="dxa"/>
                  <w:tcBorders>
                    <w:tl2br w:val="nil"/>
                    <w:tr2bl w:val="nil"/>
                  </w:tcBorders>
                  <w:noWrap w:val="0"/>
                  <w:vAlign w:val="center"/>
                </w:tcPr>
                <w:p>
                  <w:pPr>
                    <w:pStyle w:val="134"/>
                    <w:bidi w:val="0"/>
                    <w:rPr>
                      <w:rFonts w:hint="default" w:ascii="Calibri" w:hAnsi="Calibri" w:eastAsia="宋体" w:cs="Times New Roman"/>
                      <w:color w:val="000000"/>
                      <w:sz w:val="20"/>
                      <w:szCs w:val="18"/>
                      <w:lang w:val="en-US" w:eastAsia="zh-CN"/>
                    </w:rPr>
                  </w:pPr>
                  <w:r>
                    <w:rPr>
                      <w:rFonts w:hint="eastAsia" w:ascii="Calibri" w:hAnsi="Calibri" w:cs="Times New Roman"/>
                      <w:color w:val="000000"/>
                      <w:sz w:val="20"/>
                      <w:szCs w:val="18"/>
                      <w:lang w:eastAsia="zh-CN"/>
                    </w:rPr>
                    <w:t>无</w:t>
                  </w:r>
                  <w:r>
                    <w:rPr>
                      <w:rFonts w:hint="eastAsia" w:ascii="Calibri" w:hAnsi="Calibri" w:cs="Times New Roman"/>
                      <w:color w:val="000000"/>
                      <w:sz w:val="20"/>
                      <w:szCs w:val="18"/>
                      <w:lang w:val="en-US" w:eastAsia="zh-CN"/>
                    </w:rPr>
                    <w:t xml:space="preserve"> </w:t>
                  </w:r>
                </w:p>
              </w:tc>
              <w:tc>
                <w:tcPr>
                  <w:tcW w:w="816"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1倍杆</w:t>
                  </w:r>
                </w:p>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（塔）高</w:t>
                  </w:r>
                </w:p>
              </w:tc>
              <w:tc>
                <w:tcPr>
                  <w:tcW w:w="920"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cs="Times New Roman"/>
                      <w:color w:val="000000"/>
                      <w:sz w:val="20"/>
                      <w:szCs w:val="18"/>
                      <w:lang w:eastAsia="zh-CN"/>
                    </w:rPr>
                    <w:t>无</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931" w:hRule="atLeast"/>
                <w:jc w:val="center"/>
              </w:trPr>
              <w:tc>
                <w:tcPr>
                  <w:tcW w:w="832" w:type="dxa"/>
                  <w:vMerge w:val="continue"/>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p>
              </w:tc>
              <w:tc>
                <w:tcPr>
                  <w:tcW w:w="1117" w:type="dxa"/>
                  <w:tcBorders>
                    <w:tl2br w:val="nil"/>
                    <w:tr2bl w:val="nil"/>
                  </w:tcBorders>
                  <w:noWrap w:val="0"/>
                  <w:vAlign w:val="center"/>
                </w:tcPr>
                <w:p>
                  <w:pPr>
                    <w:pStyle w:val="134"/>
                    <w:bidi w:val="0"/>
                    <w:rPr>
                      <w:rFonts w:hint="eastAsia" w:ascii="Calibri" w:hAnsi="Calibri" w:eastAsia="Calibri" w:cs="Times New Roman"/>
                      <w:color w:val="000000"/>
                      <w:sz w:val="20"/>
                      <w:szCs w:val="18"/>
                      <w:lang w:eastAsia="zh-CN"/>
                    </w:rPr>
                  </w:pPr>
                  <w:r>
                    <w:rPr>
                      <w:rFonts w:hint="eastAsia" w:ascii="Calibri" w:hAnsi="Calibri" w:eastAsia="Calibri" w:cs="Times New Roman"/>
                      <w:color w:val="000000"/>
                      <w:sz w:val="20"/>
                      <w:szCs w:val="18"/>
                      <w:lang w:eastAsia="zh-CN"/>
                    </w:rPr>
                    <w:t>有绝缘层</w:t>
                  </w:r>
                </w:p>
              </w:tc>
              <w:tc>
                <w:tcPr>
                  <w:tcW w:w="1091"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1倍杆</w:t>
                  </w:r>
                </w:p>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（塔）高</w:t>
                  </w:r>
                </w:p>
              </w:tc>
              <w:tc>
                <w:tcPr>
                  <w:tcW w:w="954" w:type="dxa"/>
                  <w:gridSpan w:val="2"/>
                  <w:tcBorders>
                    <w:tl2br w:val="nil"/>
                    <w:tr2bl w:val="nil"/>
                  </w:tcBorders>
                  <w:noWrap w:val="0"/>
                  <w:vAlign w:val="center"/>
                </w:tcPr>
                <w:p>
                  <w:pPr>
                    <w:pStyle w:val="134"/>
                    <w:bidi w:val="0"/>
                    <w:rPr>
                      <w:rFonts w:hint="default" w:ascii="Calibri" w:hAnsi="Calibri" w:eastAsia="宋体" w:cs="Times New Roman"/>
                      <w:color w:val="000000"/>
                      <w:sz w:val="20"/>
                      <w:szCs w:val="18"/>
                      <w:lang w:val="en-US" w:eastAsia="zh-CN"/>
                    </w:rPr>
                  </w:pPr>
                  <w:r>
                    <w:rPr>
                      <w:rFonts w:hint="eastAsia" w:ascii="Calibri" w:hAnsi="Calibri" w:cs="Times New Roman"/>
                      <w:color w:val="000000"/>
                      <w:sz w:val="20"/>
                      <w:szCs w:val="18"/>
                      <w:lang w:eastAsia="zh-CN"/>
                    </w:rPr>
                    <w:t>距东面</w:t>
                  </w:r>
                  <w:r>
                    <w:rPr>
                      <w:rFonts w:hint="eastAsia" w:ascii="Calibri" w:hAnsi="Calibri" w:cs="Times New Roman"/>
                      <w:color w:val="000000"/>
                      <w:sz w:val="20"/>
                      <w:szCs w:val="18"/>
                      <w:lang w:val="en-US" w:eastAsia="zh-CN"/>
                    </w:rPr>
                    <w:t>0.22KV电力线桩</w:t>
                  </w:r>
                  <w:r>
                    <w:rPr>
                      <w:rFonts w:hint="eastAsia" w:ascii="Calibri" w:hAnsi="Calibri" w:cs="Times New Roman"/>
                      <w:color w:val="000000"/>
                      <w:sz w:val="20"/>
                      <w:szCs w:val="18"/>
                      <w:lang w:eastAsia="zh-CN"/>
                    </w:rPr>
                    <w:t>、西面</w:t>
                  </w:r>
                  <w:r>
                    <w:rPr>
                      <w:rFonts w:hint="eastAsia" w:ascii="Calibri" w:hAnsi="Calibri" w:cs="Times New Roman"/>
                      <w:color w:val="000000"/>
                      <w:sz w:val="20"/>
                      <w:szCs w:val="18"/>
                      <w:lang w:val="en-US" w:eastAsia="zh-CN"/>
                    </w:rPr>
                    <w:t>10KV电力线桩距离均&gt;50m</w:t>
                  </w:r>
                </w:p>
              </w:tc>
              <w:tc>
                <w:tcPr>
                  <w:tcW w:w="968"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0.75倍</w:t>
                  </w:r>
                </w:p>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杆（塔）高</w:t>
                  </w:r>
                </w:p>
              </w:tc>
              <w:tc>
                <w:tcPr>
                  <w:tcW w:w="1064"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eastAsia="宋体" w:cs="Times New Roman"/>
                      <w:color w:val="000000"/>
                      <w:sz w:val="20"/>
                      <w:szCs w:val="18"/>
                      <w:lang w:eastAsia="zh-CN"/>
                    </w:rPr>
                    <w:t>距东面</w:t>
                  </w:r>
                  <w:r>
                    <w:rPr>
                      <w:rFonts w:hint="eastAsia" w:ascii="Calibri" w:hAnsi="Calibri" w:eastAsia="宋体" w:cs="Times New Roman"/>
                      <w:color w:val="000000"/>
                      <w:sz w:val="20"/>
                      <w:szCs w:val="18"/>
                      <w:lang w:val="en-US" w:eastAsia="zh-CN"/>
                    </w:rPr>
                    <w:t>0.22KV电力线桩</w:t>
                  </w:r>
                  <w:r>
                    <w:rPr>
                      <w:rFonts w:hint="eastAsia" w:ascii="Calibri" w:hAnsi="Calibri" w:eastAsia="宋体" w:cs="Times New Roman"/>
                      <w:color w:val="000000"/>
                      <w:sz w:val="20"/>
                      <w:szCs w:val="18"/>
                      <w:lang w:eastAsia="zh-CN"/>
                    </w:rPr>
                    <w:t>、西面</w:t>
                  </w:r>
                  <w:r>
                    <w:rPr>
                      <w:rFonts w:hint="eastAsia" w:ascii="Calibri" w:hAnsi="Calibri" w:eastAsia="宋体" w:cs="Times New Roman"/>
                      <w:color w:val="000000"/>
                      <w:sz w:val="20"/>
                      <w:szCs w:val="18"/>
                      <w:lang w:val="en-US" w:eastAsia="zh-CN"/>
                    </w:rPr>
                    <w:t>10KV电力线桩</w:t>
                  </w:r>
                  <w:r>
                    <w:rPr>
                      <w:rFonts w:hint="eastAsia" w:ascii="Calibri" w:hAnsi="Calibri" w:cs="Times New Roman"/>
                      <w:color w:val="000000"/>
                      <w:sz w:val="20"/>
                      <w:szCs w:val="18"/>
                      <w:lang w:val="en-US" w:eastAsia="zh-CN"/>
                    </w:rPr>
                    <w:t>距离</w:t>
                  </w:r>
                  <w:r>
                    <w:rPr>
                      <w:rFonts w:hint="eastAsia" w:ascii="Calibri" w:hAnsi="Calibri" w:eastAsia="宋体" w:cs="Times New Roman"/>
                      <w:color w:val="000000"/>
                      <w:sz w:val="20"/>
                      <w:szCs w:val="18"/>
                      <w:lang w:val="en-US" w:eastAsia="zh-CN"/>
                    </w:rPr>
                    <w:t>均&gt;50m</w:t>
                  </w:r>
                </w:p>
              </w:tc>
              <w:tc>
                <w:tcPr>
                  <w:tcW w:w="915"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0.75倍</w:t>
                  </w:r>
                </w:p>
                <w:p>
                  <w:pPr>
                    <w:pStyle w:val="134"/>
                    <w:bidi w:val="0"/>
                    <w:rPr>
                      <w:rFonts w:hint="default"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杆（塔）高</w:t>
                  </w:r>
                </w:p>
              </w:tc>
              <w:tc>
                <w:tcPr>
                  <w:tcW w:w="879"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eastAsia="宋体" w:cs="Times New Roman"/>
                      <w:color w:val="000000"/>
                      <w:sz w:val="20"/>
                      <w:szCs w:val="18"/>
                      <w:lang w:eastAsia="zh-CN"/>
                    </w:rPr>
                    <w:t>距东面</w:t>
                  </w:r>
                  <w:r>
                    <w:rPr>
                      <w:rFonts w:hint="eastAsia" w:ascii="Calibri" w:hAnsi="Calibri" w:eastAsia="宋体" w:cs="Times New Roman"/>
                      <w:color w:val="000000"/>
                      <w:sz w:val="20"/>
                      <w:szCs w:val="18"/>
                      <w:lang w:val="en-US" w:eastAsia="zh-CN"/>
                    </w:rPr>
                    <w:t>0.22KV电力线桩</w:t>
                  </w:r>
                  <w:r>
                    <w:rPr>
                      <w:rFonts w:hint="eastAsia" w:ascii="Calibri" w:hAnsi="Calibri" w:eastAsia="宋体" w:cs="Times New Roman"/>
                      <w:color w:val="000000"/>
                      <w:sz w:val="20"/>
                      <w:szCs w:val="18"/>
                      <w:lang w:eastAsia="zh-CN"/>
                    </w:rPr>
                    <w:t>、西面</w:t>
                  </w:r>
                  <w:r>
                    <w:rPr>
                      <w:rFonts w:hint="eastAsia" w:ascii="Calibri" w:hAnsi="Calibri" w:eastAsia="宋体" w:cs="Times New Roman"/>
                      <w:color w:val="000000"/>
                      <w:sz w:val="20"/>
                      <w:szCs w:val="18"/>
                      <w:lang w:val="en-US" w:eastAsia="zh-CN"/>
                    </w:rPr>
                    <w:t>10KV电力线桩</w:t>
                  </w:r>
                  <w:r>
                    <w:rPr>
                      <w:rFonts w:hint="eastAsia" w:ascii="Calibri" w:hAnsi="Calibri" w:cs="Times New Roman"/>
                      <w:color w:val="000000"/>
                      <w:sz w:val="20"/>
                      <w:szCs w:val="18"/>
                      <w:lang w:val="en-US" w:eastAsia="zh-CN"/>
                    </w:rPr>
                    <w:t>距离</w:t>
                  </w:r>
                  <w:r>
                    <w:rPr>
                      <w:rFonts w:hint="eastAsia" w:ascii="Calibri" w:hAnsi="Calibri" w:eastAsia="宋体" w:cs="Times New Roman"/>
                      <w:color w:val="000000"/>
                      <w:sz w:val="20"/>
                      <w:szCs w:val="18"/>
                      <w:lang w:val="en-US" w:eastAsia="zh-CN"/>
                    </w:rPr>
                    <w:t>均&gt;50m</w:t>
                  </w:r>
                </w:p>
              </w:tc>
              <w:tc>
                <w:tcPr>
                  <w:tcW w:w="816" w:type="dxa"/>
                  <w:tcBorders>
                    <w:tl2br w:val="nil"/>
                    <w:tr2bl w:val="nil"/>
                  </w:tcBorders>
                  <w:noWrap w:val="0"/>
                  <w:vAlign w:val="center"/>
                </w:tcPr>
                <w:p>
                  <w:pPr>
                    <w:pStyle w:val="134"/>
                    <w:bidi w:val="0"/>
                    <w:rPr>
                      <w:rFonts w:hint="eastAsia" w:ascii="Calibri" w:hAnsi="Calibri" w:eastAsia="Calibri" w:cs="Times New Roman"/>
                      <w:color w:val="000000"/>
                      <w:sz w:val="20"/>
                      <w:szCs w:val="18"/>
                      <w:lang w:val="en-US" w:eastAsia="zh-CN"/>
                    </w:rPr>
                  </w:pPr>
                  <w:r>
                    <w:rPr>
                      <w:rFonts w:hint="eastAsia" w:ascii="Calibri" w:hAnsi="Calibri" w:eastAsia="Calibri" w:cs="Times New Roman"/>
                      <w:color w:val="000000"/>
                      <w:sz w:val="20"/>
                      <w:szCs w:val="18"/>
                      <w:lang w:val="en-US" w:eastAsia="zh-CN"/>
                    </w:rPr>
                    <w:t>0.75倍</w:t>
                  </w:r>
                </w:p>
                <w:p>
                  <w:pPr>
                    <w:pStyle w:val="134"/>
                    <w:bidi w:val="0"/>
                    <w:rPr>
                      <w:rFonts w:ascii="Calibri" w:hAnsi="Calibri" w:eastAsia="Calibri" w:cs="Times New Roman"/>
                      <w:color w:val="000000"/>
                      <w:sz w:val="20"/>
                      <w:szCs w:val="18"/>
                    </w:rPr>
                  </w:pPr>
                  <w:r>
                    <w:rPr>
                      <w:rFonts w:hint="eastAsia" w:ascii="Calibri" w:hAnsi="Calibri" w:eastAsia="Calibri" w:cs="Times New Roman"/>
                      <w:color w:val="000000"/>
                      <w:sz w:val="20"/>
                      <w:szCs w:val="18"/>
                      <w:lang w:val="en-US" w:eastAsia="zh-CN"/>
                    </w:rPr>
                    <w:t>杆（塔）高</w:t>
                  </w:r>
                </w:p>
              </w:tc>
              <w:tc>
                <w:tcPr>
                  <w:tcW w:w="920" w:type="dxa"/>
                  <w:tcBorders>
                    <w:tl2br w:val="nil"/>
                    <w:tr2bl w:val="nil"/>
                  </w:tcBorders>
                  <w:noWrap w:val="0"/>
                  <w:vAlign w:val="center"/>
                </w:tcPr>
                <w:p>
                  <w:pPr>
                    <w:pStyle w:val="134"/>
                    <w:bidi w:val="0"/>
                    <w:rPr>
                      <w:rFonts w:hint="eastAsia" w:ascii="Calibri" w:hAnsi="Calibri" w:eastAsia="宋体" w:cs="Times New Roman"/>
                      <w:color w:val="000000"/>
                      <w:sz w:val="20"/>
                      <w:szCs w:val="18"/>
                      <w:lang w:eastAsia="zh-CN"/>
                    </w:rPr>
                  </w:pPr>
                  <w:r>
                    <w:rPr>
                      <w:rFonts w:hint="eastAsia" w:ascii="Calibri" w:hAnsi="Calibri" w:eastAsia="宋体" w:cs="Times New Roman"/>
                      <w:color w:val="000000"/>
                      <w:sz w:val="20"/>
                      <w:szCs w:val="18"/>
                      <w:lang w:eastAsia="zh-CN"/>
                    </w:rPr>
                    <w:t>距东面</w:t>
                  </w:r>
                  <w:r>
                    <w:rPr>
                      <w:rFonts w:hint="eastAsia" w:ascii="Calibri" w:hAnsi="Calibri" w:eastAsia="宋体" w:cs="Times New Roman"/>
                      <w:color w:val="000000"/>
                      <w:sz w:val="20"/>
                      <w:szCs w:val="18"/>
                      <w:lang w:val="en-US" w:eastAsia="zh-CN"/>
                    </w:rPr>
                    <w:t>0.22KV电力线桩</w:t>
                  </w:r>
                  <w:r>
                    <w:rPr>
                      <w:rFonts w:hint="eastAsia" w:ascii="Calibri" w:hAnsi="Calibri" w:eastAsia="宋体" w:cs="Times New Roman"/>
                      <w:color w:val="000000"/>
                      <w:sz w:val="20"/>
                      <w:szCs w:val="18"/>
                      <w:lang w:eastAsia="zh-CN"/>
                    </w:rPr>
                    <w:t>、西面</w:t>
                  </w:r>
                  <w:r>
                    <w:rPr>
                      <w:rFonts w:hint="eastAsia" w:ascii="Calibri" w:hAnsi="Calibri" w:eastAsia="宋体" w:cs="Times New Roman"/>
                      <w:color w:val="000000"/>
                      <w:sz w:val="20"/>
                      <w:szCs w:val="18"/>
                      <w:lang w:val="en-US" w:eastAsia="zh-CN"/>
                    </w:rPr>
                    <w:t>10KV电力线桩</w:t>
                  </w:r>
                  <w:r>
                    <w:rPr>
                      <w:rFonts w:hint="eastAsia" w:ascii="Calibri" w:hAnsi="Calibri" w:cs="Times New Roman"/>
                      <w:color w:val="000000"/>
                      <w:sz w:val="20"/>
                      <w:szCs w:val="18"/>
                      <w:lang w:val="en-US" w:eastAsia="zh-CN"/>
                    </w:rPr>
                    <w:t>距离</w:t>
                  </w:r>
                  <w:r>
                    <w:rPr>
                      <w:rFonts w:hint="eastAsia" w:ascii="Calibri" w:hAnsi="Calibri" w:eastAsia="宋体" w:cs="Times New Roman"/>
                      <w:color w:val="000000"/>
                      <w:sz w:val="20"/>
                      <w:szCs w:val="18"/>
                      <w:lang w:val="en-US" w:eastAsia="zh-CN"/>
                    </w:rPr>
                    <w:t>均&gt;50m</w:t>
                  </w:r>
                </w:p>
              </w:tc>
            </w:tr>
            <w:tr>
              <w:tblPrEx>
                <w:tblBorders>
                  <w:top w:val="single" w:color="000000" w:sz="2" w:space="0"/>
                  <w:left w:val="single" w:color="auto" w:sz="4" w:space="0"/>
                  <w:bottom w:val="single" w:color="000000" w:sz="2"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72" w:hRule="atLeast"/>
                <w:jc w:val="center"/>
              </w:trPr>
              <w:tc>
                <w:tcPr>
                  <w:tcW w:w="9556" w:type="dxa"/>
                  <w:gridSpan w:val="11"/>
                  <w:tcBorders>
                    <w:tl2br w:val="nil"/>
                    <w:tr2bl w:val="nil"/>
                  </w:tcBorders>
                  <w:noWrap w:val="0"/>
                  <w:vAlign w:val="center"/>
                </w:tcPr>
                <w:p>
                  <w:pPr>
                    <w:bidi w:val="0"/>
                    <w:rPr>
                      <w:rFonts w:hint="eastAsia"/>
                      <w:color w:val="000000"/>
                      <w:lang w:eastAsia="zh-CN"/>
                    </w:rPr>
                  </w:pPr>
                  <w:r>
                    <w:rPr>
                      <w:rFonts w:hint="eastAsia"/>
                      <w:color w:val="000000"/>
                      <w:lang w:eastAsia="zh-CN"/>
                    </w:rPr>
                    <w:t>注1：民用建筑保护物类别的划分应执行《汽车加油加气站设计与施工规范》GB50156的有关规定。</w:t>
                  </w:r>
                </w:p>
                <w:p>
                  <w:pPr>
                    <w:bidi w:val="0"/>
                    <w:rPr>
                      <w:rFonts w:hint="eastAsia"/>
                      <w:color w:val="000000"/>
                      <w:lang w:eastAsia="zh-CN"/>
                    </w:rPr>
                  </w:pPr>
                  <w:r>
                    <w:rPr>
                      <w:rFonts w:hint="eastAsia"/>
                      <w:color w:val="000000"/>
                      <w:lang w:eastAsia="zh-CN"/>
                    </w:rPr>
                    <w:t>注2 :L N G加气站的橇装设备与站外建、构筑物的防火间距应按本表相应设备的防火间距确定。</w:t>
                  </w:r>
                </w:p>
                <w:p>
                  <w:pPr>
                    <w:bidi w:val="0"/>
                    <w:rPr>
                      <w:rFonts w:hint="eastAsia"/>
                      <w:color w:val="000000"/>
                      <w:lang w:eastAsia="zh-CN"/>
                    </w:rPr>
                  </w:pPr>
                  <w:r>
                    <w:rPr>
                      <w:rFonts w:hint="eastAsia"/>
                      <w:color w:val="000000"/>
                      <w:lang w:eastAsia="zh-CN"/>
                    </w:rPr>
                    <w:t>注3 :地下和半地下L N G储罐与站外建、构筑物的防火间距可按本表减少</w:t>
                  </w:r>
                  <w:r>
                    <w:rPr>
                      <w:rFonts w:hint="default"/>
                      <w:color w:val="000000"/>
                      <w:lang w:eastAsia="zh-CN"/>
                    </w:rPr>
                    <w:t>30%</w:t>
                  </w:r>
                  <w:r>
                    <w:rPr>
                      <w:rFonts w:hint="eastAsia"/>
                      <w:color w:val="000000"/>
                      <w:lang w:eastAsia="zh-CN"/>
                    </w:rPr>
                    <w:t>和</w:t>
                  </w:r>
                  <w:r>
                    <w:rPr>
                      <w:rFonts w:hint="default"/>
                      <w:color w:val="000000"/>
                      <w:lang w:eastAsia="zh-CN"/>
                    </w:rPr>
                    <w:t>20%</w:t>
                  </w:r>
                  <w:r>
                    <w:rPr>
                      <w:rFonts w:hint="eastAsia"/>
                      <w:color w:val="000000"/>
                      <w:lang w:eastAsia="zh-CN"/>
                    </w:rPr>
                    <w:t>。</w:t>
                  </w:r>
                </w:p>
                <w:p>
                  <w:pPr>
                    <w:bidi w:val="0"/>
                    <w:rPr>
                      <w:rFonts w:hint="eastAsia"/>
                      <w:color w:val="000000"/>
                      <w:lang w:eastAsia="zh-CN"/>
                    </w:rPr>
                  </w:pPr>
                  <w:r>
                    <w:rPr>
                      <w:rFonts w:hint="eastAsia"/>
                      <w:color w:val="000000"/>
                      <w:lang w:eastAsia="zh-CN"/>
                    </w:rPr>
                    <w:t>注4 :L N G储罐、放散管管口、L N G卸车口与站外建筑面积不超过200m2的独立民用建筑物（非明火），其防火间距可按本表的三类保护物减少</w:t>
                  </w:r>
                  <w:r>
                    <w:rPr>
                      <w:rFonts w:hint="eastAsia"/>
                      <w:color w:val="000000"/>
                      <w:lang w:val="en-US" w:eastAsia="zh-CN"/>
                    </w:rPr>
                    <w:t>2</w:t>
                  </w:r>
                  <w:r>
                    <w:rPr>
                      <w:rFonts w:hint="eastAsia"/>
                      <w:color w:val="000000"/>
                      <w:lang w:eastAsia="zh-CN"/>
                    </w:rPr>
                    <w:t>0%。</w:t>
                  </w:r>
                </w:p>
                <w:p>
                  <w:pPr>
                    <w:bidi w:val="0"/>
                    <w:rPr>
                      <w:rFonts w:hint="eastAsia"/>
                      <w:color w:val="000000"/>
                      <w:lang w:eastAsia="zh-CN"/>
                    </w:rPr>
                  </w:pPr>
                  <w:r>
                    <w:rPr>
                      <w:rFonts w:hint="eastAsia"/>
                      <w:color w:val="000000"/>
                      <w:lang w:eastAsia="zh-CN"/>
                    </w:rPr>
                    <w:t>注5 :民用建筑物面向加气站一侧的墙为一、二级耐火等级的无门窗洞口实体墙，则储罐、加气机和放散管与该民用建筑物的防火间距可按本表规定的距离减少20%。</w:t>
                  </w:r>
                </w:p>
                <w:p>
                  <w:pPr>
                    <w:bidi w:val="0"/>
                    <w:rPr>
                      <w:rFonts w:hint="eastAsia"/>
                      <w:color w:val="000000"/>
                      <w:lang w:eastAsia="zh-CN"/>
                    </w:rPr>
                  </w:pPr>
                  <w:r>
                    <w:rPr>
                      <w:rFonts w:hint="eastAsia"/>
                      <w:color w:val="000000"/>
                      <w:lang w:eastAsia="zh-CN"/>
                    </w:rPr>
                    <w:t>注6 :对国家有特殊规定的铁路线、公路线，应按照相关规定执行。</w:t>
                  </w:r>
                </w:p>
              </w:tc>
            </w:tr>
          </w:tbl>
          <w:p>
            <w:pPr>
              <w:pStyle w:val="97"/>
              <w:bidi w:val="0"/>
              <w:rPr>
                <w:color w:val="000000"/>
              </w:rPr>
            </w:pPr>
            <w:r>
              <w:rPr>
                <w:rFonts w:hint="eastAsia"/>
                <w:color w:val="000000"/>
                <w:lang w:val="en-US" w:eastAsia="zh-CN"/>
              </w:rPr>
              <w:t>加气站与各种建筑、设施之间的安全距离，主要从 LNG 储罐、加气机、放散管管口、LNG 卸车口四个部位起算。由上表可知，本项目建（构）筑均在安全范围内，本项目选址与《液化天然气（LNG）汽车加气站技术规范》（NB/T1001-2011）中表4.3中站址选址要求相符。</w:t>
            </w:r>
          </w:p>
          <w:p>
            <w:pPr>
              <w:keepLines/>
              <w:spacing w:line="360" w:lineRule="auto"/>
              <w:ind w:firstLine="482" w:firstLineChars="200"/>
              <w:rPr>
                <w:rFonts w:eastAsiaTheme="minorEastAsia"/>
                <w:b/>
                <w:color w:val="000000"/>
                <w:sz w:val="24"/>
              </w:rPr>
            </w:pPr>
            <w:r>
              <w:rPr>
                <w:rFonts w:hint="eastAsia" w:eastAsiaTheme="minorEastAsia"/>
                <w:b/>
                <w:color w:val="000000"/>
                <w:sz w:val="24"/>
                <w:lang w:eastAsia="zh-CN"/>
              </w:rPr>
              <w:t>（</w:t>
            </w:r>
            <w:r>
              <w:rPr>
                <w:rFonts w:eastAsiaTheme="minorEastAsia"/>
                <w:b/>
                <w:color w:val="000000"/>
                <w:sz w:val="24"/>
              </w:rPr>
              <w:t>3</w:t>
            </w:r>
            <w:r>
              <w:rPr>
                <w:rFonts w:hint="eastAsia" w:eastAsiaTheme="minorEastAsia"/>
                <w:b/>
                <w:color w:val="000000"/>
                <w:sz w:val="24"/>
                <w:lang w:eastAsia="zh-CN"/>
              </w:rPr>
              <w:t>）</w:t>
            </w:r>
            <w:r>
              <w:rPr>
                <w:rFonts w:hint="eastAsia" w:eastAsiaTheme="minorEastAsia"/>
                <w:b/>
                <w:color w:val="000000"/>
                <w:sz w:val="24"/>
              </w:rPr>
              <w:t>外环境相容性分析</w:t>
            </w:r>
          </w:p>
          <w:p>
            <w:pPr>
              <w:pStyle w:val="97"/>
              <w:bidi w:val="0"/>
              <w:rPr>
                <w:rFonts w:hint="eastAsia"/>
                <w:color w:val="000000"/>
                <w:lang w:val="en-US" w:eastAsia="zh-CN"/>
              </w:rPr>
            </w:pPr>
            <w:r>
              <w:rPr>
                <w:rFonts w:hint="eastAsia"/>
                <w:color w:val="000000"/>
                <w:lang w:val="en-US" w:eastAsia="zh-CN"/>
              </w:rPr>
              <w:t>本项目位于乐山市峨边彝族自治县新场乡长虹村，评价区域内无文物古迹、自然保护区、风景名胜区、饮用水源保护区等敏感点。环评要求，今后项目周边所规划建设的建筑物应严格按照《汽车加油加气站设计与施工规范》要求，与本项目站内设施保持足够的安全距离。因此，本项目不存在明显的环境制约因素；且项目设置有相应的环保设施对各类污染物进行合理收集和处置。</w:t>
            </w:r>
          </w:p>
          <w:p>
            <w:pPr>
              <w:pStyle w:val="97"/>
              <w:bidi w:val="0"/>
              <w:rPr>
                <w:rFonts w:hint="eastAsia"/>
                <w:b/>
                <w:bCs/>
                <w:color w:val="000000"/>
                <w:lang w:val="en-US" w:eastAsia="zh-CN"/>
              </w:rPr>
            </w:pPr>
            <w:r>
              <w:rPr>
                <w:rFonts w:hint="eastAsia"/>
                <w:b/>
                <w:bCs/>
                <w:color w:val="000000"/>
                <w:lang w:val="en-US" w:eastAsia="zh-CN"/>
              </w:rPr>
              <w:t>综上所述，项目周围不存在明显的环境制约因素，项目与周边环境相容。从环保角度分析，项目选址合理可行。</w:t>
            </w:r>
          </w:p>
          <w:p>
            <w:pPr>
              <w:bidi w:val="0"/>
              <w:rPr>
                <w:rFonts w:hint="eastAsia"/>
                <w:color w:val="000000"/>
                <w:lang w:val="en-US" w:eastAsia="zh-CN"/>
              </w:rPr>
            </w:pPr>
            <w:r>
              <w:rPr>
                <w:rFonts w:hint="eastAsia" w:asciiTheme="minorEastAsia" w:hAnsiTheme="minorEastAsia" w:eastAsiaTheme="minorEastAsia" w:cstheme="minorEastAsia"/>
                <w:b/>
                <w:bCs/>
                <w:color w:val="000000"/>
                <w:sz w:val="28"/>
                <w:szCs w:val="36"/>
                <w:lang w:val="en-US" w:eastAsia="zh-CN"/>
              </w:rPr>
              <w:t>五、平面布局合理性分析</w:t>
            </w:r>
          </w:p>
          <w:p>
            <w:pPr>
              <w:pStyle w:val="97"/>
              <w:bidi w:val="0"/>
              <w:rPr>
                <w:rFonts w:hint="eastAsia"/>
                <w:color w:val="000000"/>
                <w:lang w:val="en-US" w:eastAsia="zh-CN"/>
              </w:rPr>
            </w:pPr>
            <w:r>
              <w:rPr>
                <w:rFonts w:hint="eastAsia"/>
                <w:color w:val="000000"/>
                <w:lang w:val="en-US" w:eastAsia="zh-CN"/>
              </w:rPr>
              <w:t>根据《液化天然气(LNG)汽车加气站技术规范》(NB/T1001-2011) 中5“站内平面布置”要求，本项目平面布置合理性分析见下表：</w:t>
            </w:r>
          </w:p>
          <w:p>
            <w:pPr>
              <w:pStyle w:val="195"/>
              <w:bidi w:val="0"/>
              <w:rPr>
                <w:rFonts w:hint="eastAsia"/>
                <w:color w:val="000000"/>
                <w:lang w:val="en-US" w:eastAsia="zh-CN"/>
              </w:rPr>
            </w:pPr>
            <w:r>
              <w:rPr>
                <w:rFonts w:hint="eastAsia"/>
                <w:color w:val="000000"/>
                <w:lang w:val="en-US" w:eastAsia="zh-CN"/>
              </w:rPr>
              <w:t>表 1-3 加气站平面布置原则</w:t>
            </w:r>
          </w:p>
          <w:tbl>
            <w:tblPr>
              <w:tblStyle w:val="29"/>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6"/>
              <w:gridCol w:w="4335"/>
              <w:gridCol w:w="3167"/>
              <w:gridCol w:w="10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521" w:type="pct"/>
                  <w:tcBorders>
                    <w:top w:val="single" w:color="000000" w:sz="12" w:space="0"/>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类别</w:t>
                  </w:r>
                </w:p>
              </w:tc>
              <w:tc>
                <w:tcPr>
                  <w:tcW w:w="2268" w:type="pct"/>
                  <w:tcBorders>
                    <w:top w:val="single" w:color="000000" w:sz="12" w:space="0"/>
                    <w:left w:val="single" w:color="000000" w:sz="4" w:space="0"/>
                    <w:bottom w:val="single" w:color="000000"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rPr>
                    <w:t>规范要求</w:t>
                  </w:r>
                </w:p>
              </w:tc>
              <w:tc>
                <w:tcPr>
                  <w:tcW w:w="1657" w:type="pct"/>
                  <w:tcBorders>
                    <w:top w:val="single" w:color="000000" w:sz="12" w:space="0"/>
                    <w:left w:val="single" w:color="000000" w:sz="4" w:space="0"/>
                    <w:bottom w:val="single" w:color="000000"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rPr>
                    <w:t>本项目</w:t>
                  </w:r>
                </w:p>
              </w:tc>
              <w:tc>
                <w:tcPr>
                  <w:tcW w:w="553" w:type="pct"/>
                  <w:tcBorders>
                    <w:top w:val="single" w:color="000000" w:sz="12" w:space="0"/>
                    <w:left w:val="single" w:color="000000" w:sz="4" w:space="0"/>
                    <w:bottom w:val="single" w:color="000000" w:sz="4" w:space="0"/>
                    <w:right w:val="nil"/>
                    <w:tl2br w:val="nil"/>
                    <w:tr2bl w:val="nil"/>
                  </w:tcBorders>
                  <w:noWrap w:val="0"/>
                  <w:vAlign w:val="center"/>
                </w:tcPr>
                <w:p>
                  <w:pPr>
                    <w:pStyle w:val="161"/>
                    <w:bidi w:val="0"/>
                    <w:jc w:val="center"/>
                    <w:rPr>
                      <w:rFonts w:hint="eastAsia"/>
                      <w:color w:val="000000"/>
                    </w:rPr>
                  </w:pPr>
                  <w:r>
                    <w:rPr>
                      <w:rFonts w:hint="eastAsia"/>
                      <w:color w:val="00000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521" w:type="pct"/>
                  <w:vMerge w:val="restart"/>
                  <w:tcBorders>
                    <w:top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val="en-US" w:eastAsia="zh-CN"/>
                    </w:rPr>
                    <w:t>5.1</w:t>
                  </w:r>
                  <w:r>
                    <w:rPr>
                      <w:rFonts w:hint="eastAsia" w:eastAsia="宋体"/>
                      <w:color w:val="000000"/>
                      <w:lang w:eastAsia="zh-CN"/>
                    </w:rPr>
                    <w:t>围墙</w:t>
                  </w:r>
                </w:p>
              </w:tc>
              <w:tc>
                <w:tcPr>
                  <w:tcW w:w="2268"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站内工艺设施与站外建、构筑物之间的距离小于或等于</w:t>
                  </w:r>
                  <w:r>
                    <w:rPr>
                      <w:rFonts w:hint="eastAsia" w:eastAsia="宋体"/>
                      <w:color w:val="000000"/>
                      <w:lang w:val="en-US" w:eastAsia="zh-CN"/>
                    </w:rPr>
                    <w:t>25m时，相邻一侧应设置高度不低于2.2m的非燃烧实体围墙</w:t>
                  </w:r>
                </w:p>
              </w:tc>
              <w:tc>
                <w:tcPr>
                  <w:tcW w:w="1657"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eastAsia="宋体"/>
                      <w:color w:val="000000"/>
                      <w:lang w:val="en-US" w:eastAsia="zh-CN"/>
                    </w:rPr>
                  </w:pPr>
                  <w:r>
                    <w:rPr>
                      <w:rFonts w:hint="eastAsia" w:eastAsia="宋体"/>
                      <w:color w:val="000000"/>
                      <w:lang w:val="en-US" w:eastAsia="zh-CN"/>
                    </w:rPr>
                    <w:t>除临站外道路一侧，其余三侧围墙均为2.2m的非燃烧实体围墙</w:t>
                  </w:r>
                </w:p>
              </w:tc>
              <w:tc>
                <w:tcPr>
                  <w:tcW w:w="553" w:type="pct"/>
                  <w:tcBorders>
                    <w:top w:val="single" w:color="000000" w:sz="4" w:space="0"/>
                    <w:left w:val="single" w:color="000000" w:sz="4" w:space="0"/>
                    <w:bottom w:val="single" w:color="auto" w:sz="4" w:space="0"/>
                    <w:right w:val="nil"/>
                    <w:tl2br w:val="nil"/>
                    <w:tr2bl w:val="nil"/>
                  </w:tcBorders>
                  <w:noWrap w:val="0"/>
                  <w:vAlign w:val="center"/>
                </w:tcPr>
                <w:p>
                  <w:pPr>
                    <w:pStyle w:val="161"/>
                    <w:bidi w:val="0"/>
                    <w:jc w:val="center"/>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站内工艺设施与站外建、构筑物之间的距离大于</w:t>
                  </w:r>
                  <w:r>
                    <w:rPr>
                      <w:rFonts w:hint="eastAsia" w:eastAsia="宋体"/>
                      <w:color w:val="000000"/>
                      <w:lang w:val="en-US" w:eastAsia="zh-CN"/>
                    </w:rPr>
                    <w:t>25m时，且满足表4.3中防火间距的1.5倍时，相邻一侧可为非实体围墙。</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eastAsia="zh-CN"/>
                    </w:rPr>
                    <w:t>本项目站内工艺设施与站外建、构筑物之间的距离大于</w:t>
                  </w:r>
                  <w:r>
                    <w:rPr>
                      <w:rFonts w:hint="eastAsia"/>
                      <w:color w:val="000000"/>
                      <w:lang w:val="en-US" w:eastAsia="zh-CN"/>
                    </w:rPr>
                    <w:t>25m时，且满足本文表1-2中防火间距的1.5倍</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面向加气站进出口道路的一侧宜设置非实体围墙或开敞</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eastAsia="zh-CN"/>
                    </w:rPr>
                    <w:t>本项目面向加气站进出口道路的一侧为开敞设置</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521" w:type="pct"/>
                  <w:vMerge w:val="restart"/>
                  <w:tcBorders>
                    <w:top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val="en-US" w:eastAsia="zh-CN"/>
                    </w:rPr>
                    <w:t>5.2</w:t>
                  </w:r>
                  <w:r>
                    <w:rPr>
                      <w:rFonts w:hint="eastAsia" w:eastAsia="宋体"/>
                      <w:color w:val="000000"/>
                      <w:lang w:eastAsia="zh-CN"/>
                    </w:rPr>
                    <w:t>道路</w:t>
                  </w:r>
                </w:p>
              </w:tc>
              <w:tc>
                <w:tcPr>
                  <w:tcW w:w="2268"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车辆入口和出口应分设置</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eastAsia="zh-CN"/>
                    </w:rPr>
                    <w:t>本项目车辆入口和出口为分设置</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val="en-US" w:eastAsia="zh-CN"/>
                    </w:rPr>
                    <w:t>LNG槽车单车道不应小于4.5m，其他车道宽度不应小于4m，双车道宽度不应小于7m</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val="en-US" w:eastAsia="zh-CN"/>
                    </w:rPr>
                    <w:t>本项目LNG槽车单车道＞4.5m，其他车道宽度均≥5m</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道路转弯半径应按行驶车型确定，且不宜小于</w:t>
                  </w:r>
                  <w:r>
                    <w:rPr>
                      <w:rFonts w:hint="eastAsia" w:eastAsia="宋体"/>
                      <w:color w:val="000000"/>
                      <w:lang w:val="en-US" w:eastAsia="zh-CN"/>
                    </w:rPr>
                    <w:t>9m，站内停车位应为平坡，道路坡度不应大于6%，且宜坡向站外</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eastAsia="zh-CN"/>
                    </w:rPr>
                    <w:t>本项目设计道路转弯半径为</w:t>
                  </w:r>
                  <w:r>
                    <w:rPr>
                      <w:rFonts w:hint="eastAsia"/>
                      <w:color w:val="000000"/>
                      <w:lang w:val="en-US" w:eastAsia="zh-CN"/>
                    </w:rPr>
                    <w:t>12m＞9m，站内停车位为平坡设计，道路坡度＜6%，且坡向站外设计</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站内道路不应采用沥青路面</w:t>
                  </w:r>
                </w:p>
              </w:tc>
              <w:tc>
                <w:tcPr>
                  <w:tcW w:w="1657" w:type="pct"/>
                  <w:tcBorders>
                    <w:top w:val="single" w:color="auto" w:sz="4" w:space="0"/>
                    <w:left w:val="single" w:color="000000" w:sz="4" w:space="0"/>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项目</w:t>
                  </w:r>
                  <w:r>
                    <w:rPr>
                      <w:rFonts w:hint="eastAsia"/>
                      <w:color w:val="000000"/>
                    </w:rPr>
                    <w:t>站内道路及车行场地均为混凝土硬化地面</w:t>
                  </w:r>
                  <w:r>
                    <w:rPr>
                      <w:rFonts w:hint="eastAsia" w:eastAsia="宋体"/>
                      <w:color w:val="000000"/>
                      <w:lang w:eastAsia="zh-CN"/>
                    </w:rPr>
                    <w:t>，非沥青路面</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521" w:type="pct"/>
                  <w:vMerge w:val="restart"/>
                  <w:tcBorders>
                    <w:top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val="en-US" w:eastAsia="zh-CN"/>
                    </w:rPr>
                    <w:t>5.3</w:t>
                  </w:r>
                  <w:r>
                    <w:rPr>
                      <w:rFonts w:hint="eastAsia" w:eastAsia="宋体"/>
                      <w:color w:val="000000"/>
                      <w:lang w:eastAsia="zh-CN"/>
                    </w:rPr>
                    <w:t>防护堤</w:t>
                  </w:r>
                </w:p>
              </w:tc>
              <w:tc>
                <w:tcPr>
                  <w:tcW w:w="2268"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val="en-US" w:eastAsia="zh-CN"/>
                    </w:rPr>
                    <w:t>LNG储罐四周应设置防护堤，防护堤的设置应符合下列规定：a）应采用非燃烧实体材料；b）防护堤内的有效容量不应小于单个最大LNG储罐的容量；c）防护堤高于堤内地面不宜小于0.6m</w:t>
                  </w:r>
                </w:p>
              </w:tc>
              <w:tc>
                <w:tcPr>
                  <w:tcW w:w="1657"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val="en-US" w:eastAsia="zh-CN"/>
                    </w:rPr>
                    <w:t>本项目根据《液化天然气(LNG)汽车加气站技术规范》(NB/T1001-2011)5.3要求于LNG储罐四周设置了防护堤</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521" w:type="pct"/>
                  <w:vMerge w:val="continue"/>
                  <w:tcBorders>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防护堤内</w:t>
                  </w:r>
                  <w:r>
                    <w:rPr>
                      <w:rFonts w:hint="eastAsia" w:eastAsia="宋体"/>
                      <w:color w:val="000000"/>
                      <w:lang w:val="en-US" w:eastAsia="zh-CN"/>
                    </w:rPr>
                    <w:t>LNG储罐之间的净距离不应小于相邻较大罐的1/2直径，且不应小于2m</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val="en-US" w:eastAsia="zh-CN"/>
                    </w:rPr>
                    <w:t>本项目仅设置一个60m³的LNG储罐</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val="en-US" w:eastAsia="zh-CN"/>
                    </w:rPr>
                  </w:pPr>
                  <w:r>
                    <w:rPr>
                      <w:rFonts w:hint="eastAsia" w:eastAsia="宋体"/>
                      <w:color w:val="00000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val="en-US" w:eastAsia="zh-CN"/>
                    </w:rPr>
                    <w:t>防护堤内不应设置其他可燃液体储罐、CNG高压瓶组或储气井</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ascii="Times New Roman" w:hAnsi="宋体" w:eastAsia="宋体" w:cs="Times New Roman"/>
                      <w:snapToGrid w:val="0"/>
                      <w:color w:val="000000"/>
                      <w:kern w:val="0"/>
                      <w:sz w:val="21"/>
                      <w:szCs w:val="18"/>
                      <w:lang w:val="en-US" w:eastAsia="zh-CN" w:bidi="ar-SA"/>
                    </w:rPr>
                  </w:pPr>
                  <w:r>
                    <w:rPr>
                      <w:rFonts w:hint="eastAsia" w:eastAsia="宋体"/>
                      <w:color w:val="000000"/>
                      <w:lang w:val="en-US" w:eastAsia="zh-CN"/>
                    </w:rPr>
                    <w:t>本项目防护堤内不设置其他可燃液体储罐、CNG高压瓶组或储气井</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val="en-US" w:eastAsia="zh-CN"/>
                    </w:rPr>
                  </w:pPr>
                  <w:r>
                    <w:rPr>
                      <w:rFonts w:hint="eastAsia" w:eastAsia="宋体"/>
                      <w:color w:val="000000"/>
                      <w:lang w:val="en-US" w:eastAsia="zh-CN"/>
                    </w:rPr>
                    <w:t>防护堤内宜设置排水设施，但不应直接排入市政排水管道</w:t>
                  </w:r>
                </w:p>
              </w:tc>
              <w:tc>
                <w:tcPr>
                  <w:tcW w:w="1657" w:type="pct"/>
                  <w:tcBorders>
                    <w:top w:val="single" w:color="auto" w:sz="4" w:space="0"/>
                    <w:left w:val="single" w:color="000000" w:sz="4" w:space="0"/>
                    <w:bottom w:val="single" w:color="000000" w:sz="4" w:space="0"/>
                    <w:right w:val="single" w:color="000000" w:sz="4" w:space="0"/>
                    <w:tl2br w:val="nil"/>
                    <w:tr2bl w:val="nil"/>
                  </w:tcBorders>
                  <w:noWrap w:val="0"/>
                  <w:vAlign w:val="center"/>
                </w:tcPr>
                <w:p>
                  <w:pPr>
                    <w:pStyle w:val="161"/>
                    <w:bidi w:val="0"/>
                    <w:jc w:val="center"/>
                    <w:rPr>
                      <w:rFonts w:hint="eastAsia"/>
                      <w:color w:val="000000"/>
                    </w:rPr>
                  </w:pPr>
                  <w:r>
                    <w:rPr>
                      <w:rFonts w:hint="eastAsia" w:eastAsia="宋体"/>
                      <w:color w:val="000000"/>
                      <w:lang w:eastAsia="zh-CN"/>
                    </w:rPr>
                    <w:t>项目</w:t>
                  </w:r>
                  <w:r>
                    <w:rPr>
                      <w:rFonts w:hint="eastAsia"/>
                      <w:color w:val="000000"/>
                    </w:rPr>
                    <w:t>防火堤内雨水及冲洗用水经防暴排污泵排至堤外雨水沟</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521" w:type="pct"/>
                  <w:vMerge w:val="restart"/>
                  <w:tcBorders>
                    <w:top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val="en-US" w:eastAsia="zh-CN"/>
                    </w:rPr>
                    <w:t>5.4</w:t>
                  </w:r>
                  <w:r>
                    <w:rPr>
                      <w:rFonts w:hint="eastAsia" w:eastAsia="宋体"/>
                      <w:color w:val="000000"/>
                      <w:lang w:eastAsia="zh-CN"/>
                    </w:rPr>
                    <w:t>加气岛及罩棚的设置</w:t>
                  </w:r>
                </w:p>
              </w:tc>
              <w:tc>
                <w:tcPr>
                  <w:tcW w:w="2268"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加气岛应高出加气区地坪</w:t>
                  </w:r>
                  <w:r>
                    <w:rPr>
                      <w:rFonts w:hint="eastAsia" w:eastAsia="宋体"/>
                      <w:color w:val="000000"/>
                      <w:lang w:val="en-US" w:eastAsia="zh-CN"/>
                    </w:rPr>
                    <w:t>0.15~0.20m；宽度不应小于1.2m</w:t>
                  </w:r>
                </w:p>
              </w:tc>
              <w:tc>
                <w:tcPr>
                  <w:tcW w:w="1657"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eastAsia="zh-CN"/>
                    </w:rPr>
                    <w:t>本项目加气岛高于加气区地坪</w:t>
                  </w:r>
                  <w:r>
                    <w:rPr>
                      <w:rFonts w:hint="eastAsia"/>
                      <w:color w:val="000000"/>
                      <w:lang w:val="en-US" w:eastAsia="zh-CN"/>
                    </w:rPr>
                    <w:t>0.15~0.20m；宽度＞1.2m</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8"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罩棚的设计应符合下列规定：</w:t>
                  </w:r>
                  <w:r>
                    <w:rPr>
                      <w:rFonts w:hint="eastAsia" w:eastAsia="宋体"/>
                      <w:color w:val="000000"/>
                      <w:lang w:val="en-US" w:eastAsia="zh-CN"/>
                    </w:rPr>
                    <w:t>a）加气岛宜设置非燃烧材料的罩棚，罩棚净高不小于5m；罩棚边缘与加气机的平面距离不宜小于2.0m；b）罩棚支柱距加气岛端部不应小于0.6m；c）加气区应设照明灯，照度不得小于100lx。</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本项目罩棚为型钢结构，设置高度＞</w:t>
                  </w:r>
                  <w:r>
                    <w:rPr>
                      <w:rFonts w:hint="eastAsia" w:eastAsia="宋体"/>
                      <w:color w:val="000000"/>
                      <w:lang w:val="en-US" w:eastAsia="zh-CN"/>
                    </w:rPr>
                    <w:t>5m</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 w:hRule="atLeast"/>
                <w:jc w:val="center"/>
              </w:trPr>
              <w:tc>
                <w:tcPr>
                  <w:tcW w:w="521" w:type="pct"/>
                  <w:vMerge w:val="continue"/>
                  <w:tcBorders>
                    <w:bottom w:val="single" w:color="000000"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p>
              </w:tc>
              <w:tc>
                <w:tcPr>
                  <w:tcW w:w="226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eastAsia="宋体"/>
                      <w:color w:val="000000"/>
                      <w:lang w:val="en-US" w:eastAsia="zh-CN"/>
                    </w:rPr>
                  </w:pPr>
                  <w:r>
                    <w:rPr>
                      <w:rFonts w:hint="eastAsia" w:eastAsia="宋体"/>
                      <w:color w:val="000000"/>
                      <w:lang w:eastAsia="zh-CN"/>
                    </w:rPr>
                    <w:t>加气机附近应设置防撞柱（栏），防撞柱（栏）高度不应小于</w:t>
                  </w:r>
                  <w:r>
                    <w:rPr>
                      <w:rFonts w:hint="eastAsia" w:eastAsia="宋体"/>
                      <w:color w:val="000000"/>
                      <w:lang w:val="en-US" w:eastAsia="zh-CN"/>
                    </w:rPr>
                    <w:t>0.5m</w:t>
                  </w:r>
                </w:p>
              </w:tc>
              <w:tc>
                <w:tcPr>
                  <w:tcW w:w="1657"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color w:val="000000"/>
                    </w:rPr>
                  </w:pPr>
                  <w:r>
                    <w:rPr>
                      <w:rFonts w:hint="eastAsia"/>
                      <w:color w:val="000000"/>
                      <w:lang w:eastAsia="zh-CN"/>
                    </w:rPr>
                    <w:t>本项目加气机附近设置防撞柱（栏），且高度＞</w:t>
                  </w:r>
                  <w:r>
                    <w:rPr>
                      <w:rFonts w:hint="eastAsia"/>
                      <w:color w:val="000000"/>
                      <w:lang w:val="en-US" w:eastAsia="zh-CN"/>
                    </w:rPr>
                    <w:t>0.5m</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color w:val="00000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521" w:type="pct"/>
                  <w:tcBorders>
                    <w:top w:val="single" w:color="000000" w:sz="4" w:space="0"/>
                    <w:right w:val="single" w:color="000000" w:sz="4" w:space="0"/>
                    <w:tl2br w:val="nil"/>
                    <w:tr2bl w:val="nil"/>
                  </w:tcBorders>
                  <w:noWrap w:val="0"/>
                  <w:vAlign w:val="center"/>
                </w:tcPr>
                <w:p>
                  <w:pPr>
                    <w:pStyle w:val="161"/>
                    <w:bidi w:val="0"/>
                    <w:jc w:val="center"/>
                    <w:rPr>
                      <w:rFonts w:hint="eastAsia"/>
                      <w:color w:val="000000"/>
                    </w:rPr>
                  </w:pPr>
                </w:p>
                <w:p>
                  <w:pPr>
                    <w:pStyle w:val="161"/>
                    <w:bidi w:val="0"/>
                    <w:jc w:val="center"/>
                    <w:rPr>
                      <w:rFonts w:hint="eastAsia" w:eastAsia="宋体"/>
                      <w:color w:val="000000"/>
                      <w:lang w:eastAsia="zh-CN"/>
                    </w:rPr>
                  </w:pPr>
                  <w:r>
                    <w:rPr>
                      <w:rFonts w:hint="eastAsia" w:eastAsia="宋体"/>
                      <w:color w:val="000000"/>
                      <w:lang w:val="en-US" w:eastAsia="zh-CN"/>
                    </w:rPr>
                    <w:t>5.5</w:t>
                  </w:r>
                  <w:r>
                    <w:rPr>
                      <w:rFonts w:hint="eastAsia" w:eastAsia="宋体"/>
                      <w:color w:val="000000"/>
                      <w:lang w:eastAsia="zh-CN"/>
                    </w:rPr>
                    <w:t>防火间距</w:t>
                  </w:r>
                </w:p>
              </w:tc>
              <w:tc>
                <w:tcPr>
                  <w:tcW w:w="2268"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eastAsia" w:eastAsia="宋体"/>
                      <w:color w:val="000000"/>
                      <w:lang w:eastAsia="zh-CN"/>
                    </w:rPr>
                  </w:pPr>
                  <w:r>
                    <w:rPr>
                      <w:rFonts w:hint="eastAsia" w:eastAsia="宋体"/>
                      <w:color w:val="000000"/>
                      <w:lang w:eastAsia="zh-CN"/>
                    </w:rPr>
                    <w:t>加气站的储罐、工艺装置宜露天布置，加气区应敞开布置</w:t>
                  </w:r>
                </w:p>
              </w:tc>
              <w:tc>
                <w:tcPr>
                  <w:tcW w:w="1657" w:type="pct"/>
                  <w:tcBorders>
                    <w:top w:val="single" w:color="000000" w:sz="4" w:space="0"/>
                    <w:left w:val="single" w:color="000000" w:sz="4" w:space="0"/>
                    <w:bottom w:val="single" w:color="auto" w:sz="4" w:space="0"/>
                    <w:right w:val="single" w:color="000000" w:sz="4" w:space="0"/>
                    <w:tl2br w:val="nil"/>
                    <w:tr2bl w:val="nil"/>
                  </w:tcBorders>
                  <w:noWrap w:val="0"/>
                  <w:vAlign w:val="center"/>
                </w:tcPr>
                <w:p>
                  <w:pPr>
                    <w:pStyle w:val="161"/>
                    <w:bidi w:val="0"/>
                    <w:jc w:val="center"/>
                    <w:rPr>
                      <w:rFonts w:hint="default"/>
                      <w:color w:val="000000"/>
                    </w:rPr>
                  </w:pPr>
                  <w:r>
                    <w:rPr>
                      <w:rFonts w:hint="default"/>
                      <w:color w:val="000000"/>
                      <w:lang w:eastAsia="zh-CN"/>
                    </w:rPr>
                    <w:t>加气站的储罐、工艺装置</w:t>
                  </w:r>
                  <w:r>
                    <w:rPr>
                      <w:rFonts w:hint="eastAsia"/>
                      <w:color w:val="000000"/>
                      <w:lang w:eastAsia="zh-CN"/>
                    </w:rPr>
                    <w:t>为</w:t>
                  </w:r>
                  <w:r>
                    <w:rPr>
                      <w:rFonts w:hint="default"/>
                      <w:color w:val="000000"/>
                      <w:lang w:eastAsia="zh-CN"/>
                    </w:rPr>
                    <w:t>露天布置，加气区</w:t>
                  </w:r>
                  <w:r>
                    <w:rPr>
                      <w:rFonts w:hint="eastAsia"/>
                      <w:color w:val="000000"/>
                      <w:lang w:eastAsia="zh-CN"/>
                    </w:rPr>
                    <w:t>为</w:t>
                  </w:r>
                  <w:r>
                    <w:rPr>
                      <w:rFonts w:hint="default"/>
                      <w:color w:val="000000"/>
                      <w:lang w:eastAsia="zh-CN"/>
                    </w:rPr>
                    <w:t>敞开布置</w:t>
                  </w:r>
                </w:p>
              </w:tc>
              <w:tc>
                <w:tcPr>
                  <w:tcW w:w="553" w:type="pct"/>
                  <w:tcBorders>
                    <w:top w:val="single" w:color="auto" w:sz="4" w:space="0"/>
                    <w:left w:val="single" w:color="000000" w:sz="4" w:space="0"/>
                    <w:bottom w:val="single" w:color="auto" w:sz="4" w:space="0"/>
                    <w:right w:val="nil"/>
                    <w:tl2br w:val="nil"/>
                    <w:tr2bl w:val="nil"/>
                  </w:tcBorders>
                  <w:noWrap w:val="0"/>
                  <w:vAlign w:val="center"/>
                </w:tcPr>
                <w:p>
                  <w:pPr>
                    <w:pStyle w:val="161"/>
                    <w:bidi w:val="0"/>
                    <w:jc w:val="center"/>
                    <w:rPr>
                      <w:rFonts w:hint="eastAsia"/>
                      <w:color w:val="000000"/>
                    </w:rPr>
                  </w:pPr>
                  <w:r>
                    <w:rPr>
                      <w:rFonts w:hint="eastAsia"/>
                      <w:color w:val="000000"/>
                    </w:rPr>
                    <w:t>符合</w:t>
                  </w:r>
                </w:p>
              </w:tc>
            </w:tr>
          </w:tbl>
          <w:p>
            <w:pPr>
              <w:pStyle w:val="97"/>
              <w:bidi w:val="0"/>
              <w:rPr>
                <w:rFonts w:hint="eastAsia"/>
                <w:color w:val="000000"/>
                <w:lang w:val="en-US" w:eastAsia="zh-CN"/>
              </w:rPr>
            </w:pPr>
            <w:r>
              <w:rPr>
                <w:rFonts w:hint="eastAsia"/>
                <w:color w:val="000000"/>
                <w:lang w:val="en-US" w:eastAsia="zh-CN"/>
              </w:rPr>
              <w:t>本工程位于乐山市峨边县新场乡长虹村二组，工程总共分2期建设，一期为LNG加气站，二期为预留加油站及充电站（不在本次评价分析范围内）。本工程拟设置在一矩形地块上，根据项目设计方案，工程布局分为LNG储罐工艺装置区、加气作业区、站房值班区以及二期预留加油区3座30m³卧式双层油罐和充电区设置5个充电车位。站房主要为站场工作人员生活和办公区设置在场地南侧，LNG工艺装置区设置位于站址西侧，采用地下式方式设置，紧邻储罐区设置LNG槽车卸车位及LNG集中放散管；加气岛罩棚区设置在场地中部，采用通过式方式设置，内设置3座LNG加气岛，每个岛上配备双枪加气机，站场进、出口道路宽度为25m。整个站场布置规范、整洁，满足规范及工艺要求的同时，又能形成一个良性的工作流程及环境。</w:t>
            </w:r>
          </w:p>
          <w:p>
            <w:pPr>
              <w:pStyle w:val="97"/>
              <w:bidi w:val="0"/>
              <w:rPr>
                <w:rStyle w:val="34"/>
                <w:rFonts w:hint="eastAsia"/>
                <w:color w:val="000000"/>
                <w:lang w:val="en-US" w:eastAsia="zh-CN"/>
              </w:rPr>
            </w:pPr>
            <w:r>
              <w:rPr>
                <w:rFonts w:hint="eastAsia"/>
                <w:color w:val="000000"/>
                <w:lang w:val="en-US" w:eastAsia="zh-CN"/>
              </w:rPr>
              <w:t>拟建项目东敞开设置，沿站前道路分别设置进出口，中间以绿化带分隔，北侧为进口，南侧为出口；由于本项目场地处于山区地形，原始地形坡度较陡，场地平场后存在高边坡治理，因此其余三侧需进行高边坡治理。</w:t>
            </w:r>
          </w:p>
          <w:p>
            <w:pPr>
              <w:pStyle w:val="97"/>
              <w:bidi w:val="0"/>
              <w:rPr>
                <w:rFonts w:hint="eastAsia"/>
                <w:color w:val="000000"/>
                <w:lang w:val="en-US" w:eastAsia="zh-CN"/>
              </w:rPr>
            </w:pPr>
            <w:r>
              <w:rPr>
                <w:rFonts w:hint="eastAsia"/>
                <w:color w:val="000000"/>
                <w:lang w:val="en-US" w:eastAsia="zh-CN"/>
              </w:rPr>
              <w:t>本项目根据“分区合理、工艺流畅、物流短捷”的原则，结合拟建场地的用地条件和服务流程需要，综合考虑环保、消防、绿化、劳动卫生等要求，对站区平面布置进行了统筹安排（详见项目平面布置图）。</w:t>
            </w:r>
          </w:p>
          <w:p>
            <w:pPr>
              <w:pStyle w:val="97"/>
              <w:bidi w:val="0"/>
              <w:rPr>
                <w:rFonts w:hint="eastAsia"/>
                <w:color w:val="000000"/>
              </w:rPr>
            </w:pPr>
            <w:r>
              <w:rPr>
                <w:rFonts w:hint="eastAsia"/>
                <w:color w:val="000000"/>
                <w:lang w:val="en-US" w:eastAsia="zh-CN"/>
              </w:rPr>
              <w:t>LNG加气站按火灾危险性分类属甲类场所，根据项目设计方案，总图布置时站内工艺设施与站内建(构) 筑物及其他辅助设施的防火间距参照《液化天然气(LNG)汽车加气站技术规范》(NB/T1001-2011)的相关规定执行，主体工艺装置与周围设施的防火间距设置符合规范要求。</w:t>
            </w:r>
          </w:p>
          <w:p>
            <w:pPr>
              <w:spacing w:line="360" w:lineRule="auto"/>
              <w:rPr>
                <w:rFonts w:eastAsiaTheme="minorEastAsia"/>
                <w:b/>
                <w:color w:val="000000"/>
                <w:kern w:val="0"/>
                <w:sz w:val="28"/>
                <w:szCs w:val="28"/>
              </w:rPr>
            </w:pPr>
            <w:r>
              <w:rPr>
                <w:rFonts w:hint="eastAsia" w:eastAsiaTheme="minorEastAsia"/>
                <w:b/>
                <w:color w:val="000000"/>
                <w:kern w:val="0"/>
                <w:sz w:val="28"/>
                <w:szCs w:val="28"/>
              </w:rPr>
              <w:t>六</w:t>
            </w:r>
            <w:r>
              <w:rPr>
                <w:rFonts w:eastAsiaTheme="minorEastAsia"/>
                <w:b/>
                <w:color w:val="000000"/>
                <w:kern w:val="0"/>
                <w:sz w:val="28"/>
                <w:szCs w:val="28"/>
              </w:rPr>
              <w:t>、</w:t>
            </w:r>
            <w:r>
              <w:rPr>
                <w:rFonts w:hint="eastAsia" w:eastAsiaTheme="minorEastAsia"/>
                <w:b/>
                <w:color w:val="000000"/>
                <w:kern w:val="0"/>
                <w:sz w:val="28"/>
                <w:szCs w:val="28"/>
              </w:rPr>
              <w:t>工程概况、项目位置和项目组成</w:t>
            </w:r>
          </w:p>
          <w:p>
            <w:pPr>
              <w:keepLines/>
              <w:spacing w:line="360" w:lineRule="auto"/>
              <w:ind w:firstLine="472" w:firstLineChars="196"/>
              <w:rPr>
                <w:rFonts w:eastAsiaTheme="minorEastAsia"/>
                <w:b/>
                <w:color w:val="000000"/>
                <w:kern w:val="0"/>
                <w:sz w:val="24"/>
              </w:rPr>
            </w:pPr>
            <w:r>
              <w:rPr>
                <w:rFonts w:eastAsiaTheme="minorEastAsia"/>
                <w:b/>
                <w:color w:val="000000"/>
                <w:kern w:val="0"/>
                <w:sz w:val="24"/>
              </w:rPr>
              <w:t>1、</w:t>
            </w:r>
            <w:r>
              <w:rPr>
                <w:rFonts w:hint="eastAsia" w:eastAsiaTheme="minorEastAsia"/>
                <w:b/>
                <w:color w:val="000000"/>
                <w:kern w:val="0"/>
                <w:sz w:val="24"/>
              </w:rPr>
              <w:t>工程概况</w:t>
            </w:r>
          </w:p>
          <w:p>
            <w:pPr>
              <w:keepLines/>
              <w:spacing w:line="360" w:lineRule="auto"/>
              <w:ind w:firstLine="480" w:firstLineChars="200"/>
              <w:rPr>
                <w:rFonts w:eastAsiaTheme="minorEastAsia"/>
                <w:color w:val="000000"/>
                <w:kern w:val="0"/>
                <w:sz w:val="24"/>
              </w:rPr>
            </w:pPr>
            <w:r>
              <w:rPr>
                <w:rFonts w:eastAsiaTheme="minorEastAsia"/>
                <w:color w:val="000000"/>
                <w:kern w:val="0"/>
                <w:sz w:val="24"/>
              </w:rPr>
              <w:t>项目名称：</w:t>
            </w:r>
            <w:r>
              <w:rPr>
                <w:rFonts w:hint="eastAsia" w:eastAsiaTheme="minorEastAsia"/>
                <w:color w:val="000000"/>
                <w:kern w:val="0"/>
                <w:sz w:val="24"/>
                <w:lang w:eastAsia="zh-CN"/>
              </w:rPr>
              <w:t>乐山市美凯来商贸有限公司峨边新场LNG加气站新建项目</w:t>
            </w:r>
          </w:p>
          <w:p>
            <w:pPr>
              <w:keepLines/>
              <w:spacing w:line="360" w:lineRule="auto"/>
              <w:ind w:firstLine="480" w:firstLineChars="200"/>
              <w:rPr>
                <w:rFonts w:eastAsiaTheme="minorEastAsia"/>
                <w:color w:val="000000"/>
                <w:kern w:val="0"/>
                <w:sz w:val="24"/>
              </w:rPr>
            </w:pPr>
            <w:r>
              <w:rPr>
                <w:rFonts w:eastAsiaTheme="minorEastAsia"/>
                <w:color w:val="000000"/>
                <w:kern w:val="0"/>
                <w:sz w:val="24"/>
              </w:rPr>
              <w:t>建设单位：</w:t>
            </w:r>
            <w:r>
              <w:rPr>
                <w:rFonts w:hint="eastAsia" w:eastAsiaTheme="minorEastAsia"/>
                <w:color w:val="000000"/>
                <w:kern w:val="0"/>
                <w:sz w:val="24"/>
                <w:lang w:eastAsia="zh-CN"/>
              </w:rPr>
              <w:t>乐山市美凯来商贸有限公司峨边分公司</w:t>
            </w:r>
          </w:p>
          <w:p>
            <w:pPr>
              <w:keepLines/>
              <w:spacing w:line="360" w:lineRule="auto"/>
              <w:ind w:firstLine="480" w:firstLineChars="200"/>
              <w:rPr>
                <w:rFonts w:eastAsiaTheme="minorEastAsia"/>
                <w:color w:val="000000"/>
                <w:kern w:val="0"/>
                <w:sz w:val="24"/>
              </w:rPr>
            </w:pPr>
            <w:r>
              <w:rPr>
                <w:rFonts w:eastAsiaTheme="minorEastAsia"/>
                <w:color w:val="000000"/>
                <w:kern w:val="0"/>
                <w:sz w:val="24"/>
              </w:rPr>
              <w:t>项目性质：新建</w:t>
            </w:r>
          </w:p>
          <w:p>
            <w:pPr>
              <w:pStyle w:val="12"/>
              <w:keepLines/>
              <w:spacing w:line="360" w:lineRule="auto"/>
              <w:ind w:firstLine="480" w:firstLineChars="200"/>
              <w:rPr>
                <w:rFonts w:eastAsiaTheme="minorEastAsia"/>
                <w:color w:val="000000" w:themeColor="text1"/>
                <w:kern w:val="0"/>
                <w:sz w:val="24"/>
                <w:lang w:val="en-US" w:eastAsia="zh-CN"/>
                <w14:textFill>
                  <w14:solidFill>
                    <w14:schemeClr w14:val="tx1"/>
                  </w14:solidFill>
                </w14:textFill>
              </w:rPr>
            </w:pPr>
            <w:r>
              <w:rPr>
                <w:rFonts w:eastAsiaTheme="minorEastAsia"/>
                <w:color w:val="000000" w:themeColor="text1"/>
                <w:kern w:val="0"/>
                <w:sz w:val="24"/>
                <w:lang w:val="en-US" w:eastAsia="zh-CN"/>
                <w14:textFill>
                  <w14:solidFill>
                    <w14:schemeClr w14:val="tx1"/>
                  </w14:solidFill>
                </w14:textFill>
              </w:rPr>
              <w:t>项目投资：</w:t>
            </w:r>
            <w:r>
              <w:rPr>
                <w:rFonts w:hint="eastAsia" w:eastAsiaTheme="minorEastAsia"/>
                <w:color w:val="000000" w:themeColor="text1"/>
                <w:kern w:val="0"/>
                <w:sz w:val="24"/>
                <w:lang w:val="en-US" w:eastAsia="zh-CN"/>
                <w14:textFill>
                  <w14:solidFill>
                    <w14:schemeClr w14:val="tx1"/>
                  </w14:solidFill>
                </w14:textFill>
              </w:rPr>
              <w:t>本次项目的总投资为3000元人民币，环保投资为</w:t>
            </w:r>
            <w:r>
              <w:rPr>
                <w:rFonts w:hint="eastAsia" w:eastAsiaTheme="minorEastAsia"/>
                <w:color w:val="000000"/>
                <w:kern w:val="0"/>
                <w:sz w:val="24"/>
                <w:lang w:val="en-US" w:eastAsia="zh-CN"/>
              </w:rPr>
              <w:t>70.4万元</w:t>
            </w:r>
          </w:p>
          <w:p>
            <w:pPr>
              <w:keepLines/>
              <w:spacing w:line="360" w:lineRule="auto"/>
              <w:ind w:firstLine="480" w:firstLineChars="200"/>
              <w:rPr>
                <w:rFonts w:hint="eastAsia" w:eastAsiaTheme="minorEastAsia"/>
                <w:color w:val="000000"/>
                <w:sz w:val="24"/>
              </w:rPr>
            </w:pPr>
            <w:r>
              <w:rPr>
                <w:rFonts w:eastAsiaTheme="minorEastAsia"/>
                <w:color w:val="000000"/>
                <w:kern w:val="0"/>
                <w:sz w:val="24"/>
              </w:rPr>
              <w:t>建设地点：</w:t>
            </w:r>
            <w:r>
              <w:rPr>
                <w:rFonts w:hint="eastAsia" w:eastAsiaTheme="minorEastAsia"/>
                <w:color w:val="000000"/>
                <w:sz w:val="24"/>
                <w:lang w:eastAsia="zh-CN"/>
              </w:rPr>
              <w:t>乐山市峨边县新场乡长虹村2组</w:t>
            </w:r>
            <w:r>
              <w:rPr>
                <w:rFonts w:hint="eastAsia" w:eastAsiaTheme="minorEastAsia"/>
                <w:color w:val="000000"/>
                <w:sz w:val="24"/>
              </w:rPr>
              <w:t>（29.271802</w:t>
            </w:r>
            <w:r>
              <w:rPr>
                <w:rFonts w:hint="eastAsia" w:eastAsiaTheme="minorEastAsia"/>
                <w:color w:val="000000"/>
                <w:sz w:val="24"/>
                <w:lang w:val="en-US" w:eastAsia="zh-CN"/>
              </w:rPr>
              <w:t>°</w:t>
            </w:r>
            <w:r>
              <w:rPr>
                <w:rFonts w:hint="eastAsia" w:eastAsiaTheme="minorEastAsia"/>
                <w:color w:val="000000"/>
                <w:sz w:val="24"/>
              </w:rPr>
              <w:t>N</w:t>
            </w:r>
            <w:r>
              <w:rPr>
                <w:rFonts w:hint="eastAsia" w:eastAsiaTheme="minorEastAsia"/>
                <w:color w:val="000000"/>
                <w:sz w:val="24"/>
                <w:lang w:eastAsia="zh-CN"/>
              </w:rPr>
              <w:t>；</w:t>
            </w:r>
            <w:r>
              <w:rPr>
                <w:rFonts w:hint="eastAsia" w:eastAsiaTheme="minorEastAsia"/>
                <w:color w:val="000000"/>
                <w:sz w:val="24"/>
              </w:rPr>
              <w:t>103.275041°E）</w:t>
            </w:r>
          </w:p>
          <w:p>
            <w:pPr>
              <w:keepLines/>
              <w:spacing w:line="360" w:lineRule="auto"/>
              <w:ind w:firstLine="480" w:firstLineChars="200"/>
              <w:rPr>
                <w:rFonts w:eastAsiaTheme="minorEastAsia"/>
                <w:color w:val="FF0000"/>
                <w:kern w:val="0"/>
                <w:sz w:val="24"/>
              </w:rPr>
            </w:pPr>
            <w:r>
              <w:rPr>
                <w:rFonts w:hint="eastAsia" w:eastAsiaTheme="minorEastAsia"/>
                <w:color w:val="000000"/>
                <w:kern w:val="0"/>
                <w:sz w:val="24"/>
              </w:rPr>
              <w:t>生产规模：</w:t>
            </w:r>
            <w:r>
              <w:rPr>
                <w:rFonts w:hint="eastAsia" w:eastAsiaTheme="minorEastAsia"/>
                <w:color w:val="000000" w:themeColor="text1"/>
                <w:kern w:val="0"/>
                <w:sz w:val="24"/>
                <w:lang w:val="en-US" w:eastAsia="zh-CN"/>
                <w14:textFill>
                  <w14:solidFill>
                    <w14:schemeClr w14:val="tx1"/>
                  </w14:solidFill>
                </w14:textFill>
              </w:rPr>
              <w:t>15</w:t>
            </w:r>
            <w:r>
              <w:rPr>
                <w:rFonts w:hint="eastAsia" w:eastAsiaTheme="minorEastAsia"/>
                <w:color w:val="000000" w:themeColor="text1"/>
                <w:kern w:val="0"/>
                <w:sz w:val="24"/>
                <w14:textFill>
                  <w14:solidFill>
                    <w14:schemeClr w14:val="tx1"/>
                  </w14:solidFill>
                </w14:textFill>
              </w:rPr>
              <w:t>×10</w:t>
            </w:r>
            <w:r>
              <w:rPr>
                <w:rFonts w:hint="eastAsia" w:eastAsiaTheme="minorEastAsia"/>
                <w:color w:val="000000" w:themeColor="text1"/>
                <w:kern w:val="0"/>
                <w:sz w:val="24"/>
                <w:vertAlign w:val="superscript"/>
                <w14:textFill>
                  <w14:solidFill>
                    <w14:schemeClr w14:val="tx1"/>
                  </w14:solidFill>
                </w14:textFill>
              </w:rPr>
              <w:t>4</w:t>
            </w:r>
            <w:r>
              <w:rPr>
                <w:rFonts w:hint="eastAsia" w:eastAsiaTheme="minorEastAsia"/>
                <w:color w:val="000000" w:themeColor="text1"/>
                <w:kern w:val="0"/>
                <w:sz w:val="24"/>
                <w14:textFill>
                  <w14:solidFill>
                    <w14:schemeClr w14:val="tx1"/>
                  </w14:solidFill>
                </w14:textFill>
              </w:rPr>
              <w:t>Nm</w:t>
            </w:r>
            <w:r>
              <w:rPr>
                <w:rFonts w:hint="eastAsia" w:eastAsiaTheme="minorEastAsia"/>
                <w:color w:val="000000" w:themeColor="text1"/>
                <w:kern w:val="0"/>
                <w:sz w:val="24"/>
                <w:vertAlign w:val="superscript"/>
                <w14:textFill>
                  <w14:solidFill>
                    <w14:schemeClr w14:val="tx1"/>
                  </w14:solidFill>
                </w14:textFill>
              </w:rPr>
              <w:t>3</w:t>
            </w:r>
            <w:r>
              <w:rPr>
                <w:rFonts w:hint="eastAsia" w:eastAsiaTheme="minorEastAsia"/>
                <w:color w:val="000000" w:themeColor="text1"/>
                <w:kern w:val="0"/>
                <w:sz w:val="24"/>
                <w14:textFill>
                  <w14:solidFill>
                    <w14:schemeClr w14:val="tx1"/>
                  </w14:solidFill>
                </w14:textFill>
              </w:rPr>
              <w:t>/d；</w:t>
            </w:r>
          </w:p>
          <w:p>
            <w:pPr>
              <w:keepLines/>
              <w:spacing w:line="360" w:lineRule="auto"/>
              <w:ind w:firstLine="472" w:firstLineChars="196"/>
              <w:rPr>
                <w:rFonts w:eastAsiaTheme="minorEastAsia"/>
                <w:b/>
                <w:color w:val="000000" w:themeColor="text1"/>
                <w:kern w:val="0"/>
                <w:sz w:val="24"/>
                <w14:textFill>
                  <w14:solidFill>
                    <w14:schemeClr w14:val="tx1"/>
                  </w14:solidFill>
                </w14:textFill>
              </w:rPr>
            </w:pPr>
            <w:r>
              <w:rPr>
                <w:rFonts w:eastAsiaTheme="minorEastAsia"/>
                <w:b/>
                <w:color w:val="000000" w:themeColor="text1"/>
                <w:kern w:val="0"/>
                <w:sz w:val="24"/>
                <w14:textFill>
                  <w14:solidFill>
                    <w14:schemeClr w14:val="tx1"/>
                  </w14:solidFill>
                </w14:textFill>
              </w:rPr>
              <w:t>2、建设内容及规模</w:t>
            </w:r>
          </w:p>
          <w:p>
            <w:pPr>
              <w:keepLines/>
              <w:spacing w:line="360" w:lineRule="auto"/>
              <w:ind w:firstLine="480" w:firstLineChars="200"/>
              <w:rPr>
                <w:rFonts w:hint="eastAsia" w:eastAsiaTheme="minorEastAsia"/>
                <w:b w:val="0"/>
                <w:bCs/>
                <w:color w:val="000000" w:themeColor="text1"/>
                <w:sz w:val="24"/>
                <w:lang w:eastAsia="zh-CN"/>
                <w14:textFill>
                  <w14:solidFill>
                    <w14:schemeClr w14:val="tx1"/>
                  </w14:solidFill>
                </w14:textFill>
              </w:rPr>
            </w:pPr>
            <w:r>
              <w:rPr>
                <w:rFonts w:hint="eastAsia" w:eastAsiaTheme="minorEastAsia"/>
                <w:b w:val="0"/>
                <w:bCs/>
                <w:color w:val="000000" w:themeColor="text1"/>
                <w:sz w:val="24"/>
                <w:lang w:eastAsia="zh-CN"/>
                <w14:textFill>
                  <w14:solidFill>
                    <w14:schemeClr w14:val="tx1"/>
                  </w14:solidFill>
                </w14:textFill>
              </w:rPr>
              <w:t>本工程位于乐山市峨边彝族自治县道新场乡长红村2组，距离峨边县城约</w:t>
            </w:r>
            <w:r>
              <w:rPr>
                <w:rFonts w:hint="eastAsia" w:eastAsiaTheme="minorEastAsia"/>
                <w:b w:val="0"/>
                <w:bCs/>
                <w:color w:val="000000" w:themeColor="text1"/>
                <w:sz w:val="24"/>
                <w:lang w:val="en-US" w:eastAsia="zh-CN"/>
                <w14:textFill>
                  <w14:solidFill>
                    <w14:schemeClr w14:val="tx1"/>
                  </w14:solidFill>
                </w14:textFill>
              </w:rPr>
              <w:t>4</w:t>
            </w:r>
            <w:r>
              <w:rPr>
                <w:rFonts w:hint="eastAsia" w:eastAsiaTheme="minorEastAsia"/>
                <w:b w:val="0"/>
                <w:bCs/>
                <w:color w:val="000000" w:themeColor="text1"/>
                <w:sz w:val="24"/>
                <w:lang w:eastAsia="zh-CN"/>
                <w14:textFill>
                  <w14:solidFill>
                    <w14:schemeClr w14:val="tx1"/>
                  </w14:solidFill>
                </w14:textFill>
              </w:rPr>
              <w:t>km远。本工程分两期建设，一期为</w:t>
            </w:r>
            <w:r>
              <w:rPr>
                <w:rFonts w:hint="eastAsia" w:eastAsiaTheme="minorEastAsia"/>
                <w:b w:val="0"/>
                <w:bCs/>
                <w:color w:val="000000" w:themeColor="text1"/>
                <w:sz w:val="24"/>
                <w:lang w:val="en-US" w:eastAsia="zh-CN"/>
                <w14:textFill>
                  <w14:solidFill>
                    <w14:schemeClr w14:val="tx1"/>
                  </w14:solidFill>
                </w14:textFill>
              </w:rPr>
              <w:t>LNG加气站，二期为预留加油站及充电站，现仅进行一期项目建设。本工程一期项目为</w:t>
            </w:r>
            <w:r>
              <w:rPr>
                <w:rFonts w:hint="eastAsia" w:eastAsiaTheme="minorEastAsia"/>
                <w:b w:val="0"/>
                <w:bCs/>
                <w:color w:val="000000" w:themeColor="text1"/>
                <w:sz w:val="24"/>
                <w:lang w:eastAsia="zh-CN"/>
                <w14:textFill>
                  <w14:solidFill>
                    <w14:schemeClr w14:val="tx1"/>
                  </w14:solidFill>
                </w14:textFill>
              </w:rPr>
              <w:t>新建1座LN</w:t>
            </w:r>
            <w:r>
              <w:rPr>
                <w:rFonts w:hint="eastAsia" w:eastAsiaTheme="minorEastAsia"/>
                <w:b w:val="0"/>
                <w:bCs/>
                <w:color w:val="000000" w:themeColor="text1"/>
                <w:sz w:val="24"/>
                <w:lang w:val="en-US" w:eastAsia="zh-CN"/>
                <w14:textFill>
                  <w14:solidFill>
                    <w14:schemeClr w14:val="tx1"/>
                  </w14:solidFill>
                </w14:textFill>
              </w:rPr>
              <w:t>G</w:t>
            </w:r>
            <w:r>
              <w:rPr>
                <w:rFonts w:hint="eastAsia" w:eastAsiaTheme="minorEastAsia"/>
                <w:b w:val="0"/>
                <w:bCs/>
                <w:color w:val="000000" w:themeColor="text1"/>
                <w:sz w:val="24"/>
                <w:lang w:eastAsia="zh-CN"/>
                <w14:textFill>
                  <w14:solidFill>
                    <w14:schemeClr w14:val="tx1"/>
                  </w14:solidFill>
                </w14:textFill>
              </w:rPr>
              <w:t>加气站，主要服务对象为大型载重货车，设计规模</w:t>
            </w:r>
            <w:r>
              <w:rPr>
                <w:rFonts w:hint="eastAsia" w:eastAsiaTheme="minorEastAsia"/>
                <w:b w:val="0"/>
                <w:bCs/>
                <w:color w:val="000000" w:themeColor="text1"/>
                <w:sz w:val="24"/>
                <w:vertAlign w:val="baseline"/>
                <w:lang w:val="en-US" w:eastAsia="zh-CN"/>
                <w14:textFill>
                  <w14:solidFill>
                    <w14:schemeClr w14:val="tx1"/>
                  </w14:solidFill>
                </w14:textFill>
              </w:rPr>
              <w:t>15</w:t>
            </w:r>
            <w:r>
              <w:rPr>
                <w:rFonts w:hint="eastAsia" w:eastAsiaTheme="minorEastAsia"/>
                <w:b w:val="0"/>
                <w:bCs/>
                <w:color w:val="000000" w:themeColor="text1"/>
                <w:sz w:val="24"/>
                <w:vertAlign w:val="baseline"/>
                <w:lang w:eastAsia="zh-CN"/>
                <w14:textFill>
                  <w14:solidFill>
                    <w14:schemeClr w14:val="tx1"/>
                  </w14:solidFill>
                </w14:textFill>
              </w:rPr>
              <w:t>×10</w:t>
            </w:r>
            <w:r>
              <w:rPr>
                <w:rFonts w:hint="eastAsia" w:eastAsiaTheme="minorEastAsia"/>
                <w:b w:val="0"/>
                <w:bCs/>
                <w:color w:val="000000" w:themeColor="text1"/>
                <w:sz w:val="24"/>
                <w:vertAlign w:val="superscript"/>
                <w:lang w:eastAsia="zh-CN"/>
                <w14:textFill>
                  <w14:solidFill>
                    <w14:schemeClr w14:val="tx1"/>
                  </w14:solidFill>
                </w14:textFill>
              </w:rPr>
              <w:t>4</w:t>
            </w:r>
            <w:r>
              <w:rPr>
                <w:rFonts w:hint="eastAsia" w:eastAsiaTheme="minorEastAsia"/>
                <w:b w:val="0"/>
                <w:bCs/>
                <w:color w:val="000000" w:themeColor="text1"/>
                <w:sz w:val="24"/>
                <w:vertAlign w:val="baseline"/>
                <w:lang w:eastAsia="zh-CN"/>
                <w14:textFill>
                  <w14:solidFill>
                    <w14:schemeClr w14:val="tx1"/>
                  </w14:solidFill>
                </w14:textFill>
              </w:rPr>
              <w:t>N</w:t>
            </w:r>
            <w:r>
              <w:rPr>
                <w:rFonts w:hint="eastAsia" w:eastAsiaTheme="minorEastAsia"/>
                <w:b w:val="0"/>
                <w:bCs/>
                <w:color w:val="000000" w:themeColor="text1"/>
                <w:sz w:val="24"/>
                <w:vertAlign w:val="baseline"/>
                <w:lang w:val="en-US" w:eastAsia="zh-CN"/>
                <w14:textFill>
                  <w14:solidFill>
                    <w14:schemeClr w14:val="tx1"/>
                  </w14:solidFill>
                </w14:textFill>
              </w:rPr>
              <w:t>m</w:t>
            </w:r>
            <w:r>
              <w:rPr>
                <w:rFonts w:hint="eastAsia" w:eastAsiaTheme="minorEastAsia"/>
                <w:b w:val="0"/>
                <w:bCs/>
                <w:color w:val="000000" w:themeColor="text1"/>
                <w:sz w:val="24"/>
                <w:vertAlign w:val="superscript"/>
                <w:lang w:eastAsia="zh-CN"/>
                <w14:textFill>
                  <w14:solidFill>
                    <w14:schemeClr w14:val="tx1"/>
                  </w14:solidFill>
                </w14:textFill>
              </w:rPr>
              <w:t>3</w:t>
            </w:r>
            <w:r>
              <w:rPr>
                <w:rFonts w:hint="eastAsia" w:eastAsiaTheme="minorEastAsia"/>
                <w:b w:val="0"/>
                <w:bCs/>
                <w:color w:val="000000" w:themeColor="text1"/>
                <w:sz w:val="24"/>
                <w:vertAlign w:val="baseline"/>
                <w:lang w:eastAsia="zh-CN"/>
                <w14:textFill>
                  <w14:solidFill>
                    <w14:schemeClr w14:val="tx1"/>
                  </w14:solidFill>
                </w14:textFill>
              </w:rPr>
              <w:t>/d</w:t>
            </w:r>
            <w:r>
              <w:rPr>
                <w:rFonts w:hint="eastAsia" w:eastAsiaTheme="minorEastAsia"/>
                <w:b w:val="0"/>
                <w:bCs/>
                <w:color w:val="000000" w:themeColor="text1"/>
                <w:sz w:val="24"/>
                <w:lang w:eastAsia="zh-CN"/>
                <w14:textFill>
                  <w14:solidFill>
                    <w14:schemeClr w14:val="tx1"/>
                  </w14:solidFill>
                </w14:textFill>
              </w:rPr>
              <w:t>；站内设置</w:t>
            </w:r>
            <w:r>
              <w:rPr>
                <w:rFonts w:hint="eastAsia" w:eastAsiaTheme="minorEastAsia"/>
                <w:b w:val="0"/>
                <w:bCs/>
                <w:color w:val="000000" w:themeColor="text1"/>
                <w:sz w:val="24"/>
                <w:lang w:val="en-US" w:eastAsia="zh-CN"/>
                <w14:textFill>
                  <w14:solidFill>
                    <w14:schemeClr w14:val="tx1"/>
                  </w14:solidFill>
                </w14:textFill>
              </w:rPr>
              <w:t>1</w:t>
            </w:r>
            <w:r>
              <w:rPr>
                <w:rFonts w:hint="eastAsia" w:eastAsiaTheme="minorEastAsia"/>
                <w:b w:val="0"/>
                <w:bCs/>
                <w:color w:val="000000" w:themeColor="text1"/>
                <w:sz w:val="24"/>
                <w:lang w:eastAsia="zh-CN"/>
                <w14:textFill>
                  <w14:solidFill>
                    <w14:schemeClr w14:val="tx1"/>
                  </w14:solidFill>
                </w14:textFill>
              </w:rPr>
              <w:t>个60m</w:t>
            </w:r>
            <w:r>
              <w:rPr>
                <w:rFonts w:hint="eastAsia" w:eastAsiaTheme="minorEastAsia"/>
                <w:b w:val="0"/>
                <w:bCs/>
                <w:color w:val="000000" w:themeColor="text1"/>
                <w:sz w:val="24"/>
                <w:vertAlign w:val="superscript"/>
                <w:lang w:eastAsia="zh-CN"/>
                <w14:textFill>
                  <w14:solidFill>
                    <w14:schemeClr w14:val="tx1"/>
                  </w14:solidFill>
                </w14:textFill>
              </w:rPr>
              <w:t>3</w:t>
            </w:r>
            <w:r>
              <w:rPr>
                <w:rFonts w:hint="eastAsia" w:eastAsiaTheme="minorEastAsia"/>
                <w:b w:val="0"/>
                <w:bCs/>
                <w:color w:val="000000" w:themeColor="text1"/>
                <w:sz w:val="24"/>
                <w:lang w:eastAsia="zh-CN"/>
                <w14:textFill>
                  <w14:solidFill>
                    <w14:schemeClr w14:val="tx1"/>
                  </w14:solidFill>
                </w14:textFill>
              </w:rPr>
              <w:t>的</w:t>
            </w:r>
            <w:r>
              <w:rPr>
                <w:rFonts w:hint="eastAsia" w:eastAsiaTheme="minorEastAsia"/>
                <w:b w:val="0"/>
                <w:bCs/>
                <w:color w:val="000000" w:themeColor="text1"/>
                <w:sz w:val="24"/>
                <w:lang w:val="en-US" w:eastAsia="zh-CN"/>
                <w14:textFill>
                  <w14:solidFill>
                    <w14:schemeClr w14:val="tx1"/>
                  </w14:solidFill>
                </w14:textFill>
              </w:rPr>
              <w:t>L</w:t>
            </w:r>
            <w:r>
              <w:rPr>
                <w:rFonts w:hint="eastAsia" w:eastAsiaTheme="minorEastAsia"/>
                <w:b w:val="0"/>
                <w:bCs/>
                <w:color w:val="000000" w:themeColor="text1"/>
                <w:sz w:val="24"/>
                <w:lang w:eastAsia="zh-CN"/>
                <w14:textFill>
                  <w14:solidFill>
                    <w14:schemeClr w14:val="tx1"/>
                  </w14:solidFill>
                </w14:textFill>
              </w:rPr>
              <w:t>NG卧式低温储罐，</w:t>
            </w:r>
            <w:r>
              <w:rPr>
                <w:rFonts w:hint="eastAsia" w:eastAsiaTheme="minorEastAsia"/>
                <w:b w:val="0"/>
                <w:bCs/>
                <w:color w:val="000000" w:themeColor="text1"/>
                <w:sz w:val="24"/>
                <w:lang w:val="en-US" w:eastAsia="zh-CN"/>
                <w14:textFill>
                  <w14:solidFill>
                    <w14:schemeClr w14:val="tx1"/>
                  </w14:solidFill>
                </w14:textFill>
              </w:rPr>
              <w:t>3</w:t>
            </w:r>
            <w:r>
              <w:rPr>
                <w:rFonts w:hint="eastAsia" w:eastAsiaTheme="minorEastAsia"/>
                <w:b w:val="0"/>
                <w:bCs/>
                <w:color w:val="000000" w:themeColor="text1"/>
                <w:sz w:val="24"/>
                <w:lang w:eastAsia="zh-CN"/>
                <w14:textFill>
                  <w14:solidFill>
                    <w14:schemeClr w14:val="tx1"/>
                  </w14:solidFill>
                </w14:textFill>
              </w:rPr>
              <w:t>台LNG双枪加气机；站址北侧为省道306，各类施工物资进出场方便，地理位置优越，交通便利。本项目规划总用地面积为</w:t>
            </w:r>
            <w:r>
              <w:rPr>
                <w:rFonts w:hint="eastAsia" w:eastAsiaTheme="minorEastAsia"/>
                <w:b w:val="0"/>
                <w:bCs/>
                <w:color w:val="000000" w:themeColor="text1"/>
                <w:sz w:val="24"/>
                <w:lang w:val="en-US" w:eastAsia="zh-CN"/>
                <w14:textFill>
                  <w14:solidFill>
                    <w14:schemeClr w14:val="tx1"/>
                  </w14:solidFill>
                </w14:textFill>
              </w:rPr>
              <w:t>6666.04m²</w:t>
            </w:r>
            <w:r>
              <w:rPr>
                <w:rFonts w:hint="eastAsia" w:eastAsiaTheme="minorEastAsia"/>
                <w:b w:val="0"/>
                <w:bCs/>
                <w:color w:val="000000" w:themeColor="text1"/>
                <w:sz w:val="24"/>
                <w:lang w:eastAsia="zh-CN"/>
                <w14:textFill>
                  <w14:solidFill>
                    <w14:schemeClr w14:val="tx1"/>
                  </w14:solidFill>
                </w14:textFill>
              </w:rPr>
              <w:t>，站内设置1处通过式加气罩棚、1处地下式LNG工艺装置区、2层框架结构站房。根据场站气源状况及加气规模，本站主要工艺设备设置如下：60</w:t>
            </w:r>
            <w:r>
              <w:rPr>
                <w:rFonts w:hint="eastAsia" w:eastAsiaTheme="minorEastAsia"/>
                <w:b w:val="0"/>
                <w:bCs/>
                <w:color w:val="000000" w:themeColor="text1"/>
                <w:sz w:val="24"/>
                <w:lang w:val="en-US" w:eastAsia="zh-CN"/>
                <w14:textFill>
                  <w14:solidFill>
                    <w14:schemeClr w14:val="tx1"/>
                  </w14:solidFill>
                </w14:textFill>
              </w:rPr>
              <w:t>m³</w:t>
            </w:r>
            <w:r>
              <w:rPr>
                <w:rFonts w:hint="eastAsia" w:eastAsiaTheme="minorEastAsia"/>
                <w:b w:val="0"/>
                <w:bCs/>
                <w:color w:val="000000" w:themeColor="text1"/>
                <w:sz w:val="24"/>
                <w:lang w:eastAsia="zh-CN"/>
                <w14:textFill>
                  <w14:solidFill>
                    <w14:schemeClr w14:val="tx1"/>
                  </w14:solidFill>
                </w14:textFill>
              </w:rPr>
              <w:t>LNG储罐</w:t>
            </w:r>
            <w:r>
              <w:rPr>
                <w:rFonts w:hint="eastAsia" w:eastAsiaTheme="minorEastAsia"/>
                <w:b w:val="0"/>
                <w:bCs/>
                <w:color w:val="000000" w:themeColor="text1"/>
                <w:sz w:val="24"/>
                <w:lang w:val="en-US" w:eastAsia="zh-CN"/>
                <w14:textFill>
                  <w14:solidFill>
                    <w14:schemeClr w14:val="tx1"/>
                  </w14:solidFill>
                </w14:textFill>
              </w:rPr>
              <w:t>1</w:t>
            </w:r>
            <w:r>
              <w:rPr>
                <w:rFonts w:hint="eastAsia" w:eastAsiaTheme="minorEastAsia"/>
                <w:b w:val="0"/>
                <w:bCs/>
                <w:color w:val="000000" w:themeColor="text1"/>
                <w:sz w:val="24"/>
                <w:lang w:eastAsia="zh-CN"/>
                <w14:textFill>
                  <w14:solidFill>
                    <w14:schemeClr w14:val="tx1"/>
                  </w14:solidFill>
                </w14:textFill>
              </w:rPr>
              <w:t>台，LNG加注撬</w:t>
            </w:r>
            <w:r>
              <w:rPr>
                <w:rFonts w:hint="eastAsia" w:eastAsiaTheme="minorEastAsia"/>
                <w:b w:val="0"/>
                <w:bCs/>
                <w:color w:val="000000" w:themeColor="text1"/>
                <w:sz w:val="24"/>
                <w:lang w:val="en-US" w:eastAsia="zh-CN"/>
                <w14:textFill>
                  <w14:solidFill>
                    <w14:schemeClr w14:val="tx1"/>
                  </w14:solidFill>
                </w14:textFill>
              </w:rPr>
              <w:t>2</w:t>
            </w:r>
            <w:r>
              <w:rPr>
                <w:rFonts w:hint="eastAsia" w:eastAsiaTheme="minorEastAsia"/>
                <w:b w:val="0"/>
                <w:bCs/>
                <w:color w:val="000000" w:themeColor="text1"/>
                <w:sz w:val="24"/>
                <w:lang w:eastAsia="zh-CN"/>
                <w14:textFill>
                  <w14:solidFill>
                    <w14:schemeClr w14:val="tx1"/>
                  </w14:solidFill>
                </w14:textFill>
              </w:rPr>
              <w:t>套(包含：</w:t>
            </w:r>
            <w:r>
              <w:rPr>
                <w:rFonts w:hint="eastAsia" w:eastAsiaTheme="minorEastAsia"/>
                <w:b w:val="0"/>
                <w:bCs/>
                <w:color w:val="000000" w:themeColor="text1"/>
                <w:sz w:val="24"/>
                <w:lang w:val="en-US" w:eastAsia="zh-CN"/>
                <w14:textFill>
                  <w14:solidFill>
                    <w14:schemeClr w14:val="tx1"/>
                  </w14:solidFill>
                </w14:textFill>
              </w:rPr>
              <w:t>2</w:t>
            </w:r>
            <w:r>
              <w:rPr>
                <w:rFonts w:hint="eastAsia" w:eastAsiaTheme="minorEastAsia"/>
                <w:b w:val="0"/>
                <w:bCs/>
                <w:color w:val="000000" w:themeColor="text1"/>
                <w:sz w:val="24"/>
                <w:lang w:eastAsia="zh-CN"/>
                <w14:textFill>
                  <w14:solidFill>
                    <w14:schemeClr w14:val="tx1"/>
                  </w14:solidFill>
                </w14:textFill>
              </w:rPr>
              <w:t>台增压器、</w:t>
            </w:r>
            <w:r>
              <w:rPr>
                <w:rFonts w:hint="eastAsia" w:eastAsiaTheme="minorEastAsia"/>
                <w:b w:val="0"/>
                <w:bCs/>
                <w:color w:val="000000" w:themeColor="text1"/>
                <w:sz w:val="24"/>
                <w:lang w:val="en-US" w:eastAsia="zh-CN"/>
                <w14:textFill>
                  <w14:solidFill>
                    <w14:schemeClr w14:val="tx1"/>
                  </w14:solidFill>
                </w14:textFill>
              </w:rPr>
              <w:t>2</w:t>
            </w:r>
            <w:r>
              <w:rPr>
                <w:rFonts w:hint="eastAsia" w:eastAsiaTheme="minorEastAsia"/>
                <w:b w:val="0"/>
                <w:bCs/>
                <w:color w:val="000000" w:themeColor="text1"/>
                <w:sz w:val="24"/>
                <w:lang w:eastAsia="zh-CN"/>
                <w14:textFill>
                  <w14:solidFill>
                    <w14:schemeClr w14:val="tx1"/>
                  </w14:solidFill>
                </w14:textFill>
              </w:rPr>
              <w:t>台低温潜液泵、一台</w:t>
            </w:r>
            <w:r>
              <w:rPr>
                <w:rFonts w:hint="eastAsia" w:eastAsiaTheme="minorEastAsia"/>
                <w:b w:val="0"/>
                <w:bCs/>
                <w:color w:val="000000" w:themeColor="text1"/>
                <w:sz w:val="24"/>
                <w:lang w:val="en-US" w:eastAsia="zh-CN"/>
                <w14:textFill>
                  <w14:solidFill>
                    <w14:schemeClr w14:val="tx1"/>
                  </w14:solidFill>
                </w14:textFill>
              </w:rPr>
              <w:t>EAG加热器、一台BOG 回收装置</w:t>
            </w:r>
            <w:r>
              <w:rPr>
                <w:rFonts w:hint="eastAsia" w:eastAsiaTheme="minorEastAsia"/>
                <w:b w:val="0"/>
                <w:bCs/>
                <w:color w:val="000000" w:themeColor="text1"/>
                <w:sz w:val="24"/>
                <w:lang w:eastAsia="zh-CN"/>
                <w14:textFill>
                  <w14:solidFill>
                    <w14:schemeClr w14:val="tx1"/>
                  </w14:solidFill>
                </w14:textFill>
              </w:rPr>
              <w:t>)，</w:t>
            </w:r>
            <w:r>
              <w:rPr>
                <w:rFonts w:hint="eastAsia" w:eastAsiaTheme="minorEastAsia"/>
                <w:b w:val="0"/>
                <w:bCs/>
                <w:color w:val="000000" w:themeColor="text1"/>
                <w:sz w:val="24"/>
                <w:lang w:val="en-US" w:eastAsia="zh-CN"/>
                <w14:textFill>
                  <w14:solidFill>
                    <w14:schemeClr w14:val="tx1"/>
                  </w14:solidFill>
                </w14:textFill>
              </w:rPr>
              <w:t>3</w:t>
            </w:r>
            <w:r>
              <w:rPr>
                <w:rFonts w:hint="eastAsia" w:eastAsiaTheme="minorEastAsia"/>
                <w:b w:val="0"/>
                <w:bCs/>
                <w:color w:val="000000" w:themeColor="text1"/>
                <w:sz w:val="24"/>
                <w:lang w:eastAsia="zh-CN"/>
                <w14:textFill>
                  <w14:solidFill>
                    <w14:schemeClr w14:val="tx1"/>
                  </w14:solidFill>
                </w14:textFill>
              </w:rPr>
              <w:t>台LNG加注机，仪表风系统。</w:t>
            </w:r>
          </w:p>
          <w:p>
            <w:pPr>
              <w:keepLines/>
              <w:spacing w:line="360" w:lineRule="auto"/>
              <w:ind w:firstLine="480" w:firstLineChars="200"/>
              <w:rPr>
                <w:rFonts w:hint="eastAsia" w:eastAsiaTheme="minorEastAsia"/>
                <w:b w:val="0"/>
                <w:bCs/>
                <w:color w:val="000000" w:themeColor="text1"/>
                <w:sz w:val="24"/>
                <w14:textFill>
                  <w14:solidFill>
                    <w14:schemeClr w14:val="tx1"/>
                  </w14:solidFill>
                </w14:textFill>
              </w:rPr>
            </w:pPr>
            <w:r>
              <w:rPr>
                <w:rFonts w:hint="eastAsia" w:eastAsiaTheme="minorEastAsia"/>
                <w:b w:val="0"/>
                <w:bCs/>
                <w:color w:val="000000" w:themeColor="text1"/>
                <w:sz w:val="24"/>
                <w14:textFill>
                  <w14:solidFill>
                    <w14:schemeClr w14:val="tx1"/>
                  </w14:solidFill>
                </w14:textFill>
              </w:rPr>
              <w:t>劳动定员及生产制度：本项目劳动定员为</w:t>
            </w:r>
            <w:r>
              <w:rPr>
                <w:rFonts w:hint="eastAsia" w:eastAsiaTheme="minorEastAsia"/>
                <w:b w:val="0"/>
                <w:bCs/>
                <w:color w:val="000000" w:themeColor="text1"/>
                <w:sz w:val="24"/>
                <w:lang w:val="en-US" w:eastAsia="zh-CN"/>
                <w14:textFill>
                  <w14:solidFill>
                    <w14:schemeClr w14:val="tx1"/>
                  </w14:solidFill>
                </w14:textFill>
              </w:rPr>
              <w:t>12</w:t>
            </w:r>
            <w:r>
              <w:rPr>
                <w:rFonts w:hint="eastAsia" w:eastAsiaTheme="minorEastAsia"/>
                <w:b w:val="0"/>
                <w:bCs/>
                <w:color w:val="000000" w:themeColor="text1"/>
                <w:sz w:val="24"/>
                <w14:textFill>
                  <w14:solidFill>
                    <w14:schemeClr w14:val="tx1"/>
                  </w14:solidFill>
                </w14:textFill>
              </w:rPr>
              <w:t>人，采取</w:t>
            </w:r>
            <w:r>
              <w:rPr>
                <w:rFonts w:hint="eastAsia" w:eastAsiaTheme="minorEastAsia"/>
                <w:b w:val="0"/>
                <w:bCs/>
                <w:color w:val="000000" w:themeColor="text1"/>
                <w:sz w:val="24"/>
                <w:lang w:eastAsia="zh-CN"/>
                <w14:textFill>
                  <w14:solidFill>
                    <w14:schemeClr w14:val="tx1"/>
                  </w14:solidFill>
                </w14:textFill>
              </w:rPr>
              <w:t>两</w:t>
            </w:r>
            <w:r>
              <w:rPr>
                <w:rFonts w:hint="eastAsia" w:eastAsiaTheme="minorEastAsia"/>
                <w:b w:val="0"/>
                <w:bCs/>
                <w:color w:val="000000" w:themeColor="text1"/>
                <w:sz w:val="24"/>
                <w14:textFill>
                  <w14:solidFill>
                    <w14:schemeClr w14:val="tx1"/>
                  </w14:solidFill>
                </w14:textFill>
              </w:rPr>
              <w:t>班制度，每天24小时营业，年</w:t>
            </w:r>
            <w:r>
              <w:rPr>
                <w:rFonts w:hint="eastAsia" w:eastAsiaTheme="minorEastAsia"/>
                <w:b w:val="0"/>
                <w:bCs/>
                <w:color w:val="000000" w:themeColor="text1"/>
                <w:sz w:val="24"/>
                <w:lang w:eastAsia="zh-CN"/>
                <w14:textFill>
                  <w14:solidFill>
                    <w14:schemeClr w14:val="tx1"/>
                  </w14:solidFill>
                </w14:textFill>
              </w:rPr>
              <w:t>运营</w:t>
            </w:r>
            <w:r>
              <w:rPr>
                <w:rFonts w:hint="eastAsia" w:eastAsiaTheme="minorEastAsia"/>
                <w:b w:val="0"/>
                <w:bCs/>
                <w:color w:val="000000" w:themeColor="text1"/>
                <w:sz w:val="24"/>
                <w:lang w:val="en-US" w:eastAsia="zh-CN"/>
                <w14:textFill>
                  <w14:solidFill>
                    <w14:schemeClr w14:val="tx1"/>
                  </w14:solidFill>
                </w14:textFill>
              </w:rPr>
              <w:t>365</w:t>
            </w:r>
            <w:r>
              <w:rPr>
                <w:rFonts w:hint="eastAsia" w:eastAsiaTheme="minorEastAsia"/>
                <w:b w:val="0"/>
                <w:bCs/>
                <w:color w:val="000000" w:themeColor="text1"/>
                <w:sz w:val="24"/>
                <w14:textFill>
                  <w14:solidFill>
                    <w14:schemeClr w14:val="tx1"/>
                  </w14:solidFill>
                </w14:textFill>
              </w:rPr>
              <w:t>天。</w:t>
            </w:r>
          </w:p>
          <w:p>
            <w:pPr>
              <w:keepLines/>
              <w:spacing w:line="360" w:lineRule="auto"/>
              <w:ind w:firstLine="482" w:firstLineChars="200"/>
              <w:rPr>
                <w:rFonts w:hint="eastAsia" w:eastAsiaTheme="minorEastAsia"/>
                <w:b/>
                <w:bCs w:val="0"/>
                <w:color w:val="000000" w:themeColor="text1"/>
                <w:sz w:val="24"/>
                <w:lang w:val="en-US" w:eastAsia="zh-CN"/>
                <w14:textFill>
                  <w14:solidFill>
                    <w14:schemeClr w14:val="tx1"/>
                  </w14:solidFill>
                </w14:textFill>
              </w:rPr>
            </w:pPr>
            <w:r>
              <w:rPr>
                <w:rFonts w:hint="eastAsia" w:eastAsiaTheme="minorEastAsia"/>
                <w:b/>
                <w:bCs w:val="0"/>
                <w:color w:val="000000" w:themeColor="text1"/>
                <w:sz w:val="24"/>
                <w:lang w:val="en-US" w:eastAsia="zh-CN"/>
                <w14:textFill>
                  <w14:solidFill>
                    <w14:schemeClr w14:val="tx1"/>
                  </w14:solidFill>
                </w14:textFill>
              </w:rPr>
              <w:t>3、项目气源及组分分析</w:t>
            </w:r>
          </w:p>
          <w:p>
            <w:pPr>
              <w:keepLines/>
              <w:spacing w:line="360" w:lineRule="auto"/>
              <w:ind w:firstLine="470" w:firstLineChars="196"/>
              <w:rPr>
                <w:rFonts w:hint="eastAsia" w:eastAsiaTheme="minorEastAsia"/>
                <w:b w:val="0"/>
                <w:bCs/>
                <w:color w:val="000000" w:themeColor="text1"/>
                <w:kern w:val="0"/>
                <w:sz w:val="24"/>
                <w:lang w:val="en-US" w:eastAsia="zh-CN"/>
                <w14:textFill>
                  <w14:solidFill>
                    <w14:schemeClr w14:val="tx1"/>
                  </w14:solidFill>
                </w14:textFill>
              </w:rPr>
            </w:pPr>
            <w:r>
              <w:rPr>
                <w:rFonts w:hint="eastAsia" w:eastAsiaTheme="minorEastAsia"/>
                <w:b w:val="0"/>
                <w:bCs/>
                <w:color w:val="000000" w:themeColor="text1"/>
                <w:kern w:val="0"/>
                <w:sz w:val="24"/>
                <w:lang w:val="en-US" w:eastAsia="zh-CN"/>
                <w14:textFill>
                  <w14:solidFill>
                    <w14:schemeClr w14:val="tx1"/>
                  </w14:solidFill>
                </w14:textFill>
              </w:rPr>
              <w:t>根据建设单位提供的资料，项目原料LNG由广安华油液化工厂提供，采用LNG专用槽车配送运输至站内。项目供应的天然气成分如下（检测报告见附件）：</w:t>
            </w:r>
          </w:p>
          <w:p>
            <w:pPr>
              <w:pStyle w:val="8"/>
              <w:bidi w:val="0"/>
              <w:rPr>
                <w:rFonts w:hint="default"/>
                <w:color w:val="000000"/>
                <w:lang w:val="en-US" w:eastAsia="zh-CN"/>
              </w:rPr>
            </w:pPr>
            <w:r>
              <w:rPr>
                <w:rFonts w:hint="eastAsia"/>
                <w:color w:val="000000"/>
                <w:lang w:val="en-US" w:eastAsia="zh-CN"/>
              </w:rPr>
              <w:t>表 1-4</w:t>
            </w:r>
            <w:r>
              <w:rPr>
                <w:rFonts w:hint="eastAsia"/>
                <w:color w:val="000000"/>
                <w:lang w:val="en-US" w:eastAsia="zh-CN"/>
              </w:rPr>
              <w:tab/>
            </w:r>
            <w:r>
              <w:rPr>
                <w:rFonts w:hint="eastAsia"/>
                <w:color w:val="000000"/>
                <w:lang w:val="en-US" w:eastAsia="zh-CN"/>
              </w:rPr>
              <w:t xml:space="preserve">本项目液化天然气成分表 </w:t>
            </w:r>
          </w:p>
          <w:tbl>
            <w:tblPr>
              <w:tblStyle w:val="29"/>
              <w:tblW w:w="4998"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108" w:type="dxa"/>
                <w:bottom w:w="0" w:type="dxa"/>
                <w:right w:w="108" w:type="dxa"/>
              </w:tblCellMar>
            </w:tblPr>
            <w:tblGrid>
              <w:gridCol w:w="2052"/>
              <w:gridCol w:w="2891"/>
              <w:gridCol w:w="1466"/>
              <w:gridCol w:w="3153"/>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12"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组分名称</w:t>
                  </w:r>
                </w:p>
              </w:tc>
              <w:tc>
                <w:tcPr>
                  <w:tcW w:w="1511"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检测结果（</w:t>
                  </w:r>
                  <w:r>
                    <w:rPr>
                      <w:rFonts w:hint="eastAsia" w:cs="Times New Roman"/>
                      <w:color w:val="000000"/>
                      <w:lang w:eastAsia="zh-CN"/>
                    </w:rPr>
                    <w:t>摩尔分数，</w:t>
                  </w:r>
                  <w:r>
                    <w:rPr>
                      <w:rFonts w:hint="eastAsia" w:cs="Times New Roman"/>
                      <w:color w:val="000000"/>
                      <w:lang w:val="en-US" w:eastAsia="zh-CN"/>
                    </w:rPr>
                    <w:t>%</w:t>
                  </w:r>
                  <w:r>
                    <w:rPr>
                      <w:rFonts w:hint="eastAsia" w:cs="Times New Roman"/>
                      <w:color w:val="000000"/>
                    </w:rPr>
                    <w:t>）</w:t>
                  </w:r>
                </w:p>
              </w:tc>
              <w:tc>
                <w:tcPr>
                  <w:tcW w:w="766"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组分名称</w:t>
                  </w:r>
                </w:p>
              </w:tc>
              <w:tc>
                <w:tcPr>
                  <w:tcW w:w="1648"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检测结果（</w:t>
                  </w:r>
                  <w:r>
                    <w:rPr>
                      <w:rFonts w:hint="eastAsia" w:cs="Times New Roman"/>
                      <w:color w:val="000000"/>
                      <w:lang w:eastAsia="zh-CN"/>
                    </w:rPr>
                    <w:t>摩尔分数，</w:t>
                  </w:r>
                  <w:r>
                    <w:rPr>
                      <w:rFonts w:hint="eastAsia" w:cs="Times New Roman"/>
                      <w:color w:val="000000"/>
                      <w:lang w:val="en-US" w:eastAsia="zh-CN"/>
                    </w:rPr>
                    <w:t>%</w:t>
                  </w:r>
                  <w:r>
                    <w:rPr>
                      <w:rFonts w:hint="eastAsia" w:cs="Times New Roman"/>
                      <w:color w:val="000000"/>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11"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甲烷</w:t>
                  </w:r>
                </w:p>
              </w:tc>
              <w:tc>
                <w:tcPr>
                  <w:tcW w:w="1511" w:type="pct"/>
                  <w:tcBorders>
                    <w:tl2br w:val="nil"/>
                    <w:tr2bl w:val="nil"/>
                  </w:tcBorders>
                  <w:noWrap w:val="0"/>
                  <w:vAlign w:val="top"/>
                </w:tcPr>
                <w:p>
                  <w:pPr>
                    <w:pStyle w:val="201"/>
                    <w:bidi w:val="0"/>
                    <w:rPr>
                      <w:rFonts w:hint="default" w:eastAsia="宋体" w:cs="Times New Roman"/>
                      <w:color w:val="000000"/>
                      <w:lang w:val="en-US" w:eastAsia="zh-CN"/>
                    </w:rPr>
                  </w:pPr>
                  <w:r>
                    <w:rPr>
                      <w:rFonts w:hint="eastAsia" w:cs="Times New Roman"/>
                      <w:color w:val="000000"/>
                    </w:rPr>
                    <w:t>9</w:t>
                  </w:r>
                  <w:r>
                    <w:rPr>
                      <w:rFonts w:hint="eastAsia" w:cs="Times New Roman"/>
                      <w:color w:val="000000"/>
                      <w:lang w:val="en-US" w:eastAsia="zh-CN"/>
                    </w:rPr>
                    <w:t>9.13</w:t>
                  </w:r>
                </w:p>
              </w:tc>
              <w:tc>
                <w:tcPr>
                  <w:tcW w:w="766" w:type="pct"/>
                  <w:tcBorders>
                    <w:tl2br w:val="nil"/>
                    <w:tr2bl w:val="nil"/>
                  </w:tcBorders>
                  <w:noWrap w:val="0"/>
                  <w:vAlign w:val="top"/>
                </w:tcPr>
                <w:p>
                  <w:pPr>
                    <w:pStyle w:val="201"/>
                    <w:bidi w:val="0"/>
                    <w:rPr>
                      <w:rFonts w:hint="eastAsia" w:cs="Times New Roman"/>
                      <w:color w:val="000000"/>
                      <w:lang w:eastAsia="zh-CN"/>
                    </w:rPr>
                  </w:pPr>
                  <w:r>
                    <w:rPr>
                      <w:rFonts w:hint="eastAsia" w:cs="Times New Roman"/>
                      <w:color w:val="000000"/>
                      <w:lang w:eastAsia="zh-CN"/>
                    </w:rPr>
                    <w:t>氢气</w:t>
                  </w:r>
                </w:p>
              </w:tc>
              <w:tc>
                <w:tcPr>
                  <w:tcW w:w="1648" w:type="pct"/>
                  <w:tcBorders>
                    <w:tl2br w:val="nil"/>
                    <w:tr2bl w:val="nil"/>
                  </w:tcBorders>
                  <w:noWrap w:val="0"/>
                  <w:vAlign w:val="top"/>
                </w:tcPr>
                <w:p>
                  <w:pPr>
                    <w:pStyle w:val="201"/>
                    <w:bidi w:val="0"/>
                    <w:rPr>
                      <w:rFonts w:hint="default" w:cs="Times New Roman"/>
                      <w:color w:val="000000"/>
                      <w:lang w:val="en-US" w:eastAsia="zh-CN"/>
                    </w:rPr>
                  </w:pPr>
                  <w:r>
                    <w:rPr>
                      <w:rFonts w:hint="eastAsia" w:cs="Times New Roman"/>
                      <w:color w:val="000000"/>
                      <w:lang w:val="en-US" w:eastAsia="zh-CN"/>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12"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乙烷</w:t>
                  </w:r>
                </w:p>
              </w:tc>
              <w:tc>
                <w:tcPr>
                  <w:tcW w:w="1511" w:type="pct"/>
                  <w:tcBorders>
                    <w:tl2br w:val="nil"/>
                    <w:tr2bl w:val="nil"/>
                  </w:tcBorders>
                  <w:noWrap w:val="0"/>
                  <w:vAlign w:val="top"/>
                </w:tcPr>
                <w:p>
                  <w:pPr>
                    <w:pStyle w:val="201"/>
                    <w:bidi w:val="0"/>
                    <w:rPr>
                      <w:rFonts w:hint="default" w:cs="Times New Roman"/>
                      <w:color w:val="000000"/>
                      <w:lang w:val="en-US" w:eastAsia="zh-CN"/>
                    </w:rPr>
                  </w:pPr>
                  <w:r>
                    <w:rPr>
                      <w:rFonts w:hint="eastAsia" w:cs="Times New Roman"/>
                      <w:color w:val="000000"/>
                      <w:lang w:val="en-US" w:eastAsia="zh-CN"/>
                    </w:rPr>
                    <w:t>0.60</w:t>
                  </w:r>
                </w:p>
              </w:tc>
              <w:tc>
                <w:tcPr>
                  <w:tcW w:w="766" w:type="pct"/>
                  <w:tcBorders>
                    <w:tl2br w:val="nil"/>
                    <w:tr2bl w:val="nil"/>
                  </w:tcBorders>
                  <w:noWrap w:val="0"/>
                  <w:vAlign w:val="top"/>
                </w:tcPr>
                <w:p>
                  <w:pPr>
                    <w:pStyle w:val="201"/>
                    <w:bidi w:val="0"/>
                    <w:rPr>
                      <w:rFonts w:hint="eastAsia" w:cs="Times New Roman"/>
                      <w:color w:val="000000"/>
                      <w:lang w:eastAsia="zh-CN"/>
                    </w:rPr>
                  </w:pPr>
                  <w:r>
                    <w:rPr>
                      <w:rFonts w:hint="eastAsia" w:cs="Times New Roman"/>
                      <w:color w:val="000000"/>
                      <w:lang w:eastAsia="zh-CN"/>
                    </w:rPr>
                    <w:t>二氧化碳</w:t>
                  </w:r>
                </w:p>
              </w:tc>
              <w:tc>
                <w:tcPr>
                  <w:tcW w:w="1648" w:type="pct"/>
                  <w:tcBorders>
                    <w:tl2br w:val="nil"/>
                    <w:tr2bl w:val="nil"/>
                  </w:tcBorders>
                  <w:noWrap w:val="0"/>
                  <w:vAlign w:val="top"/>
                </w:tcPr>
                <w:p>
                  <w:pPr>
                    <w:pStyle w:val="201"/>
                    <w:bidi w:val="0"/>
                    <w:rPr>
                      <w:rFonts w:hint="default" w:cs="Times New Roman"/>
                      <w:color w:val="000000"/>
                      <w:lang w:val="en-US" w:eastAsia="zh-CN"/>
                    </w:rPr>
                  </w:pPr>
                  <w:r>
                    <w:rPr>
                      <w:rFonts w:hint="eastAsia" w:cs="Times New Roman"/>
                      <w:color w:val="000000"/>
                      <w:lang w:val="en-US" w:eastAsia="zh-CN"/>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12"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丙烷</w:t>
                  </w:r>
                </w:p>
              </w:tc>
              <w:tc>
                <w:tcPr>
                  <w:tcW w:w="1511" w:type="pct"/>
                  <w:tcBorders>
                    <w:tl2br w:val="nil"/>
                    <w:tr2bl w:val="nil"/>
                  </w:tcBorders>
                  <w:noWrap w:val="0"/>
                  <w:vAlign w:val="top"/>
                </w:tcPr>
                <w:p>
                  <w:pPr>
                    <w:pStyle w:val="201"/>
                    <w:bidi w:val="0"/>
                    <w:rPr>
                      <w:rFonts w:hint="default" w:cs="Times New Roman"/>
                      <w:color w:val="000000"/>
                      <w:lang w:val="en-US" w:eastAsia="zh-CN"/>
                    </w:rPr>
                  </w:pPr>
                  <w:r>
                    <w:rPr>
                      <w:rFonts w:hint="eastAsia" w:cs="Times New Roman"/>
                      <w:color w:val="000000"/>
                      <w:lang w:val="en-US" w:eastAsia="zh-CN"/>
                    </w:rPr>
                    <w:t>0.02</w:t>
                  </w:r>
                </w:p>
              </w:tc>
              <w:tc>
                <w:tcPr>
                  <w:tcW w:w="766"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rPr>
                    <w:t>异戊烷</w:t>
                  </w:r>
                </w:p>
              </w:tc>
              <w:tc>
                <w:tcPr>
                  <w:tcW w:w="1648"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lang w:val="en-US" w:eastAsia="zh-CN"/>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27"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异丁烷</w:t>
                  </w:r>
                </w:p>
              </w:tc>
              <w:tc>
                <w:tcPr>
                  <w:tcW w:w="1511" w:type="pct"/>
                  <w:tcBorders>
                    <w:tl2br w:val="nil"/>
                    <w:tr2bl w:val="nil"/>
                  </w:tcBorders>
                  <w:noWrap w:val="0"/>
                  <w:vAlign w:val="top"/>
                </w:tcPr>
                <w:p>
                  <w:pPr>
                    <w:pStyle w:val="201"/>
                    <w:bidi w:val="0"/>
                    <w:rPr>
                      <w:rFonts w:hint="default" w:cs="Times New Roman"/>
                      <w:color w:val="000000"/>
                      <w:lang w:val="en-US" w:eastAsia="zh-CN"/>
                    </w:rPr>
                  </w:pPr>
                  <w:r>
                    <w:rPr>
                      <w:rFonts w:hint="eastAsia" w:cs="Times New Roman"/>
                      <w:color w:val="000000"/>
                      <w:lang w:val="en-US" w:eastAsia="zh-CN"/>
                    </w:rPr>
                    <w:t>0.00</w:t>
                  </w:r>
                </w:p>
              </w:tc>
              <w:tc>
                <w:tcPr>
                  <w:tcW w:w="766"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rPr>
                    <w:t>正戊烷</w:t>
                  </w:r>
                </w:p>
              </w:tc>
              <w:tc>
                <w:tcPr>
                  <w:tcW w:w="1648"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lang w:val="en-US" w:eastAsia="zh-CN"/>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12"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正丁烷</w:t>
                  </w:r>
                </w:p>
              </w:tc>
              <w:tc>
                <w:tcPr>
                  <w:tcW w:w="1511" w:type="pct"/>
                  <w:tcBorders>
                    <w:tl2br w:val="nil"/>
                    <w:tr2bl w:val="nil"/>
                  </w:tcBorders>
                  <w:noWrap w:val="0"/>
                  <w:vAlign w:val="top"/>
                </w:tcPr>
                <w:p>
                  <w:pPr>
                    <w:pStyle w:val="201"/>
                    <w:bidi w:val="0"/>
                    <w:rPr>
                      <w:rFonts w:hint="default" w:cs="Times New Roman"/>
                      <w:color w:val="000000"/>
                      <w:lang w:val="en-US" w:eastAsia="zh-CN"/>
                    </w:rPr>
                  </w:pPr>
                  <w:r>
                    <w:rPr>
                      <w:rFonts w:hint="eastAsia" w:cs="Times New Roman"/>
                      <w:color w:val="000000"/>
                      <w:lang w:val="en-US" w:eastAsia="zh-CN"/>
                    </w:rPr>
                    <w:t>0.00</w:t>
                  </w:r>
                </w:p>
              </w:tc>
              <w:tc>
                <w:tcPr>
                  <w:tcW w:w="766"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rPr>
                    <w:t>氮</w:t>
                  </w:r>
                  <w:r>
                    <w:rPr>
                      <w:rFonts w:hint="eastAsia" w:cs="Times New Roman"/>
                      <w:color w:val="000000"/>
                      <w:lang w:eastAsia="zh-CN"/>
                    </w:rPr>
                    <w:t>气</w:t>
                  </w:r>
                </w:p>
              </w:tc>
              <w:tc>
                <w:tcPr>
                  <w:tcW w:w="1648"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lang w:val="en-US" w:eastAsia="zh-CN"/>
                    </w:rPr>
                    <w:t>0.25</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311" w:hRule="atLeast"/>
              </w:trPr>
              <w:tc>
                <w:tcPr>
                  <w:tcW w:w="1073"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lang w:eastAsia="zh-CN"/>
                    </w:rPr>
                    <w:t>氦气</w:t>
                  </w:r>
                </w:p>
              </w:tc>
              <w:tc>
                <w:tcPr>
                  <w:tcW w:w="1511" w:type="pct"/>
                  <w:tcBorders>
                    <w:tl2br w:val="nil"/>
                    <w:tr2bl w:val="nil"/>
                  </w:tcBorders>
                  <w:noWrap w:val="0"/>
                  <w:vAlign w:val="top"/>
                </w:tcPr>
                <w:p>
                  <w:pPr>
                    <w:pStyle w:val="201"/>
                    <w:bidi w:val="0"/>
                    <w:rPr>
                      <w:rFonts w:hint="default" w:cs="Times New Roman"/>
                      <w:color w:val="000000"/>
                      <w:lang w:val="en-US" w:eastAsia="zh-CN"/>
                    </w:rPr>
                  </w:pPr>
                  <w:r>
                    <w:rPr>
                      <w:rFonts w:hint="eastAsia" w:cs="Times New Roman"/>
                      <w:color w:val="000000"/>
                      <w:lang w:val="en-US" w:eastAsia="zh-CN"/>
                    </w:rPr>
                    <w:t>0.25</w:t>
                  </w:r>
                </w:p>
              </w:tc>
              <w:tc>
                <w:tcPr>
                  <w:tcW w:w="766"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rPr>
                    <w:t>氧</w:t>
                  </w:r>
                  <w:r>
                    <w:rPr>
                      <w:rFonts w:hint="eastAsia" w:cs="Times New Roman"/>
                      <w:color w:val="000000"/>
                      <w:lang w:eastAsia="zh-CN"/>
                    </w:rPr>
                    <w:t>气</w:t>
                  </w:r>
                </w:p>
              </w:tc>
              <w:tc>
                <w:tcPr>
                  <w:tcW w:w="1648" w:type="pct"/>
                  <w:tcBorders>
                    <w:tl2br w:val="nil"/>
                    <w:tr2bl w:val="nil"/>
                  </w:tcBorders>
                  <w:noWrap w:val="0"/>
                  <w:vAlign w:val="top"/>
                </w:tcPr>
                <w:p>
                  <w:pPr>
                    <w:pStyle w:val="201"/>
                    <w:bidi w:val="0"/>
                    <w:rPr>
                      <w:rFonts w:hint="eastAsia" w:cs="Times New Roman"/>
                      <w:color w:val="000000"/>
                      <w:lang w:val="en-US" w:eastAsia="zh-CN"/>
                    </w:rPr>
                  </w:pPr>
                  <w:r>
                    <w:rPr>
                      <w:rFonts w:hint="eastAsia" w:cs="Times New Roman"/>
                      <w:color w:val="000000"/>
                      <w:lang w:val="en-US" w:eastAsia="zh-CN"/>
                    </w:rPr>
                    <w:t>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23"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高位热值</w:t>
                  </w:r>
                </w:p>
              </w:tc>
              <w:tc>
                <w:tcPr>
                  <w:tcW w:w="1511" w:type="pct"/>
                  <w:tcBorders>
                    <w:tl2br w:val="nil"/>
                    <w:tr2bl w:val="nil"/>
                  </w:tcBorders>
                  <w:noWrap w:val="0"/>
                  <w:vAlign w:val="top"/>
                </w:tcPr>
                <w:p>
                  <w:pPr>
                    <w:pStyle w:val="201"/>
                    <w:bidi w:val="0"/>
                    <w:rPr>
                      <w:rFonts w:hint="default" w:eastAsia="宋体" w:cs="Times New Roman"/>
                      <w:color w:val="000000"/>
                      <w:vertAlign w:val="superscript"/>
                      <w:lang w:val="en-US" w:eastAsia="zh-CN"/>
                    </w:rPr>
                  </w:pPr>
                  <w:r>
                    <w:rPr>
                      <w:rFonts w:hint="eastAsia" w:cs="Times New Roman"/>
                      <w:color w:val="000000"/>
                    </w:rPr>
                    <w:t>37.</w:t>
                  </w:r>
                  <w:r>
                    <w:rPr>
                      <w:rFonts w:hint="eastAsia" w:cs="Times New Roman"/>
                      <w:color w:val="000000"/>
                      <w:lang w:val="en-US" w:eastAsia="zh-CN"/>
                    </w:rPr>
                    <w:t>20</w:t>
                  </w:r>
                  <w:r>
                    <w:rPr>
                      <w:rFonts w:hint="eastAsia" w:cs="Times New Roman"/>
                      <w:color w:val="000000"/>
                    </w:rPr>
                    <w:t>MJ/m</w:t>
                  </w:r>
                  <w:r>
                    <w:rPr>
                      <w:rFonts w:hint="eastAsia" w:cs="Times New Roman"/>
                      <w:color w:val="000000"/>
                      <w:vertAlign w:val="superscript"/>
                      <w:lang w:val="en-US" w:eastAsia="zh-CN"/>
                    </w:rPr>
                    <w:t>3</w:t>
                  </w:r>
                </w:p>
                <w:p>
                  <w:pPr>
                    <w:pStyle w:val="201"/>
                    <w:bidi w:val="0"/>
                    <w:rPr>
                      <w:rFonts w:hint="eastAsia" w:cs="Times New Roman"/>
                      <w:color w:val="000000"/>
                    </w:rPr>
                  </w:pPr>
                  <w:r>
                    <w:rPr>
                      <w:rFonts w:hint="eastAsia" w:cs="Times New Roman"/>
                      <w:color w:val="000000"/>
                    </w:rPr>
                    <w:t>（20</w:t>
                  </w:r>
                  <w:r>
                    <w:rPr>
                      <w:rFonts w:hint="default" w:ascii="Times New Roman" w:hAnsi="Times New Roman" w:cs="Times New Roman"/>
                      <w:color w:val="000000"/>
                    </w:rPr>
                    <w:t>℃</w:t>
                  </w:r>
                  <w:r>
                    <w:rPr>
                      <w:rFonts w:hint="eastAsia" w:cs="Times New Roman"/>
                      <w:color w:val="000000"/>
                    </w:rPr>
                    <w:t>，101.3kPa）</w:t>
                  </w:r>
                </w:p>
              </w:tc>
              <w:tc>
                <w:tcPr>
                  <w:tcW w:w="766"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相对密度</w:t>
                  </w:r>
                </w:p>
              </w:tc>
              <w:tc>
                <w:tcPr>
                  <w:tcW w:w="1648" w:type="pct"/>
                  <w:tcBorders>
                    <w:tl2br w:val="nil"/>
                    <w:tr2bl w:val="nil"/>
                  </w:tcBorders>
                  <w:noWrap w:val="0"/>
                  <w:vAlign w:val="top"/>
                </w:tcPr>
                <w:p>
                  <w:pPr>
                    <w:pStyle w:val="201"/>
                    <w:bidi w:val="0"/>
                    <w:rPr>
                      <w:rFonts w:hint="default" w:cs="Times New Roman"/>
                      <w:color w:val="000000"/>
                      <w:vertAlign w:val="superscript"/>
                      <w:lang w:val="en-US" w:eastAsia="zh-CN"/>
                    </w:rPr>
                  </w:pPr>
                  <w:r>
                    <w:rPr>
                      <w:rFonts w:hint="eastAsia" w:cs="Times New Roman"/>
                      <w:color w:val="000000"/>
                      <w:lang w:val="en-US" w:eastAsia="zh-CN"/>
                    </w:rPr>
                    <w:t>0.6732kg/m</w:t>
                  </w:r>
                  <w:r>
                    <w:rPr>
                      <w:rFonts w:hint="eastAsia" w:cs="Times New Roman"/>
                      <w:color w:val="000000"/>
                      <w:vertAlign w:val="superscript"/>
                      <w:lang w:val="en-US" w:eastAsia="zh-CN"/>
                    </w:rPr>
                    <w:t>3</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108" w:type="dxa"/>
                  <w:bottom w:w="0" w:type="dxa"/>
                  <w:right w:w="108" w:type="dxa"/>
                </w:tblCellMar>
              </w:tblPrEx>
              <w:trPr>
                <w:trHeight w:val="623" w:hRule="atLeast"/>
              </w:trPr>
              <w:tc>
                <w:tcPr>
                  <w:tcW w:w="1073" w:type="pct"/>
                  <w:tcBorders>
                    <w:tl2br w:val="nil"/>
                    <w:tr2bl w:val="nil"/>
                  </w:tcBorders>
                  <w:noWrap w:val="0"/>
                  <w:vAlign w:val="top"/>
                </w:tcPr>
                <w:p>
                  <w:pPr>
                    <w:pStyle w:val="201"/>
                    <w:bidi w:val="0"/>
                    <w:rPr>
                      <w:rFonts w:hint="eastAsia" w:cs="Times New Roman"/>
                      <w:color w:val="000000"/>
                    </w:rPr>
                  </w:pPr>
                  <w:r>
                    <w:rPr>
                      <w:rFonts w:hint="eastAsia" w:cs="Times New Roman"/>
                      <w:color w:val="000000"/>
                    </w:rPr>
                    <w:t>低位热值</w:t>
                  </w:r>
                </w:p>
              </w:tc>
              <w:tc>
                <w:tcPr>
                  <w:tcW w:w="1511" w:type="pct"/>
                  <w:tcBorders>
                    <w:tl2br w:val="nil"/>
                    <w:tr2bl w:val="nil"/>
                  </w:tcBorders>
                  <w:noWrap w:val="0"/>
                  <w:vAlign w:val="top"/>
                </w:tcPr>
                <w:p>
                  <w:pPr>
                    <w:pStyle w:val="201"/>
                    <w:bidi w:val="0"/>
                    <w:rPr>
                      <w:rFonts w:hint="eastAsia" w:eastAsia="宋体" w:cs="Times New Roman"/>
                      <w:color w:val="000000"/>
                      <w:lang w:eastAsia="zh-CN"/>
                    </w:rPr>
                  </w:pPr>
                  <w:r>
                    <w:rPr>
                      <w:rFonts w:hint="eastAsia" w:cs="Times New Roman"/>
                      <w:color w:val="000000"/>
                    </w:rPr>
                    <w:t>33.</w:t>
                  </w:r>
                  <w:r>
                    <w:rPr>
                      <w:rFonts w:hint="eastAsia" w:cs="Times New Roman"/>
                      <w:color w:val="000000"/>
                      <w:lang w:val="en-US" w:eastAsia="zh-CN"/>
                    </w:rPr>
                    <w:t>51</w:t>
                  </w:r>
                  <w:r>
                    <w:rPr>
                      <w:rFonts w:hint="eastAsia" w:cs="Times New Roman"/>
                      <w:color w:val="000000"/>
                    </w:rPr>
                    <w:t>MJ/m</w:t>
                  </w:r>
                  <w:r>
                    <w:rPr>
                      <w:rFonts w:hint="eastAsia" w:cs="Times New Roman"/>
                      <w:color w:val="000000"/>
                      <w:vertAlign w:val="superscript"/>
                      <w:lang w:val="en-US" w:eastAsia="zh-CN"/>
                    </w:rPr>
                    <w:t>3</w:t>
                  </w:r>
                </w:p>
                <w:p>
                  <w:pPr>
                    <w:pStyle w:val="201"/>
                    <w:bidi w:val="0"/>
                    <w:rPr>
                      <w:rFonts w:hint="eastAsia" w:cs="Times New Roman"/>
                      <w:color w:val="000000"/>
                    </w:rPr>
                  </w:pPr>
                  <w:r>
                    <w:rPr>
                      <w:rFonts w:hint="eastAsia" w:cs="Times New Roman"/>
                      <w:color w:val="000000"/>
                    </w:rPr>
                    <w:t>（20</w:t>
                  </w:r>
                  <w:r>
                    <w:rPr>
                      <w:rFonts w:hint="default" w:ascii="Times New Roman" w:hAnsi="Times New Roman" w:cs="Times New Roman"/>
                      <w:color w:val="000000"/>
                    </w:rPr>
                    <w:t>℃</w:t>
                  </w:r>
                  <w:r>
                    <w:rPr>
                      <w:rFonts w:hint="eastAsia" w:cs="Times New Roman"/>
                      <w:color w:val="000000"/>
                    </w:rPr>
                    <w:t>，101.3kPa）</w:t>
                  </w:r>
                </w:p>
              </w:tc>
              <w:tc>
                <w:tcPr>
                  <w:tcW w:w="766" w:type="pct"/>
                  <w:tcBorders>
                    <w:tl2br w:val="nil"/>
                    <w:tr2bl w:val="nil"/>
                  </w:tcBorders>
                  <w:noWrap w:val="0"/>
                  <w:vAlign w:val="top"/>
                </w:tcPr>
                <w:p>
                  <w:pPr>
                    <w:pStyle w:val="201"/>
                    <w:bidi w:val="0"/>
                    <w:rPr>
                      <w:rFonts w:hint="eastAsia" w:cs="Times New Roman"/>
                      <w:color w:val="000000"/>
                    </w:rPr>
                  </w:pPr>
                  <w:r>
                    <w:rPr>
                      <w:rFonts w:hint="eastAsia" w:cs="Times New Roman"/>
                      <w:color w:val="000000"/>
                      <w:lang w:eastAsia="zh-CN"/>
                    </w:rPr>
                    <w:t>相对</w:t>
                  </w:r>
                  <w:r>
                    <w:rPr>
                      <w:rFonts w:hint="eastAsia" w:cs="Times New Roman"/>
                      <w:color w:val="000000"/>
                    </w:rPr>
                    <w:t>密度</w:t>
                  </w:r>
                </w:p>
              </w:tc>
              <w:tc>
                <w:tcPr>
                  <w:tcW w:w="1648" w:type="pct"/>
                  <w:tcBorders>
                    <w:tl2br w:val="nil"/>
                    <w:tr2bl w:val="nil"/>
                  </w:tcBorders>
                  <w:noWrap w:val="0"/>
                  <w:vAlign w:val="top"/>
                </w:tcPr>
                <w:p>
                  <w:pPr>
                    <w:pStyle w:val="201"/>
                    <w:bidi w:val="0"/>
                    <w:rPr>
                      <w:rFonts w:hint="eastAsia" w:eastAsia="宋体" w:cs="Times New Roman"/>
                      <w:color w:val="000000"/>
                      <w:lang w:val="en-US" w:eastAsia="zh-CN"/>
                    </w:rPr>
                  </w:pPr>
                  <w:r>
                    <w:rPr>
                      <w:rFonts w:hint="eastAsia" w:cs="Times New Roman"/>
                      <w:color w:val="000000"/>
                    </w:rPr>
                    <w:t>0.</w:t>
                  </w:r>
                  <w:r>
                    <w:rPr>
                      <w:rFonts w:hint="eastAsia" w:cs="Times New Roman"/>
                      <w:color w:val="000000"/>
                      <w:lang w:val="en-US" w:eastAsia="zh-CN"/>
                    </w:rPr>
                    <w:t>5589k</w:t>
                  </w:r>
                  <w:r>
                    <w:rPr>
                      <w:rFonts w:hint="eastAsia" w:cs="Times New Roman"/>
                      <w:color w:val="000000"/>
                    </w:rPr>
                    <w:t>g/m</w:t>
                  </w:r>
                  <w:r>
                    <w:rPr>
                      <w:rFonts w:hint="eastAsia" w:cs="Times New Roman"/>
                      <w:color w:val="000000"/>
                      <w:vertAlign w:val="superscript"/>
                      <w:lang w:val="en-US" w:eastAsia="zh-CN"/>
                    </w:rPr>
                    <w:t>3</w:t>
                  </w:r>
                </w:p>
                <w:p>
                  <w:pPr>
                    <w:pStyle w:val="201"/>
                    <w:bidi w:val="0"/>
                    <w:rPr>
                      <w:rFonts w:hint="eastAsia" w:cs="Times New Roman"/>
                      <w:color w:val="000000"/>
                    </w:rPr>
                  </w:pPr>
                </w:p>
              </w:tc>
            </w:tr>
          </w:tbl>
          <w:p>
            <w:pPr>
              <w:pStyle w:val="97"/>
              <w:bidi w:val="0"/>
              <w:rPr>
                <w:rFonts w:hint="eastAsia"/>
                <w:color w:val="000000"/>
                <w:lang w:val="en-US" w:eastAsia="zh-CN"/>
              </w:rPr>
            </w:pPr>
            <w:r>
              <w:rPr>
                <w:rFonts w:hint="eastAsia"/>
                <w:color w:val="000000"/>
                <w:lang w:val="en-US" w:eastAsia="zh-CN"/>
              </w:rPr>
              <w:t>参照强制性国家标准（GB17820-2012）《天然气》，本项目供应的天然气质量满足一类气技术指标。</w:t>
            </w:r>
          </w:p>
          <w:p>
            <w:pPr>
              <w:pStyle w:val="97"/>
              <w:bidi w:val="0"/>
              <w:rPr>
                <w:rFonts w:hint="eastAsia"/>
                <w:b/>
                <w:bCs/>
                <w:color w:val="000000"/>
                <w:lang w:val="en-US" w:eastAsia="zh-CN"/>
              </w:rPr>
            </w:pPr>
            <w:r>
              <w:rPr>
                <w:rFonts w:hint="eastAsia"/>
                <w:b/>
                <w:bCs/>
                <w:color w:val="000000"/>
                <w:lang w:val="en-US" w:eastAsia="zh-CN"/>
              </w:rPr>
              <w:t>4、项目场站等级</w:t>
            </w:r>
          </w:p>
          <w:p>
            <w:pPr>
              <w:pStyle w:val="97"/>
              <w:bidi w:val="0"/>
              <w:rPr>
                <w:rFonts w:hint="default"/>
                <w:color w:val="000000"/>
                <w:lang w:val="en-US" w:eastAsia="zh-CN"/>
              </w:rPr>
            </w:pPr>
            <w:r>
              <w:rPr>
                <w:rFonts w:hint="default"/>
                <w:color w:val="000000"/>
                <w:lang w:val="en-US" w:eastAsia="zh-CN"/>
              </w:rPr>
              <w:t>根据《液化天然气（LNG）汽车加气站技术规范》（NB/T1001-2011）中</w:t>
            </w:r>
            <w:r>
              <w:rPr>
                <w:rFonts w:hint="eastAsia"/>
                <w:color w:val="000000"/>
                <w:lang w:val="en-US" w:eastAsia="zh-CN"/>
              </w:rPr>
              <w:t>表4.1的规定，</w:t>
            </w:r>
            <w:r>
              <w:rPr>
                <w:rFonts w:hint="default"/>
                <w:color w:val="000000"/>
                <w:lang w:val="en-US" w:eastAsia="zh-CN"/>
              </w:rPr>
              <w:t>对LNG加气站等级进行了如下划分：</w:t>
            </w:r>
          </w:p>
          <w:p>
            <w:pPr>
              <w:pStyle w:val="8"/>
              <w:bidi w:val="0"/>
              <w:rPr>
                <w:rFonts w:hint="default"/>
                <w:color w:val="000000"/>
                <w:lang w:val="en-US" w:eastAsia="zh-CN"/>
              </w:rPr>
            </w:pPr>
            <w:r>
              <w:rPr>
                <w:rFonts w:hint="default"/>
                <w:color w:val="000000"/>
                <w:lang w:val="en-US" w:eastAsia="zh-CN"/>
              </w:rPr>
              <w:t>表 1-6</w:t>
            </w:r>
            <w:r>
              <w:rPr>
                <w:rFonts w:hint="default"/>
                <w:color w:val="000000"/>
                <w:lang w:val="en-US" w:eastAsia="zh-CN"/>
              </w:rPr>
              <w:tab/>
            </w:r>
            <w:r>
              <w:rPr>
                <w:rFonts w:hint="default"/>
                <w:color w:val="000000"/>
                <w:lang w:val="en-US" w:eastAsia="zh-CN"/>
              </w:rPr>
              <w:t>LNG 加气站的等级划分</w:t>
            </w:r>
          </w:p>
          <w:tbl>
            <w:tblPr>
              <w:tblStyle w:val="29"/>
              <w:tblW w:w="4983" w:type="pct"/>
              <w:tblInd w:w="0" w:type="dxa"/>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Layout w:type="autofit"/>
              <w:tblCellMar>
                <w:top w:w="0" w:type="dxa"/>
                <w:left w:w="0" w:type="dxa"/>
                <w:bottom w:w="0" w:type="dxa"/>
                <w:right w:w="0" w:type="dxa"/>
              </w:tblCellMar>
            </w:tblPr>
            <w:tblGrid>
              <w:gridCol w:w="2010"/>
              <w:gridCol w:w="3668"/>
              <w:gridCol w:w="3855"/>
            </w:tblGrid>
            <w:tr>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90" w:hRule="atLeast"/>
              </w:trPr>
              <w:tc>
                <w:tcPr>
                  <w:tcW w:w="1054" w:type="pct"/>
                  <w:vMerge w:val="restart"/>
                  <w:tcBorders>
                    <w:bottom w:val="single" w:color="000000" w:sz="4" w:space="0"/>
                    <w:right w:val="nil"/>
                  </w:tcBorders>
                  <w:noWrap w:val="0"/>
                  <w:vAlign w:val="center"/>
                </w:tcPr>
                <w:p>
                  <w:pPr>
                    <w:pStyle w:val="104"/>
                    <w:bidi w:val="0"/>
                    <w:jc w:val="center"/>
                    <w:rPr>
                      <w:rFonts w:hint="eastAsia" w:eastAsia="宋体"/>
                      <w:color w:val="000000"/>
                      <w:lang w:eastAsia="zh-CN"/>
                    </w:rPr>
                  </w:pPr>
                </w:p>
                <w:p>
                  <w:pPr>
                    <w:pStyle w:val="104"/>
                    <w:bidi w:val="0"/>
                    <w:jc w:val="center"/>
                    <w:rPr>
                      <w:rFonts w:hint="eastAsia"/>
                      <w:color w:val="000000"/>
                    </w:rPr>
                  </w:pPr>
                  <w:r>
                    <w:rPr>
                      <w:rFonts w:hint="eastAsia"/>
                      <w:color w:val="000000"/>
                    </w:rPr>
                    <w:t>等级</w:t>
                  </w:r>
                </w:p>
              </w:tc>
              <w:tc>
                <w:tcPr>
                  <w:tcW w:w="3945" w:type="pct"/>
                  <w:gridSpan w:val="2"/>
                  <w:tcBorders>
                    <w:left w:val="nil"/>
                    <w:bottom w:val="single" w:color="000000" w:sz="4" w:space="0"/>
                  </w:tcBorders>
                  <w:noWrap w:val="0"/>
                  <w:vAlign w:val="center"/>
                </w:tcPr>
                <w:p>
                  <w:pPr>
                    <w:pStyle w:val="104"/>
                    <w:bidi w:val="0"/>
                    <w:jc w:val="center"/>
                    <w:rPr>
                      <w:rFonts w:hint="eastAsia"/>
                      <w:color w:val="000000"/>
                    </w:rPr>
                  </w:pPr>
                  <w:r>
                    <w:rPr>
                      <w:rFonts w:hint="eastAsia"/>
                      <w:color w:val="000000"/>
                    </w:rPr>
                    <w:t>LNG加气站</w:t>
                  </w:r>
                </w:p>
              </w:tc>
            </w:tr>
            <w:tr>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86" w:hRule="atLeast"/>
              </w:trPr>
              <w:tc>
                <w:tcPr>
                  <w:tcW w:w="1054" w:type="pct"/>
                  <w:vMerge w:val="continue"/>
                  <w:tcBorders>
                    <w:top w:val="nil"/>
                    <w:bottom w:val="single" w:color="000000" w:sz="4" w:space="0"/>
                    <w:right w:val="single" w:color="000000" w:sz="4" w:space="0"/>
                  </w:tcBorders>
                  <w:noWrap w:val="0"/>
                  <w:vAlign w:val="center"/>
                </w:tcPr>
                <w:p>
                  <w:pPr>
                    <w:pStyle w:val="104"/>
                    <w:bidi w:val="0"/>
                    <w:jc w:val="center"/>
                    <w:rPr>
                      <w:color w:val="000000"/>
                    </w:rPr>
                  </w:pPr>
                </w:p>
              </w:tc>
              <w:tc>
                <w:tcPr>
                  <w:tcW w:w="1924" w:type="pct"/>
                  <w:tcBorders>
                    <w:top w:val="single" w:color="000000" w:sz="4" w:space="0"/>
                    <w:left w:val="single" w:color="000000" w:sz="4" w:space="0"/>
                    <w:bottom w:val="single" w:color="000000" w:sz="4" w:space="0"/>
                    <w:right w:val="single" w:color="000000" w:sz="4" w:space="0"/>
                  </w:tcBorders>
                  <w:noWrap w:val="0"/>
                  <w:vAlign w:val="center"/>
                </w:tcPr>
                <w:p>
                  <w:pPr>
                    <w:pStyle w:val="104"/>
                    <w:bidi w:val="0"/>
                    <w:jc w:val="center"/>
                    <w:rPr>
                      <w:rFonts w:hint="eastAsia"/>
                      <w:color w:val="000000"/>
                    </w:rPr>
                  </w:pPr>
                  <w:r>
                    <w:rPr>
                      <w:rFonts w:hint="eastAsia"/>
                      <w:color w:val="000000"/>
                    </w:rPr>
                    <w:t>LNG储罐总容积（m</w:t>
                  </w:r>
                  <w:r>
                    <w:rPr>
                      <w:rFonts w:hint="eastAsia"/>
                      <w:color w:val="000000"/>
                      <w:vertAlign w:val="superscript"/>
                      <w:lang w:val="en-US" w:eastAsia="zh-CN"/>
                    </w:rPr>
                    <w:t>3</w:t>
                  </w:r>
                  <w:r>
                    <w:rPr>
                      <w:rFonts w:hint="eastAsia"/>
                      <w:color w:val="000000"/>
                    </w:rPr>
                    <w:t>）</w:t>
                  </w:r>
                </w:p>
              </w:tc>
              <w:tc>
                <w:tcPr>
                  <w:tcW w:w="2021" w:type="pct"/>
                  <w:tcBorders>
                    <w:top w:val="single" w:color="000000" w:sz="4" w:space="0"/>
                    <w:left w:val="single" w:color="000000" w:sz="4" w:space="0"/>
                    <w:bottom w:val="single" w:color="000000" w:sz="4" w:space="0"/>
                  </w:tcBorders>
                  <w:noWrap w:val="0"/>
                  <w:vAlign w:val="center"/>
                </w:tcPr>
                <w:p>
                  <w:pPr>
                    <w:pStyle w:val="104"/>
                    <w:bidi w:val="0"/>
                    <w:jc w:val="center"/>
                    <w:rPr>
                      <w:rFonts w:hint="eastAsia"/>
                      <w:color w:val="000000"/>
                      <w:lang w:val="zh-CN" w:eastAsia="zh-CN"/>
                    </w:rPr>
                  </w:pPr>
                  <w:r>
                    <w:rPr>
                      <w:color w:val="000000"/>
                    </w:rPr>
                    <w:t>LN</w:t>
                  </w:r>
                  <w:r>
                    <w:rPr>
                      <w:rFonts w:hint="eastAsia"/>
                      <w:color w:val="000000"/>
                      <w:lang w:val="en-US" w:eastAsia="zh-CN"/>
                    </w:rPr>
                    <w:t>G</w:t>
                  </w:r>
                  <w:r>
                    <w:rPr>
                      <w:rFonts w:hint="eastAsia"/>
                      <w:color w:val="000000"/>
                    </w:rPr>
                    <w:t>储罐单罐容积（</w:t>
                  </w:r>
                  <w:r>
                    <w:rPr>
                      <w:color w:val="000000"/>
                    </w:rPr>
                    <w:t>m³</w:t>
                  </w:r>
                  <w:r>
                    <w:rPr>
                      <w:rFonts w:hint="eastAsia"/>
                      <w:color w:val="000000"/>
                    </w:rPr>
                    <w:t>）</w:t>
                  </w:r>
                </w:p>
              </w:tc>
            </w:tr>
            <w:tr>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41" w:hRule="atLeast"/>
              </w:trPr>
              <w:tc>
                <w:tcPr>
                  <w:tcW w:w="1054" w:type="pct"/>
                  <w:tcBorders>
                    <w:top w:val="single" w:color="000000" w:sz="4" w:space="0"/>
                    <w:bottom w:val="single" w:color="000000" w:sz="4" w:space="0"/>
                    <w:right w:val="single" w:color="000000" w:sz="4" w:space="0"/>
                  </w:tcBorders>
                  <w:noWrap w:val="0"/>
                  <w:vAlign w:val="center"/>
                </w:tcPr>
                <w:p>
                  <w:pPr>
                    <w:pStyle w:val="104"/>
                    <w:bidi w:val="0"/>
                    <w:jc w:val="center"/>
                    <w:rPr>
                      <w:rFonts w:hint="eastAsia"/>
                      <w:color w:val="000000"/>
                    </w:rPr>
                  </w:pPr>
                  <w:r>
                    <w:rPr>
                      <w:rFonts w:hint="eastAsia"/>
                      <w:color w:val="000000"/>
                    </w:rPr>
                    <w:t>一级</w:t>
                  </w:r>
                </w:p>
              </w:tc>
              <w:tc>
                <w:tcPr>
                  <w:tcW w:w="1924" w:type="pct"/>
                  <w:tcBorders>
                    <w:top w:val="single" w:color="000000" w:sz="4" w:space="0"/>
                    <w:left w:val="single" w:color="000000" w:sz="4" w:space="0"/>
                    <w:bottom w:val="single" w:color="000000" w:sz="4" w:space="0"/>
                    <w:right w:val="single" w:color="000000" w:sz="4" w:space="0"/>
                  </w:tcBorders>
                  <w:noWrap w:val="0"/>
                  <w:vAlign w:val="center"/>
                </w:tcPr>
                <w:p>
                  <w:pPr>
                    <w:pStyle w:val="104"/>
                    <w:bidi w:val="0"/>
                    <w:jc w:val="center"/>
                    <w:rPr>
                      <w:color w:val="000000"/>
                    </w:rPr>
                  </w:pPr>
                  <w:r>
                    <w:rPr>
                      <w:color w:val="000000"/>
                    </w:rPr>
                    <w:t>1</w:t>
                  </w:r>
                  <w:r>
                    <w:rPr>
                      <w:rFonts w:hint="eastAsia"/>
                      <w:color w:val="000000"/>
                      <w:lang w:val="en-US" w:eastAsia="zh-CN"/>
                    </w:rPr>
                    <w:t>2</w:t>
                  </w:r>
                  <w:r>
                    <w:rPr>
                      <w:color w:val="000000"/>
                    </w:rPr>
                    <w:t>0</w:t>
                  </w:r>
                  <w:r>
                    <w:rPr>
                      <w:rFonts w:hint="eastAsia"/>
                      <w:color w:val="000000"/>
                    </w:rPr>
                    <w:t>﹤</w:t>
                  </w:r>
                  <w:r>
                    <w:rPr>
                      <w:color w:val="000000"/>
                    </w:rPr>
                    <w:t>V≤180</w:t>
                  </w:r>
                </w:p>
              </w:tc>
              <w:tc>
                <w:tcPr>
                  <w:tcW w:w="2021" w:type="pct"/>
                  <w:tcBorders>
                    <w:top w:val="single" w:color="000000" w:sz="4" w:space="0"/>
                    <w:left w:val="single" w:color="000000" w:sz="4" w:space="0"/>
                    <w:bottom w:val="single" w:color="000000" w:sz="4" w:space="0"/>
                  </w:tcBorders>
                  <w:noWrap w:val="0"/>
                  <w:vAlign w:val="center"/>
                </w:tcPr>
                <w:p>
                  <w:pPr>
                    <w:pStyle w:val="104"/>
                    <w:bidi w:val="0"/>
                    <w:jc w:val="center"/>
                    <w:rPr>
                      <w:color w:val="000000"/>
                    </w:rPr>
                  </w:pPr>
                  <w:r>
                    <w:rPr>
                      <w:color w:val="000000"/>
                    </w:rPr>
                    <w:t>V≤60</w:t>
                  </w:r>
                </w:p>
              </w:tc>
            </w:tr>
            <w:tr>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41" w:hRule="atLeast"/>
              </w:trPr>
              <w:tc>
                <w:tcPr>
                  <w:tcW w:w="1054" w:type="pct"/>
                  <w:tcBorders>
                    <w:top w:val="single" w:color="000000" w:sz="4" w:space="0"/>
                    <w:bottom w:val="single" w:color="000000" w:sz="4" w:space="0"/>
                    <w:right w:val="single" w:color="000000" w:sz="4" w:space="0"/>
                  </w:tcBorders>
                  <w:noWrap w:val="0"/>
                  <w:vAlign w:val="center"/>
                </w:tcPr>
                <w:p>
                  <w:pPr>
                    <w:pStyle w:val="104"/>
                    <w:bidi w:val="0"/>
                    <w:jc w:val="center"/>
                    <w:rPr>
                      <w:rFonts w:hint="eastAsia"/>
                      <w:color w:val="000000"/>
                    </w:rPr>
                  </w:pPr>
                  <w:r>
                    <w:rPr>
                      <w:rFonts w:hint="eastAsia"/>
                      <w:color w:val="000000"/>
                    </w:rPr>
                    <w:t>二级</w:t>
                  </w:r>
                </w:p>
              </w:tc>
              <w:tc>
                <w:tcPr>
                  <w:tcW w:w="1924" w:type="pct"/>
                  <w:tcBorders>
                    <w:top w:val="single" w:color="000000" w:sz="4" w:space="0"/>
                    <w:left w:val="single" w:color="000000" w:sz="4" w:space="0"/>
                    <w:bottom w:val="single" w:color="000000" w:sz="4" w:space="0"/>
                    <w:right w:val="single" w:color="000000" w:sz="4" w:space="0"/>
                  </w:tcBorders>
                  <w:noWrap w:val="0"/>
                  <w:vAlign w:val="center"/>
                </w:tcPr>
                <w:p>
                  <w:pPr>
                    <w:pStyle w:val="104"/>
                    <w:bidi w:val="0"/>
                    <w:jc w:val="center"/>
                    <w:rPr>
                      <w:color w:val="000000"/>
                    </w:rPr>
                  </w:pPr>
                  <w:r>
                    <w:rPr>
                      <w:color w:val="000000"/>
                    </w:rPr>
                    <w:t>60</w:t>
                  </w:r>
                  <w:r>
                    <w:rPr>
                      <w:rFonts w:hint="eastAsia"/>
                      <w:color w:val="000000"/>
                    </w:rPr>
                    <w:t>﹤</w:t>
                  </w:r>
                  <w:r>
                    <w:rPr>
                      <w:color w:val="000000"/>
                    </w:rPr>
                    <w:t>V≤120</w:t>
                  </w:r>
                </w:p>
              </w:tc>
              <w:tc>
                <w:tcPr>
                  <w:tcW w:w="2021" w:type="pct"/>
                  <w:tcBorders>
                    <w:top w:val="single" w:color="000000" w:sz="4" w:space="0"/>
                    <w:left w:val="single" w:color="000000" w:sz="4" w:space="0"/>
                    <w:bottom w:val="single" w:color="000000" w:sz="4" w:space="0"/>
                  </w:tcBorders>
                  <w:noWrap w:val="0"/>
                  <w:vAlign w:val="center"/>
                </w:tcPr>
                <w:p>
                  <w:pPr>
                    <w:pStyle w:val="104"/>
                    <w:bidi w:val="0"/>
                    <w:jc w:val="center"/>
                    <w:rPr>
                      <w:color w:val="000000"/>
                    </w:rPr>
                  </w:pPr>
                  <w:r>
                    <w:rPr>
                      <w:color w:val="000000"/>
                    </w:rPr>
                    <w:t>V≤60</w:t>
                  </w:r>
                </w:p>
              </w:tc>
            </w:tr>
            <w:tr>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41" w:hRule="atLeast"/>
              </w:trPr>
              <w:tc>
                <w:tcPr>
                  <w:tcW w:w="1054" w:type="pct"/>
                  <w:tcBorders>
                    <w:top w:val="single" w:color="000000" w:sz="4" w:space="0"/>
                    <w:bottom w:val="single" w:color="000000" w:sz="4" w:space="0"/>
                    <w:right w:val="single" w:color="000000" w:sz="4" w:space="0"/>
                  </w:tcBorders>
                  <w:noWrap w:val="0"/>
                  <w:vAlign w:val="center"/>
                </w:tcPr>
                <w:p>
                  <w:pPr>
                    <w:pStyle w:val="104"/>
                    <w:bidi w:val="0"/>
                    <w:jc w:val="center"/>
                    <w:rPr>
                      <w:rFonts w:hint="eastAsia"/>
                      <w:color w:val="000000"/>
                    </w:rPr>
                  </w:pPr>
                  <w:r>
                    <w:rPr>
                      <w:rFonts w:hint="eastAsia"/>
                      <w:color w:val="000000"/>
                    </w:rPr>
                    <w:t>三级</w:t>
                  </w:r>
                </w:p>
              </w:tc>
              <w:tc>
                <w:tcPr>
                  <w:tcW w:w="3945" w:type="pct"/>
                  <w:gridSpan w:val="2"/>
                  <w:tcBorders>
                    <w:top w:val="single" w:color="000000" w:sz="4" w:space="0"/>
                    <w:left w:val="single" w:color="000000" w:sz="4" w:space="0"/>
                    <w:bottom w:val="single" w:color="000000" w:sz="4" w:space="0"/>
                  </w:tcBorders>
                  <w:noWrap w:val="0"/>
                  <w:vAlign w:val="center"/>
                </w:tcPr>
                <w:p>
                  <w:pPr>
                    <w:pStyle w:val="104"/>
                    <w:bidi w:val="0"/>
                    <w:jc w:val="center"/>
                    <w:rPr>
                      <w:color w:val="000000"/>
                    </w:rPr>
                  </w:pPr>
                  <w:r>
                    <w:rPr>
                      <w:color w:val="000000"/>
                    </w:rPr>
                    <w:t>V≤60</w:t>
                  </w:r>
                </w:p>
              </w:tc>
            </w:tr>
            <w:tr>
              <w:tblPrEx>
                <w:tblBorders>
                  <w:top w:val="single" w:color="000000" w:sz="12" w:space="0"/>
                  <w:left w:val="none" w:color="auto" w:sz="0" w:space="0"/>
                  <w:bottom w:val="single" w:color="000000" w:sz="12" w:space="0"/>
                  <w:right w:val="none" w:color="auto" w:sz="0" w:space="0"/>
                  <w:insideH w:val="single" w:color="000000" w:sz="12" w:space="0"/>
                  <w:insideV w:val="single" w:color="000000" w:sz="12" w:space="0"/>
                </w:tblBorders>
                <w:tblCellMar>
                  <w:top w:w="0" w:type="dxa"/>
                  <w:left w:w="0" w:type="dxa"/>
                  <w:bottom w:w="0" w:type="dxa"/>
                  <w:right w:w="0" w:type="dxa"/>
                </w:tblCellMar>
              </w:tblPrEx>
              <w:trPr>
                <w:trHeight w:val="341" w:hRule="atLeast"/>
              </w:trPr>
              <w:tc>
                <w:tcPr>
                  <w:tcW w:w="5000" w:type="pct"/>
                  <w:gridSpan w:val="3"/>
                  <w:tcBorders>
                    <w:top w:val="single" w:color="000000" w:sz="4" w:space="0"/>
                    <w:bottom w:val="single" w:color="000000" w:sz="4" w:space="0"/>
                  </w:tcBorders>
                  <w:noWrap w:val="0"/>
                  <w:vAlign w:val="center"/>
                </w:tcPr>
                <w:p>
                  <w:pPr>
                    <w:pStyle w:val="104"/>
                    <w:bidi w:val="0"/>
                    <w:jc w:val="center"/>
                    <w:rPr>
                      <w:rFonts w:hint="default" w:eastAsia="宋体"/>
                      <w:color w:val="000000"/>
                      <w:lang w:val="en-US" w:eastAsia="zh-CN"/>
                    </w:rPr>
                  </w:pPr>
                  <w:r>
                    <w:rPr>
                      <w:rFonts w:hint="eastAsia"/>
                      <w:color w:val="000000"/>
                      <w:lang w:eastAsia="zh-CN"/>
                    </w:rPr>
                    <w:t>注：</w:t>
                  </w:r>
                  <w:r>
                    <w:rPr>
                      <w:rFonts w:hint="eastAsia"/>
                      <w:color w:val="000000"/>
                      <w:lang w:val="en-US" w:eastAsia="zh-CN"/>
                    </w:rPr>
                    <w:t>V为LNG储罐总容积</w:t>
                  </w:r>
                </w:p>
              </w:tc>
            </w:tr>
          </w:tbl>
          <w:p>
            <w:pPr>
              <w:pStyle w:val="97"/>
              <w:bidi w:val="0"/>
              <w:rPr>
                <w:rFonts w:hint="eastAsia"/>
                <w:color w:val="000000"/>
                <w:lang w:val="en-US" w:eastAsia="zh-CN"/>
              </w:rPr>
            </w:pPr>
            <w:r>
              <w:rPr>
                <w:rFonts w:hint="eastAsia"/>
                <w:color w:val="000000"/>
                <w:lang w:val="en-US" w:eastAsia="zh-CN"/>
              </w:rPr>
              <w:t>本项目拟设1座60m</w:t>
            </w:r>
            <w:r>
              <w:rPr>
                <w:rFonts w:hint="eastAsia"/>
                <w:color w:val="000000"/>
                <w:vertAlign w:val="superscript"/>
                <w:lang w:val="en-US" w:eastAsia="zh-CN"/>
              </w:rPr>
              <w:t xml:space="preserve">3 </w:t>
            </w:r>
            <w:r>
              <w:rPr>
                <w:rFonts w:hint="eastAsia"/>
                <w:color w:val="000000"/>
                <w:lang w:val="en-US" w:eastAsia="zh-CN"/>
              </w:rPr>
              <w:t>LNG低温储罐，2套LNG加注撬，3台单枪LNG加气机等设施。因此，参照上表中LNG储罐总容积V≤60m</w:t>
            </w:r>
            <w:r>
              <w:rPr>
                <w:rFonts w:hint="eastAsia"/>
                <w:color w:val="000000"/>
                <w:vertAlign w:val="superscript"/>
                <w:lang w:val="en-US" w:eastAsia="zh-CN"/>
              </w:rPr>
              <w:t>3</w:t>
            </w:r>
            <w:r>
              <w:rPr>
                <w:rFonts w:hint="eastAsia"/>
                <w:color w:val="000000"/>
                <w:lang w:val="en-US" w:eastAsia="zh-CN"/>
              </w:rPr>
              <w:t>，LNG储罐单罐容积V≤60m</w:t>
            </w:r>
            <w:r>
              <w:rPr>
                <w:rFonts w:hint="eastAsia"/>
                <w:color w:val="000000"/>
                <w:vertAlign w:val="superscript"/>
                <w:lang w:val="en-US" w:eastAsia="zh-CN"/>
              </w:rPr>
              <w:t>3</w:t>
            </w:r>
            <w:r>
              <w:rPr>
                <w:rFonts w:hint="eastAsia"/>
                <w:color w:val="000000"/>
                <w:lang w:val="en-US" w:eastAsia="zh-CN"/>
              </w:rPr>
              <w:t>。对本项目加气站等级进行判定，本项目属于三级加气站。</w:t>
            </w:r>
          </w:p>
          <w:p>
            <w:pPr>
              <w:pStyle w:val="97"/>
              <w:bidi w:val="0"/>
              <w:rPr>
                <w:rFonts w:hint="eastAsia"/>
                <w:b/>
                <w:bCs/>
                <w:color w:val="000000"/>
                <w:lang w:val="en-US" w:eastAsia="zh-CN"/>
              </w:rPr>
            </w:pPr>
            <w:r>
              <w:rPr>
                <w:rFonts w:hint="eastAsia"/>
                <w:b/>
                <w:bCs/>
                <w:color w:val="000000"/>
                <w:lang w:val="en-US" w:eastAsia="zh-CN"/>
              </w:rPr>
              <w:t>5、项目组成及主要环境问题</w:t>
            </w:r>
          </w:p>
          <w:p>
            <w:pPr>
              <w:pStyle w:val="97"/>
              <w:bidi w:val="0"/>
              <w:rPr>
                <w:rFonts w:hint="eastAsia"/>
                <w:color w:val="000000"/>
                <w:lang w:val="en-US" w:eastAsia="zh-CN"/>
              </w:rPr>
            </w:pPr>
            <w:r>
              <w:rPr>
                <w:rFonts w:hint="eastAsia"/>
                <w:color w:val="000000"/>
                <w:lang w:val="en-US" w:eastAsia="zh-CN"/>
              </w:rPr>
              <w:t>项目组成及可能产生的环境问题见下表：</w:t>
            </w:r>
          </w:p>
          <w:p>
            <w:pPr>
              <w:pStyle w:val="195"/>
              <w:bidi w:val="0"/>
              <w:rPr>
                <w:rFonts w:hint="eastAsia"/>
                <w:color w:val="000000"/>
                <w:lang w:val="en-US" w:eastAsia="zh-CN"/>
              </w:rPr>
            </w:pPr>
            <w:r>
              <w:rPr>
                <w:rFonts w:hint="eastAsia"/>
                <w:color w:val="000000"/>
                <w:lang w:val="en-US" w:eastAsia="zh-CN"/>
              </w:rPr>
              <w:t>表 1-7</w:t>
            </w:r>
            <w:r>
              <w:rPr>
                <w:rFonts w:hint="eastAsia"/>
                <w:color w:val="000000"/>
                <w:lang w:val="en-US" w:eastAsia="zh-CN"/>
              </w:rPr>
              <w:tab/>
            </w:r>
            <w:r>
              <w:rPr>
                <w:rFonts w:hint="eastAsia"/>
                <w:color w:val="000000"/>
                <w:lang w:val="en-US" w:eastAsia="zh-CN"/>
              </w:rPr>
              <w:t>项目工程组成及主要环境问题</w:t>
            </w:r>
          </w:p>
          <w:tbl>
            <w:tblPr>
              <w:tblStyle w:val="30"/>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681"/>
              <w:gridCol w:w="850"/>
              <w:gridCol w:w="4337"/>
              <w:gridCol w:w="1235"/>
              <w:gridCol w:w="1043"/>
              <w:gridCol w:w="52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280" w:hRule="atLeast"/>
              </w:trPr>
              <w:tc>
                <w:tcPr>
                  <w:tcW w:w="468" w:type="pct"/>
                  <w:vMerge w:val="restart"/>
                  <w:noWrap w:val="0"/>
                  <w:vAlign w:val="center"/>
                </w:tcPr>
                <w:p>
                  <w:pPr>
                    <w:pStyle w:val="161"/>
                    <w:bidi w:val="0"/>
                    <w:rPr>
                      <w:rFonts w:hint="eastAsia"/>
                      <w:color w:val="000000"/>
                      <w:lang w:eastAsia="zh-CN"/>
                    </w:rPr>
                  </w:pPr>
                  <w:r>
                    <w:rPr>
                      <w:rFonts w:hint="eastAsia"/>
                      <w:color w:val="000000"/>
                      <w:lang w:eastAsia="zh-CN"/>
                    </w:rPr>
                    <w:t>工程</w:t>
                  </w:r>
                </w:p>
                <w:p>
                  <w:pPr>
                    <w:pStyle w:val="161"/>
                    <w:bidi w:val="0"/>
                    <w:rPr>
                      <w:rFonts w:hint="eastAsia"/>
                      <w:color w:val="000000"/>
                      <w:lang w:eastAsia="zh-CN"/>
                    </w:rPr>
                  </w:pPr>
                  <w:r>
                    <w:rPr>
                      <w:rFonts w:hint="eastAsia"/>
                      <w:color w:val="000000"/>
                      <w:lang w:val="en-US" w:eastAsia="zh-CN"/>
                    </w:rPr>
                    <w:t xml:space="preserve"> </w:t>
                  </w:r>
                  <w:r>
                    <w:rPr>
                      <w:rFonts w:hint="eastAsia"/>
                      <w:color w:val="000000"/>
                      <w:lang w:eastAsia="zh-CN"/>
                    </w:rPr>
                    <w:t>分类</w:t>
                  </w:r>
                </w:p>
              </w:tc>
              <w:tc>
                <w:tcPr>
                  <w:tcW w:w="800" w:type="pct"/>
                  <w:gridSpan w:val="2"/>
                  <w:vMerge w:val="restart"/>
                  <w:noWrap w:val="0"/>
                  <w:vAlign w:val="center"/>
                </w:tcPr>
                <w:p>
                  <w:pPr>
                    <w:pStyle w:val="161"/>
                    <w:bidi w:val="0"/>
                    <w:rPr>
                      <w:rFonts w:hint="eastAsia"/>
                      <w:color w:val="000000"/>
                      <w:lang w:eastAsia="zh-CN"/>
                    </w:rPr>
                  </w:pPr>
                  <w:r>
                    <w:rPr>
                      <w:rFonts w:hint="eastAsia"/>
                      <w:color w:val="000000"/>
                      <w:lang w:eastAsia="zh-CN"/>
                    </w:rPr>
                    <w:t>项目名称</w:t>
                  </w:r>
                </w:p>
              </w:tc>
              <w:tc>
                <w:tcPr>
                  <w:tcW w:w="2266" w:type="pct"/>
                  <w:vMerge w:val="restart"/>
                  <w:noWrap w:val="0"/>
                  <w:vAlign w:val="center"/>
                </w:tcPr>
                <w:p>
                  <w:pPr>
                    <w:pStyle w:val="161"/>
                    <w:bidi w:val="0"/>
                    <w:jc w:val="center"/>
                    <w:rPr>
                      <w:rFonts w:hint="eastAsia"/>
                      <w:color w:val="000000"/>
                      <w:lang w:eastAsia="zh-CN"/>
                    </w:rPr>
                  </w:pPr>
                  <w:r>
                    <w:rPr>
                      <w:rFonts w:hint="eastAsia"/>
                      <w:color w:val="000000"/>
                      <w:lang w:eastAsia="zh-CN"/>
                    </w:rPr>
                    <w:t>建设内容</w:t>
                  </w:r>
                </w:p>
              </w:tc>
              <w:tc>
                <w:tcPr>
                  <w:tcW w:w="1190" w:type="pct"/>
                  <w:gridSpan w:val="2"/>
                  <w:noWrap w:val="0"/>
                  <w:vAlign w:val="center"/>
                </w:tcPr>
                <w:p>
                  <w:pPr>
                    <w:pStyle w:val="161"/>
                    <w:bidi w:val="0"/>
                    <w:rPr>
                      <w:rFonts w:hint="eastAsia"/>
                      <w:color w:val="000000"/>
                      <w:lang w:eastAsia="zh-CN"/>
                    </w:rPr>
                  </w:pPr>
                  <w:r>
                    <w:rPr>
                      <w:rFonts w:hint="eastAsia"/>
                      <w:color w:val="000000"/>
                      <w:lang w:eastAsia="zh-CN"/>
                    </w:rPr>
                    <w:t>可能产生的</w:t>
                  </w:r>
                </w:p>
                <w:p>
                  <w:pPr>
                    <w:pStyle w:val="161"/>
                    <w:bidi w:val="0"/>
                    <w:rPr>
                      <w:rFonts w:hint="eastAsia"/>
                      <w:color w:val="000000"/>
                      <w:lang w:eastAsia="zh-CN"/>
                    </w:rPr>
                  </w:pPr>
                  <w:r>
                    <w:rPr>
                      <w:rFonts w:hint="eastAsia"/>
                      <w:color w:val="000000"/>
                      <w:lang w:eastAsia="zh-CN"/>
                    </w:rPr>
                    <w:t>环境问题</w:t>
                  </w:r>
                </w:p>
              </w:tc>
              <w:tc>
                <w:tcPr>
                  <w:tcW w:w="274" w:type="pct"/>
                  <w:vMerge w:val="restart"/>
                  <w:noWrap w:val="0"/>
                  <w:vAlign w:val="center"/>
                </w:tcPr>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备注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8" w:type="pct"/>
                  <w:vMerge w:val="continue"/>
                  <w:noWrap w:val="0"/>
                  <w:vAlign w:val="center"/>
                </w:tcPr>
                <w:p>
                  <w:pPr>
                    <w:pStyle w:val="161"/>
                    <w:bidi w:val="0"/>
                    <w:rPr>
                      <w:rFonts w:hint="eastAsia"/>
                      <w:color w:val="000000"/>
                      <w:lang w:eastAsia="zh-CN"/>
                    </w:rPr>
                  </w:pPr>
                </w:p>
              </w:tc>
              <w:tc>
                <w:tcPr>
                  <w:tcW w:w="800" w:type="pct"/>
                  <w:gridSpan w:val="2"/>
                  <w:vMerge w:val="continue"/>
                  <w:noWrap w:val="0"/>
                  <w:vAlign w:val="center"/>
                </w:tcPr>
                <w:p>
                  <w:pPr>
                    <w:pStyle w:val="161"/>
                    <w:bidi w:val="0"/>
                    <w:rPr>
                      <w:rFonts w:hint="eastAsia"/>
                      <w:color w:val="000000"/>
                      <w:lang w:eastAsia="zh-CN"/>
                    </w:rPr>
                  </w:pPr>
                </w:p>
              </w:tc>
              <w:tc>
                <w:tcPr>
                  <w:tcW w:w="2266" w:type="pct"/>
                  <w:vMerge w:val="continue"/>
                  <w:noWrap w:val="0"/>
                  <w:vAlign w:val="center"/>
                </w:tcPr>
                <w:p>
                  <w:pPr>
                    <w:pStyle w:val="161"/>
                    <w:bidi w:val="0"/>
                    <w:rPr>
                      <w:rFonts w:hint="eastAsia"/>
                      <w:color w:val="000000"/>
                      <w:lang w:eastAsia="zh-CN"/>
                    </w:rPr>
                  </w:pPr>
                </w:p>
              </w:tc>
              <w:tc>
                <w:tcPr>
                  <w:tcW w:w="645" w:type="pct"/>
                  <w:noWrap w:val="0"/>
                  <w:vAlign w:val="center"/>
                </w:tcPr>
                <w:p>
                  <w:pPr>
                    <w:pStyle w:val="161"/>
                    <w:bidi w:val="0"/>
                    <w:rPr>
                      <w:rFonts w:hint="eastAsia"/>
                      <w:color w:val="000000"/>
                      <w:lang w:eastAsia="zh-CN"/>
                    </w:rPr>
                  </w:pPr>
                  <w:r>
                    <w:rPr>
                      <w:rFonts w:hint="eastAsia"/>
                      <w:color w:val="000000"/>
                      <w:lang w:eastAsia="zh-CN"/>
                    </w:rPr>
                    <w:t>施工期</w:t>
                  </w:r>
                </w:p>
              </w:tc>
              <w:tc>
                <w:tcPr>
                  <w:tcW w:w="545" w:type="pct"/>
                  <w:noWrap w:val="0"/>
                  <w:vAlign w:val="center"/>
                </w:tcPr>
                <w:p>
                  <w:pPr>
                    <w:pStyle w:val="161"/>
                    <w:bidi w:val="0"/>
                    <w:rPr>
                      <w:rFonts w:hint="eastAsia"/>
                      <w:color w:val="000000"/>
                      <w:lang w:eastAsia="zh-CN"/>
                    </w:rPr>
                  </w:pPr>
                  <w:r>
                    <w:rPr>
                      <w:rFonts w:hint="eastAsia"/>
                      <w:color w:val="000000"/>
                      <w:lang w:eastAsia="zh-CN"/>
                    </w:rPr>
                    <w:t>运营期</w:t>
                  </w:r>
                </w:p>
              </w:tc>
              <w:tc>
                <w:tcPr>
                  <w:tcW w:w="274" w:type="pct"/>
                  <w:vMerge w:val="continue"/>
                  <w:noWrap w:val="0"/>
                  <w:vAlign w:val="center"/>
                </w:tcPr>
                <w:p>
                  <w:pPr>
                    <w:pStyle w:val="161"/>
                    <w:bidi w:val="0"/>
                    <w:rPr>
                      <w:rFonts w:hint="eastAsia"/>
                      <w:color w:val="00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468" w:type="pct"/>
                  <w:vMerge w:val="restart"/>
                  <w:noWrap w:val="0"/>
                  <w:vAlign w:val="center"/>
                </w:tcPr>
                <w:p>
                  <w:pPr>
                    <w:pStyle w:val="161"/>
                    <w:bidi w:val="0"/>
                    <w:rPr>
                      <w:rFonts w:hint="eastAsia"/>
                      <w:color w:val="000000"/>
                    </w:rPr>
                  </w:pPr>
                  <w:r>
                    <w:rPr>
                      <w:rFonts w:hint="eastAsia"/>
                      <w:color w:val="000000"/>
                    </w:rPr>
                    <w:t>主体</w:t>
                  </w:r>
                </w:p>
                <w:p>
                  <w:pPr>
                    <w:pStyle w:val="161"/>
                    <w:bidi w:val="0"/>
                    <w:rPr>
                      <w:rFonts w:hint="eastAsia"/>
                      <w:color w:val="000000"/>
                      <w:lang w:val="en-US" w:eastAsia="zh-CN"/>
                    </w:rPr>
                  </w:pPr>
                  <w:r>
                    <w:rPr>
                      <w:rFonts w:hint="eastAsia"/>
                      <w:color w:val="000000"/>
                    </w:rPr>
                    <w:t>工程</w:t>
                  </w:r>
                </w:p>
              </w:tc>
              <w:tc>
                <w:tcPr>
                  <w:tcW w:w="800" w:type="pct"/>
                  <w:gridSpan w:val="2"/>
                  <w:noWrap w:val="0"/>
                  <w:vAlign w:val="center"/>
                </w:tcPr>
                <w:p>
                  <w:pPr>
                    <w:pStyle w:val="161"/>
                    <w:bidi w:val="0"/>
                    <w:rPr>
                      <w:rFonts w:hint="eastAsia"/>
                      <w:color w:val="000000"/>
                      <w:lang w:eastAsia="zh-CN"/>
                    </w:rPr>
                  </w:pPr>
                  <w:r>
                    <w:rPr>
                      <w:rFonts w:hint="eastAsia"/>
                      <w:color w:val="000000"/>
                      <w:lang w:eastAsia="zh-CN"/>
                    </w:rPr>
                    <w:t>加气区</w:t>
                  </w:r>
                </w:p>
              </w:tc>
              <w:tc>
                <w:tcPr>
                  <w:tcW w:w="2266" w:type="pct"/>
                  <w:noWrap w:val="0"/>
                  <w:vAlign w:val="center"/>
                </w:tcPr>
                <w:p>
                  <w:pPr>
                    <w:pStyle w:val="161"/>
                    <w:bidi w:val="0"/>
                    <w:jc w:val="both"/>
                    <w:rPr>
                      <w:rFonts w:hint="eastAsia"/>
                      <w:color w:val="000000"/>
                    </w:rPr>
                  </w:pPr>
                  <w:r>
                    <w:rPr>
                      <w:rFonts w:hint="eastAsia"/>
                      <w:color w:val="000000"/>
                    </w:rPr>
                    <w:t xml:space="preserve">新建3台双枪 LNG </w:t>
                  </w:r>
                  <w:r>
                    <w:rPr>
                      <w:rFonts w:hint="eastAsia" w:eastAsia="宋体"/>
                      <w:color w:val="000000"/>
                      <w:lang w:eastAsia="zh-CN"/>
                    </w:rPr>
                    <w:t>双枪</w:t>
                  </w:r>
                  <w:r>
                    <w:rPr>
                      <w:rFonts w:hint="eastAsia"/>
                      <w:color w:val="000000"/>
                    </w:rPr>
                    <w:t>加气机，加气机间距为 10.5m</w:t>
                  </w:r>
                </w:p>
              </w:tc>
              <w:tc>
                <w:tcPr>
                  <w:tcW w:w="645" w:type="pct"/>
                  <w:vMerge w:val="restart"/>
                  <w:noWrap w:val="0"/>
                  <w:vAlign w:val="center"/>
                </w:tcPr>
                <w:p>
                  <w:pPr>
                    <w:pStyle w:val="161"/>
                    <w:bidi w:val="0"/>
                    <w:rPr>
                      <w:rFonts w:hint="eastAsia"/>
                      <w:color w:val="000000"/>
                      <w:lang w:eastAsia="zh-CN"/>
                    </w:rPr>
                  </w:pPr>
                </w:p>
                <w:p>
                  <w:pPr>
                    <w:pStyle w:val="161"/>
                    <w:bidi w:val="0"/>
                    <w:rPr>
                      <w:rFonts w:hint="eastAsia"/>
                      <w:color w:val="000000"/>
                      <w:lang w:eastAsia="zh-CN"/>
                    </w:rPr>
                  </w:pPr>
                </w:p>
                <w:p>
                  <w:pPr>
                    <w:pStyle w:val="161"/>
                    <w:bidi w:val="0"/>
                    <w:rPr>
                      <w:rFonts w:hint="eastAsia"/>
                      <w:color w:val="000000"/>
                      <w:lang w:eastAsia="zh-CN"/>
                    </w:rPr>
                  </w:pPr>
                </w:p>
                <w:p>
                  <w:pPr>
                    <w:pStyle w:val="161"/>
                    <w:bidi w:val="0"/>
                    <w:rPr>
                      <w:rFonts w:hint="eastAsia"/>
                      <w:color w:val="000000"/>
                      <w:lang w:eastAsia="zh-CN"/>
                    </w:rPr>
                  </w:pPr>
                </w:p>
                <w:p>
                  <w:pPr>
                    <w:pStyle w:val="161"/>
                    <w:bidi w:val="0"/>
                    <w:rPr>
                      <w:rFonts w:hint="eastAsia"/>
                      <w:color w:val="000000"/>
                      <w:lang w:eastAsia="zh-CN"/>
                    </w:rPr>
                  </w:pPr>
                </w:p>
                <w:p>
                  <w:pPr>
                    <w:pStyle w:val="161"/>
                    <w:bidi w:val="0"/>
                    <w:rPr>
                      <w:rFonts w:hint="eastAsia"/>
                      <w:color w:val="000000"/>
                      <w:lang w:eastAsia="zh-CN"/>
                    </w:rPr>
                  </w:pPr>
                </w:p>
                <w:p>
                  <w:pPr>
                    <w:pStyle w:val="161"/>
                    <w:bidi w:val="0"/>
                    <w:rPr>
                      <w:rFonts w:hint="eastAsia"/>
                      <w:color w:val="000000"/>
                      <w:lang w:eastAsia="zh-CN"/>
                    </w:rPr>
                  </w:pPr>
                </w:p>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施工扬尘</w:t>
                  </w:r>
                </w:p>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施工废水</w:t>
                  </w:r>
                </w:p>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施工噪声</w:t>
                  </w:r>
                </w:p>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建筑弃渣</w:t>
                  </w:r>
                </w:p>
                <w:p>
                  <w:pPr>
                    <w:pStyle w:val="161"/>
                    <w:bidi w:val="0"/>
                    <w:rPr>
                      <w:rFonts w:hint="eastAsia"/>
                      <w:color w:val="000000"/>
                      <w:lang w:eastAsia="zh-CN"/>
                    </w:rPr>
                  </w:pPr>
                </w:p>
                <w:p>
                  <w:pPr>
                    <w:pStyle w:val="161"/>
                    <w:bidi w:val="0"/>
                    <w:rPr>
                      <w:rFonts w:hint="eastAsia"/>
                      <w:color w:val="000000"/>
                    </w:rPr>
                  </w:pPr>
                </w:p>
                <w:p>
                  <w:pPr>
                    <w:pStyle w:val="161"/>
                    <w:bidi w:val="0"/>
                    <w:rPr>
                      <w:rFonts w:hint="eastAsia"/>
                      <w:color w:val="000000"/>
                    </w:rPr>
                  </w:pPr>
                </w:p>
                <w:p>
                  <w:pPr>
                    <w:pStyle w:val="161"/>
                    <w:bidi w:val="0"/>
                    <w:rPr>
                      <w:rFonts w:hint="eastAsia"/>
                      <w:color w:val="000000"/>
                    </w:rPr>
                  </w:pPr>
                </w:p>
                <w:p>
                  <w:pPr>
                    <w:pStyle w:val="161"/>
                    <w:bidi w:val="0"/>
                    <w:rPr>
                      <w:rFonts w:hint="eastAsia"/>
                      <w:color w:val="000000"/>
                    </w:rPr>
                  </w:pPr>
                </w:p>
                <w:p>
                  <w:pPr>
                    <w:pStyle w:val="161"/>
                    <w:bidi w:val="0"/>
                    <w:rPr>
                      <w:rFonts w:hint="eastAsia"/>
                      <w:color w:val="000000"/>
                    </w:rPr>
                  </w:pPr>
                </w:p>
              </w:tc>
              <w:tc>
                <w:tcPr>
                  <w:tcW w:w="545" w:type="pct"/>
                  <w:noWrap w:val="0"/>
                  <w:vAlign w:val="center"/>
                </w:tcPr>
                <w:p>
                  <w:pPr>
                    <w:pStyle w:val="161"/>
                    <w:bidi w:val="0"/>
                    <w:rPr>
                      <w:rFonts w:hint="eastAsia"/>
                      <w:color w:val="000000"/>
                    </w:rPr>
                  </w:pPr>
                  <w:r>
                    <w:rPr>
                      <w:rFonts w:hint="eastAsia"/>
                      <w:color w:val="000000"/>
                    </w:rPr>
                    <w:t>废气、</w:t>
                  </w:r>
                </w:p>
                <w:p>
                  <w:pPr>
                    <w:pStyle w:val="161"/>
                    <w:bidi w:val="0"/>
                    <w:rPr>
                      <w:rFonts w:hint="eastAsia"/>
                      <w:color w:val="000000"/>
                    </w:rPr>
                  </w:pPr>
                  <w:r>
                    <w:rPr>
                      <w:rFonts w:hint="eastAsia"/>
                      <w:color w:val="000000"/>
                    </w:rPr>
                    <w:t>噪声、</w:t>
                  </w:r>
                </w:p>
                <w:p>
                  <w:pPr>
                    <w:pStyle w:val="161"/>
                    <w:bidi w:val="0"/>
                    <w:rPr>
                      <w:rFonts w:hint="eastAsia"/>
                      <w:color w:val="000000"/>
                    </w:rPr>
                  </w:pPr>
                  <w:r>
                    <w:rPr>
                      <w:rFonts w:hint="eastAsia"/>
                      <w:color w:val="000000"/>
                    </w:rPr>
                    <w:t>环境风险</w:t>
                  </w:r>
                </w:p>
              </w:tc>
              <w:tc>
                <w:tcPr>
                  <w:tcW w:w="274" w:type="pct"/>
                  <w:noWrap w:val="0"/>
                  <w:vAlign w:val="center"/>
                </w:tcPr>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468" w:type="pct"/>
                  <w:vMerge w:val="continue"/>
                  <w:noWrap w:val="0"/>
                  <w:vAlign w:val="center"/>
                </w:tcPr>
                <w:p>
                  <w:pPr>
                    <w:pStyle w:val="161"/>
                    <w:bidi w:val="0"/>
                    <w:rPr>
                      <w:rFonts w:hint="eastAsia"/>
                      <w:color w:val="000000"/>
                    </w:rPr>
                  </w:pPr>
                </w:p>
              </w:tc>
              <w:tc>
                <w:tcPr>
                  <w:tcW w:w="800" w:type="pct"/>
                  <w:gridSpan w:val="2"/>
                  <w:noWrap w:val="0"/>
                  <w:vAlign w:val="center"/>
                </w:tcPr>
                <w:p>
                  <w:pPr>
                    <w:pStyle w:val="161"/>
                    <w:bidi w:val="0"/>
                    <w:rPr>
                      <w:rFonts w:hint="eastAsia"/>
                      <w:color w:val="000000"/>
                    </w:rPr>
                  </w:pPr>
                  <w:r>
                    <w:rPr>
                      <w:rFonts w:hint="eastAsia"/>
                      <w:color w:val="000000"/>
                    </w:rPr>
                    <w:t>LNG 储罐及工艺装置区</w:t>
                  </w:r>
                </w:p>
              </w:tc>
              <w:tc>
                <w:tcPr>
                  <w:tcW w:w="2266" w:type="pct"/>
                  <w:noWrap w:val="0"/>
                  <w:vAlign w:val="center"/>
                </w:tcPr>
                <w:p>
                  <w:pPr>
                    <w:pStyle w:val="161"/>
                    <w:bidi w:val="0"/>
                    <w:jc w:val="both"/>
                    <w:rPr>
                      <w:rFonts w:hint="eastAsia"/>
                      <w:color w:val="000000"/>
                    </w:rPr>
                  </w:pPr>
                  <w:r>
                    <w:rPr>
                      <w:rFonts w:hint="eastAsia"/>
                      <w:color w:val="000000"/>
                    </w:rPr>
                    <w:t>设置容积为 60m</w:t>
                  </w:r>
                  <w:r>
                    <w:rPr>
                      <w:rFonts w:hint="eastAsia"/>
                      <w:color w:val="000000"/>
                      <w:vertAlign w:val="superscript"/>
                    </w:rPr>
                    <w:t>3</w:t>
                  </w:r>
                  <w:r>
                    <w:rPr>
                      <w:rFonts w:hint="eastAsia"/>
                      <w:color w:val="000000"/>
                    </w:rPr>
                    <w:t xml:space="preserve"> </w:t>
                  </w:r>
                  <w:r>
                    <w:rPr>
                      <w:rFonts w:hint="eastAsia" w:eastAsia="宋体"/>
                      <w:color w:val="000000"/>
                      <w:lang w:eastAsia="zh-CN"/>
                    </w:rPr>
                    <w:t>卧式低温</w:t>
                  </w:r>
                  <w:r>
                    <w:rPr>
                      <w:rFonts w:hint="eastAsia"/>
                      <w:color w:val="000000"/>
                    </w:rPr>
                    <w:t xml:space="preserve">储罐 1 座，LNG </w:t>
                  </w:r>
                  <w:r>
                    <w:rPr>
                      <w:rFonts w:hint="eastAsia" w:eastAsia="宋体"/>
                      <w:color w:val="000000"/>
                      <w:lang w:eastAsia="zh-CN"/>
                    </w:rPr>
                    <w:t>加注</w:t>
                  </w:r>
                  <w:r>
                    <w:rPr>
                      <w:rFonts w:hint="eastAsia"/>
                      <w:color w:val="000000"/>
                    </w:rPr>
                    <w:t>橇</w:t>
                  </w:r>
                  <w:r>
                    <w:rPr>
                      <w:rFonts w:hint="eastAsia" w:eastAsia="宋体"/>
                      <w:color w:val="000000"/>
                      <w:lang w:val="en-US" w:eastAsia="zh-CN"/>
                    </w:rPr>
                    <w:t>2</w:t>
                  </w:r>
                  <w:r>
                    <w:rPr>
                      <w:rFonts w:hint="eastAsia" w:ascii="宋体" w:hAnsi="宋体" w:eastAsia="宋体" w:cs="宋体"/>
                      <w:color w:val="000000"/>
                    </w:rPr>
                    <w:t>套</w:t>
                  </w:r>
                  <w:r>
                    <w:rPr>
                      <w:rFonts w:hint="eastAsia" w:ascii="宋体" w:eastAsia="宋体" w:cs="宋体"/>
                      <w:color w:val="000000"/>
                      <w:lang w:eastAsia="zh-CN"/>
                    </w:rPr>
                    <w:t>（包含</w:t>
                  </w:r>
                  <w:r>
                    <w:rPr>
                      <w:rFonts w:hint="eastAsia" w:ascii="宋体" w:eastAsia="宋体" w:cs="宋体"/>
                      <w:color w:val="000000"/>
                      <w:lang w:val="en-US" w:eastAsia="zh-CN"/>
                    </w:rPr>
                    <w:t>2台增压器、2台低温潜液泵、1台</w:t>
                  </w:r>
                  <w:r>
                    <w:rPr>
                      <w:rFonts w:hint="default" w:ascii="Times New Roman" w:hAnsi="Times New Roman" w:eastAsia="宋体" w:cs="Times New Roman"/>
                      <w:color w:val="000000"/>
                      <w:lang w:val="en-US" w:eastAsia="zh-CN"/>
                    </w:rPr>
                    <w:t>EAG</w:t>
                  </w:r>
                  <w:r>
                    <w:rPr>
                      <w:rFonts w:hint="eastAsia" w:ascii="宋体" w:eastAsia="宋体" w:cs="宋体"/>
                      <w:color w:val="000000"/>
                      <w:lang w:val="en-US" w:eastAsia="zh-CN"/>
                    </w:rPr>
                    <w:t>加热器</w:t>
                  </w:r>
                  <w:r>
                    <w:rPr>
                      <w:rFonts w:hint="eastAsia"/>
                      <w:color w:val="000000"/>
                      <w:lang w:eastAsia="zh-CN"/>
                    </w:rPr>
                    <w:t>、一台</w:t>
                  </w:r>
                  <w:r>
                    <w:rPr>
                      <w:rFonts w:hint="eastAsia"/>
                      <w:color w:val="000000"/>
                    </w:rPr>
                    <w:t>BOG 回收橇</w:t>
                  </w:r>
                  <w:r>
                    <w:rPr>
                      <w:rFonts w:hint="eastAsia" w:eastAsia="宋体"/>
                      <w:color w:val="000000"/>
                      <w:lang w:val="en-US" w:eastAsia="zh-CN"/>
                    </w:rPr>
                    <w:t>装置</w:t>
                  </w:r>
                  <w:r>
                    <w:rPr>
                      <w:rFonts w:hint="eastAsia"/>
                      <w:color w:val="000000"/>
                    </w:rPr>
                    <w:t>，</w:t>
                  </w:r>
                  <w:r>
                    <w:rPr>
                      <w:rFonts w:hint="eastAsia" w:eastAsia="宋体"/>
                      <w:color w:val="000000"/>
                      <w:lang w:eastAsia="zh-CN"/>
                    </w:rPr>
                    <w:t>输气</w:t>
                  </w:r>
                  <w:r>
                    <w:rPr>
                      <w:rFonts w:hint="eastAsia"/>
                      <w:color w:val="000000"/>
                    </w:rPr>
                    <w:t>管道、控制阀门等</w:t>
                  </w:r>
                </w:p>
              </w:tc>
              <w:tc>
                <w:tcPr>
                  <w:tcW w:w="645" w:type="pct"/>
                  <w:vMerge w:val="continue"/>
                  <w:noWrap w:val="0"/>
                  <w:vAlign w:val="center"/>
                </w:tcPr>
                <w:p>
                  <w:pPr>
                    <w:pStyle w:val="161"/>
                    <w:bidi w:val="0"/>
                    <w:rPr>
                      <w:rFonts w:hint="eastAsia"/>
                      <w:color w:val="000000"/>
                    </w:rPr>
                  </w:pPr>
                </w:p>
              </w:tc>
              <w:tc>
                <w:tcPr>
                  <w:tcW w:w="545" w:type="pct"/>
                  <w:noWrap w:val="0"/>
                  <w:vAlign w:val="center"/>
                </w:tcPr>
                <w:p>
                  <w:pPr>
                    <w:pStyle w:val="161"/>
                    <w:bidi w:val="0"/>
                    <w:rPr>
                      <w:rFonts w:hint="eastAsia"/>
                      <w:color w:val="000000"/>
                    </w:rPr>
                  </w:pPr>
                  <w:r>
                    <w:rPr>
                      <w:rFonts w:hint="eastAsia"/>
                      <w:color w:val="000000"/>
                    </w:rPr>
                    <w:t>废气、环境风险</w:t>
                  </w:r>
                </w:p>
              </w:tc>
              <w:tc>
                <w:tcPr>
                  <w:tcW w:w="274" w:type="pct"/>
                  <w:noWrap w:val="0"/>
                  <w:vAlign w:val="center"/>
                </w:tcPr>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468" w:type="pct"/>
                  <w:vMerge w:val="restart"/>
                  <w:noWrap w:val="0"/>
                  <w:vAlign w:val="center"/>
                </w:tcPr>
                <w:p>
                  <w:pPr>
                    <w:pStyle w:val="161"/>
                    <w:bidi w:val="0"/>
                    <w:rPr>
                      <w:rFonts w:hint="eastAsia"/>
                      <w:color w:val="000000"/>
                      <w:lang w:eastAsia="zh-CN"/>
                    </w:rPr>
                  </w:pPr>
                  <w:r>
                    <w:rPr>
                      <w:rFonts w:hint="eastAsia"/>
                      <w:color w:val="000000"/>
                      <w:lang w:eastAsia="zh-CN"/>
                    </w:rPr>
                    <w:t>辅助</w:t>
                  </w:r>
                </w:p>
                <w:p>
                  <w:pPr>
                    <w:pStyle w:val="161"/>
                    <w:bidi w:val="0"/>
                    <w:rPr>
                      <w:rFonts w:hint="eastAsia"/>
                      <w:color w:val="000000"/>
                      <w:lang w:eastAsia="zh-CN"/>
                    </w:rPr>
                  </w:pPr>
                  <w:r>
                    <w:rPr>
                      <w:rFonts w:hint="eastAsia"/>
                      <w:color w:val="000000"/>
                      <w:lang w:eastAsia="zh-CN"/>
                    </w:rPr>
                    <w:t>工程</w:t>
                  </w:r>
                </w:p>
              </w:tc>
              <w:tc>
                <w:tcPr>
                  <w:tcW w:w="800" w:type="pct"/>
                  <w:gridSpan w:val="2"/>
                  <w:noWrap w:val="0"/>
                  <w:vAlign w:val="center"/>
                </w:tcPr>
                <w:p>
                  <w:pPr>
                    <w:pStyle w:val="161"/>
                    <w:bidi w:val="0"/>
                    <w:rPr>
                      <w:rFonts w:hint="eastAsia"/>
                      <w:color w:val="000000"/>
                      <w:lang w:eastAsia="zh-CN"/>
                    </w:rPr>
                  </w:pPr>
                  <w:r>
                    <w:rPr>
                      <w:rFonts w:hint="eastAsia"/>
                      <w:color w:val="000000"/>
                      <w:lang w:eastAsia="zh-CN"/>
                    </w:rPr>
                    <w:t>加气岛棚罩</w:t>
                  </w:r>
                </w:p>
              </w:tc>
              <w:tc>
                <w:tcPr>
                  <w:tcW w:w="2266" w:type="pct"/>
                  <w:noWrap w:val="0"/>
                  <w:vAlign w:val="center"/>
                </w:tcPr>
                <w:p>
                  <w:pPr>
                    <w:pStyle w:val="161"/>
                    <w:bidi w:val="0"/>
                    <w:jc w:val="both"/>
                    <w:rPr>
                      <w:rFonts w:hint="eastAsia"/>
                      <w:color w:val="000000"/>
                    </w:rPr>
                  </w:pPr>
                  <w:r>
                    <w:rPr>
                      <w:rFonts w:hint="eastAsia"/>
                      <w:color w:val="000000"/>
                    </w:rPr>
                    <w:t>矩状网架结</w:t>
                  </w:r>
                  <w:r>
                    <w:rPr>
                      <w:rFonts w:hint="eastAsia"/>
                      <w:color w:val="000000"/>
                      <w:lang w:eastAsia="zh-CN"/>
                    </w:rPr>
                    <w:t>构，</w:t>
                  </w:r>
                  <w:r>
                    <w:rPr>
                      <w:rFonts w:hint="eastAsia"/>
                      <w:color w:val="000000"/>
                    </w:rPr>
                    <w:t>占地面积434m</w:t>
                  </w:r>
                  <w:r>
                    <w:rPr>
                      <w:rFonts w:hint="eastAsia"/>
                      <w:color w:val="000000"/>
                      <w:vertAlign w:val="superscript"/>
                      <w:lang w:val="en-US" w:eastAsia="zh-CN"/>
                    </w:rPr>
                    <w:t>2</w:t>
                  </w:r>
                  <w:r>
                    <w:rPr>
                      <w:rFonts w:hint="eastAsia"/>
                      <w:color w:val="000000"/>
                    </w:rPr>
                    <w:t>，柱高 H=7.2m</w:t>
                  </w:r>
                </w:p>
              </w:tc>
              <w:tc>
                <w:tcPr>
                  <w:tcW w:w="645" w:type="pct"/>
                  <w:vMerge w:val="continue"/>
                  <w:noWrap w:val="0"/>
                  <w:vAlign w:val="center"/>
                </w:tcPr>
                <w:p>
                  <w:pPr>
                    <w:pStyle w:val="161"/>
                    <w:bidi w:val="0"/>
                    <w:rPr>
                      <w:rFonts w:hint="eastAsia"/>
                      <w:color w:val="000000"/>
                      <w:lang w:eastAsia="zh-CN"/>
                    </w:rPr>
                  </w:pPr>
                </w:p>
              </w:tc>
              <w:tc>
                <w:tcPr>
                  <w:tcW w:w="545" w:type="pct"/>
                  <w:vMerge w:val="restart"/>
                  <w:noWrap w:val="0"/>
                  <w:vAlign w:val="center"/>
                </w:tcPr>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废气、固废</w:t>
                  </w:r>
                </w:p>
              </w:tc>
              <w:tc>
                <w:tcPr>
                  <w:tcW w:w="274" w:type="pct"/>
                  <w:vMerge w:val="restart"/>
                  <w:noWrap w:val="0"/>
                  <w:vAlign w:val="center"/>
                </w:tcPr>
                <w:p>
                  <w:pPr>
                    <w:pStyle w:val="161"/>
                    <w:bidi w:val="0"/>
                    <w:rPr>
                      <w:rFonts w:hint="eastAsia"/>
                      <w:color w:val="000000"/>
                    </w:rPr>
                  </w:pPr>
                </w:p>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468" w:type="pct"/>
                  <w:vMerge w:val="continue"/>
                  <w:noWrap w:val="0"/>
                  <w:vAlign w:val="center"/>
                </w:tcPr>
                <w:p>
                  <w:pPr>
                    <w:pStyle w:val="161"/>
                    <w:bidi w:val="0"/>
                    <w:rPr>
                      <w:rFonts w:hint="eastAsia"/>
                      <w:color w:val="000000"/>
                    </w:rPr>
                  </w:pPr>
                </w:p>
              </w:tc>
              <w:tc>
                <w:tcPr>
                  <w:tcW w:w="800" w:type="pct"/>
                  <w:gridSpan w:val="2"/>
                  <w:tcBorders>
                    <w:bottom w:val="single" w:color="000000" w:sz="2" w:space="0"/>
                  </w:tcBorders>
                  <w:noWrap w:val="0"/>
                  <w:vAlign w:val="center"/>
                </w:tcPr>
                <w:p>
                  <w:pPr>
                    <w:pStyle w:val="161"/>
                    <w:bidi w:val="0"/>
                    <w:rPr>
                      <w:rFonts w:hint="eastAsia"/>
                      <w:color w:val="000000"/>
                    </w:rPr>
                  </w:pPr>
                  <w:r>
                    <w:rPr>
                      <w:rFonts w:hint="eastAsia"/>
                      <w:color w:val="000000"/>
                    </w:rPr>
                    <w:t>回车场地坪</w:t>
                  </w:r>
                </w:p>
              </w:tc>
              <w:tc>
                <w:tcPr>
                  <w:tcW w:w="2266" w:type="pct"/>
                  <w:tcBorders>
                    <w:bottom w:val="single" w:color="000000" w:sz="2" w:space="0"/>
                  </w:tcBorders>
                  <w:noWrap w:val="0"/>
                  <w:vAlign w:val="center"/>
                </w:tcPr>
                <w:p>
                  <w:pPr>
                    <w:pStyle w:val="161"/>
                    <w:bidi w:val="0"/>
                    <w:jc w:val="both"/>
                    <w:rPr>
                      <w:rFonts w:hint="eastAsia"/>
                      <w:color w:val="000000"/>
                      <w:lang w:eastAsia="zh-CN"/>
                    </w:rPr>
                  </w:pPr>
                  <w:r>
                    <w:rPr>
                      <w:rFonts w:hint="eastAsia"/>
                      <w:color w:val="000000"/>
                      <w:lang w:eastAsia="zh-CN"/>
                    </w:rPr>
                    <w:t>水泥地面</w:t>
                  </w:r>
                </w:p>
              </w:tc>
              <w:tc>
                <w:tcPr>
                  <w:tcW w:w="645" w:type="pct"/>
                  <w:vMerge w:val="continue"/>
                  <w:noWrap w:val="0"/>
                  <w:vAlign w:val="center"/>
                </w:tcPr>
                <w:p>
                  <w:pPr>
                    <w:pStyle w:val="161"/>
                    <w:bidi w:val="0"/>
                    <w:rPr>
                      <w:rFonts w:hint="eastAsia"/>
                      <w:color w:val="000000"/>
                    </w:rPr>
                  </w:pPr>
                </w:p>
              </w:tc>
              <w:tc>
                <w:tcPr>
                  <w:tcW w:w="545" w:type="pct"/>
                  <w:vMerge w:val="continue"/>
                  <w:noWrap w:val="0"/>
                  <w:vAlign w:val="center"/>
                </w:tcPr>
                <w:p>
                  <w:pPr>
                    <w:pStyle w:val="161"/>
                    <w:bidi w:val="0"/>
                    <w:rPr>
                      <w:rFonts w:hint="eastAsia"/>
                      <w:color w:val="000000"/>
                    </w:rPr>
                  </w:pPr>
                </w:p>
              </w:tc>
              <w:tc>
                <w:tcPr>
                  <w:tcW w:w="274" w:type="pct"/>
                  <w:vMerge w:val="continue"/>
                  <w:noWrap w:val="0"/>
                  <w:vAlign w:val="center"/>
                </w:tcPr>
                <w:p>
                  <w:pPr>
                    <w:pStyle w:val="161"/>
                    <w:bidi w:val="0"/>
                    <w:rPr>
                      <w:rFonts w:hint="eastAsia"/>
                      <w:color w:val="00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5" w:hRule="atLeast"/>
              </w:trPr>
              <w:tc>
                <w:tcPr>
                  <w:tcW w:w="468" w:type="pct"/>
                  <w:vMerge w:val="continue"/>
                  <w:noWrap w:val="0"/>
                  <w:vAlign w:val="center"/>
                </w:tcPr>
                <w:p>
                  <w:pPr>
                    <w:pStyle w:val="161"/>
                    <w:bidi w:val="0"/>
                    <w:jc w:val="center"/>
                    <w:rPr>
                      <w:rFonts w:hint="eastAsia"/>
                      <w:color w:val="000000"/>
                    </w:rPr>
                  </w:pPr>
                </w:p>
              </w:tc>
              <w:tc>
                <w:tcPr>
                  <w:tcW w:w="800" w:type="pct"/>
                  <w:gridSpan w:val="2"/>
                  <w:tcBorders>
                    <w:top w:val="single" w:color="000000" w:sz="2" w:space="0"/>
                  </w:tcBorders>
                  <w:noWrap w:val="0"/>
                  <w:vAlign w:val="center"/>
                </w:tcPr>
                <w:p>
                  <w:pPr>
                    <w:pStyle w:val="161"/>
                    <w:bidi w:val="0"/>
                    <w:jc w:val="center"/>
                    <w:rPr>
                      <w:rFonts w:hint="default" w:eastAsia="宋体"/>
                      <w:color w:val="000000"/>
                      <w:lang w:val="en-US" w:eastAsia="zh-CN"/>
                    </w:rPr>
                  </w:pPr>
                  <w:r>
                    <w:rPr>
                      <w:rFonts w:hint="eastAsia" w:eastAsia="宋体"/>
                      <w:color w:val="000000"/>
                      <w:lang w:val="en-US" w:eastAsia="zh-CN"/>
                    </w:rPr>
                    <w:t>放散口</w:t>
                  </w:r>
                </w:p>
              </w:tc>
              <w:tc>
                <w:tcPr>
                  <w:tcW w:w="2266" w:type="pct"/>
                  <w:tcBorders>
                    <w:top w:val="single" w:color="000000" w:sz="2" w:space="0"/>
                  </w:tcBorders>
                  <w:noWrap w:val="0"/>
                  <w:vAlign w:val="center"/>
                </w:tcPr>
                <w:p>
                  <w:pPr>
                    <w:pStyle w:val="161"/>
                    <w:bidi w:val="0"/>
                    <w:jc w:val="both"/>
                    <w:rPr>
                      <w:rFonts w:hint="default"/>
                      <w:color w:val="000000"/>
                      <w:lang w:val="en-US" w:eastAsia="zh-CN"/>
                    </w:rPr>
                  </w:pPr>
                  <w:r>
                    <w:rPr>
                      <w:rFonts w:hint="eastAsia"/>
                      <w:color w:val="000000"/>
                      <w:lang w:val="en-US" w:eastAsia="zh-CN"/>
                    </w:rPr>
                    <w:t>1个，7m，为低压放散口</w:t>
                  </w:r>
                </w:p>
              </w:tc>
              <w:tc>
                <w:tcPr>
                  <w:tcW w:w="645" w:type="pct"/>
                  <w:vMerge w:val="continue"/>
                  <w:noWrap w:val="0"/>
                  <w:vAlign w:val="center"/>
                </w:tcPr>
                <w:p>
                  <w:pPr>
                    <w:pStyle w:val="161"/>
                    <w:bidi w:val="0"/>
                    <w:jc w:val="center"/>
                    <w:rPr>
                      <w:rFonts w:hint="eastAsia"/>
                      <w:color w:val="000000"/>
                    </w:rPr>
                  </w:pPr>
                </w:p>
              </w:tc>
              <w:tc>
                <w:tcPr>
                  <w:tcW w:w="545" w:type="pct"/>
                  <w:vMerge w:val="continue"/>
                  <w:noWrap w:val="0"/>
                  <w:vAlign w:val="center"/>
                </w:tcPr>
                <w:p>
                  <w:pPr>
                    <w:pStyle w:val="161"/>
                    <w:bidi w:val="0"/>
                    <w:jc w:val="center"/>
                    <w:rPr>
                      <w:rFonts w:hint="eastAsia"/>
                      <w:color w:val="000000"/>
                    </w:rPr>
                  </w:pPr>
                </w:p>
              </w:tc>
              <w:tc>
                <w:tcPr>
                  <w:tcW w:w="274" w:type="pct"/>
                  <w:vMerge w:val="continue"/>
                  <w:noWrap w:val="0"/>
                  <w:vAlign w:val="center"/>
                </w:tcPr>
                <w:p>
                  <w:pPr>
                    <w:pStyle w:val="161"/>
                    <w:bidi w:val="0"/>
                    <w:jc w:val="center"/>
                    <w:rPr>
                      <w:rFonts w:hint="eastAsia"/>
                      <w:color w:val="00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68" w:type="pct"/>
                  <w:vMerge w:val="continue"/>
                  <w:noWrap w:val="0"/>
                  <w:vAlign w:val="center"/>
                </w:tcPr>
                <w:p>
                  <w:pPr>
                    <w:pStyle w:val="161"/>
                    <w:bidi w:val="0"/>
                    <w:rPr>
                      <w:rFonts w:hint="eastAsia"/>
                      <w:color w:val="000000"/>
                    </w:rPr>
                  </w:pPr>
                </w:p>
              </w:tc>
              <w:tc>
                <w:tcPr>
                  <w:tcW w:w="800" w:type="pct"/>
                  <w:gridSpan w:val="2"/>
                  <w:noWrap w:val="0"/>
                  <w:vAlign w:val="center"/>
                </w:tcPr>
                <w:p>
                  <w:pPr>
                    <w:pStyle w:val="161"/>
                    <w:bidi w:val="0"/>
                    <w:rPr>
                      <w:rFonts w:hint="eastAsia"/>
                      <w:color w:val="000000"/>
                      <w:lang w:eastAsia="zh-CN"/>
                    </w:rPr>
                  </w:pPr>
                  <w:r>
                    <w:rPr>
                      <w:rFonts w:hint="eastAsia"/>
                      <w:color w:val="000000"/>
                      <w:lang w:eastAsia="zh-CN"/>
                    </w:rPr>
                    <w:t>控制仪、仪表间</w:t>
                  </w:r>
                </w:p>
              </w:tc>
              <w:tc>
                <w:tcPr>
                  <w:tcW w:w="2266" w:type="pct"/>
                  <w:noWrap w:val="0"/>
                  <w:vAlign w:val="center"/>
                </w:tcPr>
                <w:p>
                  <w:pPr>
                    <w:pStyle w:val="161"/>
                    <w:bidi w:val="0"/>
                    <w:jc w:val="both"/>
                    <w:rPr>
                      <w:rFonts w:hint="eastAsia"/>
                      <w:color w:val="000000"/>
                      <w:lang w:eastAsia="zh-CN"/>
                    </w:rPr>
                  </w:pPr>
                  <w:r>
                    <w:rPr>
                      <w:rFonts w:hint="eastAsia"/>
                      <w:color w:val="000000"/>
                      <w:lang w:eastAsia="zh-CN"/>
                    </w:rPr>
                    <w:t>自动控制系统</w:t>
                  </w:r>
                </w:p>
              </w:tc>
              <w:tc>
                <w:tcPr>
                  <w:tcW w:w="645" w:type="pct"/>
                  <w:vMerge w:val="continue"/>
                  <w:noWrap w:val="0"/>
                  <w:vAlign w:val="center"/>
                </w:tcPr>
                <w:p>
                  <w:pPr>
                    <w:pStyle w:val="161"/>
                    <w:bidi w:val="0"/>
                    <w:rPr>
                      <w:rFonts w:hint="eastAsia"/>
                      <w:color w:val="000000"/>
                      <w:lang w:eastAsia="zh-CN"/>
                    </w:rPr>
                  </w:pPr>
                </w:p>
              </w:tc>
              <w:tc>
                <w:tcPr>
                  <w:tcW w:w="545" w:type="pct"/>
                  <w:noWrap w:val="0"/>
                  <w:vAlign w:val="center"/>
                </w:tcPr>
                <w:p>
                  <w:pPr>
                    <w:pStyle w:val="161"/>
                    <w:bidi w:val="0"/>
                    <w:rPr>
                      <w:rFonts w:hint="eastAsia"/>
                      <w:color w:val="000000"/>
                      <w:lang w:eastAsia="zh-CN"/>
                    </w:rPr>
                  </w:pPr>
                  <w:r>
                    <w:rPr>
                      <w:rFonts w:hint="eastAsia"/>
                      <w:color w:val="000000"/>
                      <w:lang w:eastAsia="zh-CN"/>
                    </w:rPr>
                    <w:t>噪声</w:t>
                  </w:r>
                </w:p>
              </w:tc>
              <w:tc>
                <w:tcPr>
                  <w:tcW w:w="274" w:type="pct"/>
                  <w:vMerge w:val="continue"/>
                  <w:noWrap w:val="0"/>
                  <w:vAlign w:val="center"/>
                </w:tcPr>
                <w:p>
                  <w:pPr>
                    <w:pStyle w:val="161"/>
                    <w:bidi w:val="0"/>
                    <w:rPr>
                      <w:rFonts w:hint="eastAsia"/>
                      <w:color w:val="00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68" w:type="pct"/>
                  <w:noWrap w:val="0"/>
                  <w:vAlign w:val="center"/>
                </w:tcPr>
                <w:p>
                  <w:pPr>
                    <w:pStyle w:val="161"/>
                    <w:bidi w:val="0"/>
                    <w:rPr>
                      <w:rFonts w:hint="eastAsia"/>
                      <w:color w:val="000000"/>
                      <w:lang w:eastAsia="zh-CN"/>
                    </w:rPr>
                  </w:pPr>
                  <w:r>
                    <w:rPr>
                      <w:rFonts w:hint="eastAsia"/>
                      <w:color w:val="000000"/>
                      <w:lang w:eastAsia="zh-CN"/>
                    </w:rPr>
                    <w:t>办公生活设施</w:t>
                  </w:r>
                </w:p>
              </w:tc>
              <w:tc>
                <w:tcPr>
                  <w:tcW w:w="800" w:type="pct"/>
                  <w:gridSpan w:val="2"/>
                  <w:noWrap w:val="0"/>
                  <w:vAlign w:val="center"/>
                </w:tcPr>
                <w:p>
                  <w:pPr>
                    <w:pStyle w:val="161"/>
                    <w:bidi w:val="0"/>
                    <w:rPr>
                      <w:rFonts w:hint="eastAsia"/>
                      <w:color w:val="000000"/>
                      <w:lang w:eastAsia="zh-CN"/>
                    </w:rPr>
                  </w:pPr>
                  <w:r>
                    <w:rPr>
                      <w:rFonts w:hint="eastAsia"/>
                      <w:color w:val="000000"/>
                      <w:lang w:eastAsia="zh-CN"/>
                    </w:rPr>
                    <w:t>站房</w:t>
                  </w:r>
                </w:p>
              </w:tc>
              <w:tc>
                <w:tcPr>
                  <w:tcW w:w="2266" w:type="pct"/>
                  <w:noWrap w:val="0"/>
                  <w:vAlign w:val="center"/>
                </w:tcPr>
                <w:p>
                  <w:pPr>
                    <w:pStyle w:val="161"/>
                    <w:bidi w:val="0"/>
                    <w:jc w:val="both"/>
                    <w:rPr>
                      <w:rFonts w:hint="eastAsia"/>
                      <w:color w:val="000000"/>
                      <w:lang w:val="en-US" w:eastAsia="zh-CN"/>
                    </w:rPr>
                  </w:pPr>
                  <w:r>
                    <w:rPr>
                      <w:rFonts w:hint="eastAsia"/>
                      <w:color w:val="000000"/>
                    </w:rPr>
                    <w:t>框架结构，2层，一层</w:t>
                  </w:r>
                  <w:r>
                    <w:rPr>
                      <w:rFonts w:hint="eastAsia"/>
                      <w:color w:val="000000"/>
                      <w:lang w:eastAsia="zh-CN"/>
                    </w:rPr>
                    <w:t>高</w:t>
                  </w:r>
                  <w:r>
                    <w:rPr>
                      <w:rFonts w:hint="eastAsia"/>
                      <w:color w:val="000000"/>
                    </w:rPr>
                    <w:t>3.6m，二层3.3m，建筑总高7.2</w:t>
                  </w:r>
                  <w:r>
                    <w:rPr>
                      <w:rFonts w:hint="eastAsia"/>
                      <w:color w:val="000000"/>
                      <w:lang w:eastAsia="zh-CN"/>
                    </w:rPr>
                    <w:t>米，</w:t>
                  </w:r>
                  <w:r>
                    <w:rPr>
                      <w:rFonts w:hint="eastAsia"/>
                      <w:color w:val="000000"/>
                    </w:rPr>
                    <w:t>建筑面积 391.16m</w:t>
                  </w:r>
                  <w:r>
                    <w:rPr>
                      <w:rFonts w:hint="eastAsia"/>
                      <w:color w:val="000000"/>
                      <w:lang w:val="en-US" w:eastAsia="zh-CN"/>
                    </w:rPr>
                    <w:t>²</w:t>
                  </w:r>
                </w:p>
              </w:tc>
              <w:tc>
                <w:tcPr>
                  <w:tcW w:w="645" w:type="pct"/>
                  <w:vMerge w:val="continue"/>
                  <w:noWrap w:val="0"/>
                  <w:vAlign w:val="center"/>
                </w:tcPr>
                <w:p>
                  <w:pPr>
                    <w:pStyle w:val="161"/>
                    <w:bidi w:val="0"/>
                    <w:rPr>
                      <w:rFonts w:hint="eastAsia"/>
                      <w:color w:val="000000"/>
                    </w:rPr>
                  </w:pPr>
                </w:p>
              </w:tc>
              <w:tc>
                <w:tcPr>
                  <w:tcW w:w="545" w:type="pct"/>
                  <w:noWrap w:val="0"/>
                  <w:vAlign w:val="center"/>
                </w:tcPr>
                <w:p>
                  <w:pPr>
                    <w:pStyle w:val="161"/>
                    <w:bidi w:val="0"/>
                    <w:rPr>
                      <w:rFonts w:hint="eastAsia"/>
                      <w:color w:val="000000"/>
                    </w:rPr>
                  </w:pPr>
                  <w:r>
                    <w:rPr>
                      <w:rFonts w:hint="eastAsia"/>
                      <w:color w:val="000000"/>
                    </w:rPr>
                    <w:t>废水、固废、噪声</w:t>
                  </w:r>
                </w:p>
              </w:tc>
              <w:tc>
                <w:tcPr>
                  <w:tcW w:w="274" w:type="pct"/>
                  <w:noWrap w:val="0"/>
                  <w:vAlign w:val="center"/>
                </w:tcPr>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31" w:hRule="atLeast"/>
              </w:trPr>
              <w:tc>
                <w:tcPr>
                  <w:tcW w:w="468" w:type="pct"/>
                  <w:vMerge w:val="restart"/>
                  <w:noWrap w:val="0"/>
                  <w:vAlign w:val="center"/>
                </w:tcPr>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公用工程</w:t>
                  </w:r>
                </w:p>
              </w:tc>
              <w:tc>
                <w:tcPr>
                  <w:tcW w:w="356" w:type="pct"/>
                  <w:vMerge w:val="restart"/>
                  <w:noWrap w:val="0"/>
                  <w:vAlign w:val="center"/>
                </w:tcPr>
                <w:p>
                  <w:pPr>
                    <w:pStyle w:val="161"/>
                    <w:bidi w:val="0"/>
                    <w:jc w:val="both"/>
                    <w:rPr>
                      <w:rFonts w:hint="eastAsia"/>
                      <w:color w:val="000000"/>
                      <w:lang w:eastAsia="zh-CN"/>
                    </w:rPr>
                  </w:pPr>
                </w:p>
                <w:p>
                  <w:pPr>
                    <w:pStyle w:val="161"/>
                    <w:bidi w:val="0"/>
                    <w:rPr>
                      <w:rFonts w:hint="eastAsia"/>
                      <w:color w:val="000000"/>
                      <w:lang w:eastAsia="zh-CN"/>
                    </w:rPr>
                  </w:pPr>
                  <w:r>
                    <w:rPr>
                      <w:rFonts w:hint="eastAsia"/>
                      <w:color w:val="000000"/>
                      <w:lang w:eastAsia="zh-CN"/>
                    </w:rPr>
                    <w:t>消防</w:t>
                  </w:r>
                </w:p>
                <w:p>
                  <w:pPr>
                    <w:pStyle w:val="161"/>
                    <w:bidi w:val="0"/>
                    <w:rPr>
                      <w:rFonts w:hint="eastAsia"/>
                      <w:color w:val="000000"/>
                      <w:lang w:eastAsia="zh-CN"/>
                    </w:rPr>
                  </w:pPr>
                  <w:r>
                    <w:rPr>
                      <w:rFonts w:hint="eastAsia"/>
                      <w:color w:val="000000"/>
                      <w:lang w:eastAsia="zh-CN"/>
                    </w:rPr>
                    <w:t>设施</w:t>
                  </w:r>
                </w:p>
              </w:tc>
              <w:tc>
                <w:tcPr>
                  <w:tcW w:w="443" w:type="pct"/>
                  <w:noWrap w:val="0"/>
                  <w:vAlign w:val="center"/>
                </w:tcPr>
                <w:p>
                  <w:pPr>
                    <w:pStyle w:val="161"/>
                    <w:bidi w:val="0"/>
                    <w:rPr>
                      <w:rFonts w:hint="eastAsia"/>
                      <w:color w:val="000000"/>
                      <w:lang w:eastAsia="zh-CN"/>
                    </w:rPr>
                  </w:pPr>
                  <w:r>
                    <w:rPr>
                      <w:rFonts w:hint="eastAsia"/>
                      <w:color w:val="000000"/>
                      <w:lang w:eastAsia="zh-CN"/>
                    </w:rPr>
                    <w:t>加气区</w:t>
                  </w:r>
                </w:p>
              </w:tc>
              <w:tc>
                <w:tcPr>
                  <w:tcW w:w="2266" w:type="pct"/>
                  <w:noWrap w:val="0"/>
                  <w:vAlign w:val="center"/>
                </w:tcPr>
                <w:p>
                  <w:pPr>
                    <w:pStyle w:val="161"/>
                    <w:bidi w:val="0"/>
                    <w:jc w:val="both"/>
                    <w:rPr>
                      <w:rFonts w:hint="eastAsia"/>
                      <w:color w:val="000000"/>
                    </w:rPr>
                  </w:pPr>
                  <w:r>
                    <w:rPr>
                      <w:rFonts w:hint="eastAsia"/>
                      <w:color w:val="000000"/>
                    </w:rPr>
                    <w:t>每两台加气机设置4kg手提式干粉灭火器2具，加气机不足两台按两台计。</w:t>
                  </w:r>
                </w:p>
              </w:tc>
              <w:tc>
                <w:tcPr>
                  <w:tcW w:w="645" w:type="pct"/>
                  <w:vMerge w:val="continue"/>
                  <w:noWrap w:val="0"/>
                  <w:vAlign w:val="center"/>
                </w:tcPr>
                <w:p>
                  <w:pPr>
                    <w:pStyle w:val="161"/>
                    <w:bidi w:val="0"/>
                    <w:rPr>
                      <w:rFonts w:hint="eastAsia"/>
                      <w:color w:val="000000"/>
                    </w:rPr>
                  </w:pPr>
                </w:p>
              </w:tc>
              <w:tc>
                <w:tcPr>
                  <w:tcW w:w="545" w:type="pct"/>
                  <w:noWrap w:val="0"/>
                  <w:vAlign w:val="center"/>
                </w:tcPr>
                <w:p>
                  <w:pPr>
                    <w:pStyle w:val="161"/>
                    <w:bidi w:val="0"/>
                    <w:rPr>
                      <w:rFonts w:hint="eastAsia"/>
                      <w:color w:val="000000"/>
                      <w:lang w:val="en-US" w:eastAsia="zh-CN"/>
                    </w:rPr>
                  </w:pPr>
                </w:p>
                <w:p>
                  <w:pPr>
                    <w:pStyle w:val="161"/>
                    <w:bidi w:val="0"/>
                    <w:rPr>
                      <w:rFonts w:hint="eastAsia"/>
                      <w:color w:val="000000"/>
                    </w:rPr>
                  </w:pPr>
                  <w:r>
                    <w:rPr>
                      <w:rFonts w:hint="eastAsia"/>
                      <w:color w:val="000000"/>
                      <w:lang w:val="en-US" w:eastAsia="zh-CN"/>
                    </w:rPr>
                    <w:t>/</w:t>
                  </w:r>
                </w:p>
              </w:tc>
              <w:tc>
                <w:tcPr>
                  <w:tcW w:w="274" w:type="pct"/>
                  <w:vMerge w:val="restart"/>
                  <w:noWrap w:val="0"/>
                  <w:vAlign w:val="center"/>
                </w:tcPr>
                <w:p>
                  <w:pPr>
                    <w:pStyle w:val="161"/>
                    <w:bidi w:val="0"/>
                    <w:rPr>
                      <w:rFonts w:hint="eastAsia"/>
                      <w:color w:val="000000"/>
                    </w:rPr>
                  </w:pPr>
                </w:p>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468" w:type="pct"/>
                  <w:vMerge w:val="continue"/>
                  <w:noWrap w:val="0"/>
                  <w:vAlign w:val="center"/>
                </w:tcPr>
                <w:p>
                  <w:pPr>
                    <w:pStyle w:val="161"/>
                    <w:bidi w:val="0"/>
                    <w:rPr>
                      <w:rFonts w:hint="eastAsia"/>
                      <w:color w:val="000000"/>
                      <w:lang w:eastAsia="zh-CN"/>
                    </w:rPr>
                  </w:pPr>
                </w:p>
              </w:tc>
              <w:tc>
                <w:tcPr>
                  <w:tcW w:w="356" w:type="pct"/>
                  <w:vMerge w:val="continue"/>
                  <w:noWrap w:val="0"/>
                  <w:vAlign w:val="center"/>
                </w:tcPr>
                <w:p>
                  <w:pPr>
                    <w:pStyle w:val="161"/>
                    <w:bidi w:val="0"/>
                    <w:rPr>
                      <w:rFonts w:hint="eastAsia"/>
                      <w:color w:val="000000"/>
                      <w:lang w:eastAsia="zh-CN"/>
                    </w:rPr>
                  </w:pPr>
                </w:p>
              </w:tc>
              <w:tc>
                <w:tcPr>
                  <w:tcW w:w="443" w:type="pct"/>
                  <w:noWrap w:val="0"/>
                  <w:vAlign w:val="center"/>
                </w:tcPr>
                <w:p>
                  <w:pPr>
                    <w:pStyle w:val="161"/>
                    <w:bidi w:val="0"/>
                    <w:rPr>
                      <w:rFonts w:hint="eastAsia"/>
                      <w:color w:val="000000"/>
                      <w:lang w:eastAsia="zh-CN"/>
                    </w:rPr>
                  </w:pPr>
                  <w:r>
                    <w:rPr>
                      <w:rFonts w:hint="eastAsia"/>
                      <w:color w:val="000000"/>
                      <w:lang w:eastAsia="zh-CN"/>
                    </w:rPr>
                    <w:t>储罐区、卸车区</w:t>
                  </w:r>
                </w:p>
              </w:tc>
              <w:tc>
                <w:tcPr>
                  <w:tcW w:w="2266" w:type="pct"/>
                  <w:noWrap w:val="0"/>
                  <w:vAlign w:val="center"/>
                </w:tcPr>
                <w:p>
                  <w:pPr>
                    <w:pStyle w:val="161"/>
                    <w:bidi w:val="0"/>
                    <w:jc w:val="both"/>
                    <w:rPr>
                      <w:rFonts w:hint="eastAsia"/>
                      <w:color w:val="000000"/>
                    </w:rPr>
                  </w:pPr>
                  <w:r>
                    <w:rPr>
                      <w:rFonts w:hint="eastAsia"/>
                      <w:color w:val="000000"/>
                    </w:rPr>
                    <w:t>储罐区配置35</w:t>
                  </w:r>
                  <w:r>
                    <w:rPr>
                      <w:rFonts w:hint="eastAsia" w:eastAsia="宋体"/>
                      <w:color w:val="000000"/>
                      <w:lang w:val="en-US" w:eastAsia="zh-CN"/>
                    </w:rPr>
                    <w:t>k</w:t>
                  </w:r>
                  <w:r>
                    <w:rPr>
                      <w:rFonts w:hint="eastAsia"/>
                      <w:color w:val="000000"/>
                    </w:rPr>
                    <w:t>g推车式干粉灭火机2台</w:t>
                  </w:r>
                </w:p>
                <w:p>
                  <w:pPr>
                    <w:pStyle w:val="161"/>
                    <w:bidi w:val="0"/>
                    <w:jc w:val="both"/>
                    <w:rPr>
                      <w:rFonts w:hint="eastAsia"/>
                      <w:color w:val="000000"/>
                    </w:rPr>
                  </w:pPr>
                  <w:r>
                    <w:rPr>
                      <w:rFonts w:hint="eastAsia"/>
                      <w:color w:val="000000"/>
                    </w:rPr>
                    <w:t>卸车区 配备2具8</w:t>
                  </w:r>
                  <w:r>
                    <w:rPr>
                      <w:rFonts w:hint="eastAsia" w:eastAsia="宋体"/>
                      <w:color w:val="000000"/>
                      <w:lang w:val="en-US" w:eastAsia="zh-CN"/>
                    </w:rPr>
                    <w:t>k</w:t>
                  </w:r>
                  <w:r>
                    <w:rPr>
                      <w:rFonts w:hint="eastAsia"/>
                      <w:color w:val="000000"/>
                    </w:rPr>
                    <w:t>g手提式干粉灭火器</w:t>
                  </w:r>
                </w:p>
              </w:tc>
              <w:tc>
                <w:tcPr>
                  <w:tcW w:w="645" w:type="pct"/>
                  <w:vMerge w:val="continue"/>
                  <w:tcBorders>
                    <w:bottom w:val="nil"/>
                  </w:tcBorders>
                  <w:noWrap w:val="0"/>
                  <w:vAlign w:val="center"/>
                </w:tcPr>
                <w:p>
                  <w:pPr>
                    <w:pStyle w:val="161"/>
                    <w:bidi w:val="0"/>
                    <w:rPr>
                      <w:rFonts w:hint="eastAsia"/>
                      <w:color w:val="000000"/>
                      <w:lang w:val="en-US" w:eastAsia="zh-CN"/>
                    </w:rPr>
                  </w:pPr>
                </w:p>
              </w:tc>
              <w:tc>
                <w:tcPr>
                  <w:tcW w:w="545" w:type="pct"/>
                  <w:noWrap w:val="0"/>
                  <w:vAlign w:val="center"/>
                </w:tcPr>
                <w:p>
                  <w:pPr>
                    <w:pStyle w:val="161"/>
                    <w:bidi w:val="0"/>
                    <w:rPr>
                      <w:rFonts w:hint="eastAsia"/>
                      <w:color w:val="000000"/>
                      <w:lang w:val="en-US" w:eastAsia="zh-CN"/>
                    </w:rPr>
                  </w:pPr>
                </w:p>
                <w:p>
                  <w:pPr>
                    <w:pStyle w:val="161"/>
                    <w:bidi w:val="0"/>
                    <w:rPr>
                      <w:rFonts w:hint="default"/>
                      <w:color w:val="000000"/>
                      <w:lang w:val="en-US" w:eastAsia="zh-CN"/>
                    </w:rPr>
                  </w:pPr>
                  <w:r>
                    <w:rPr>
                      <w:rFonts w:hint="eastAsia"/>
                      <w:color w:val="000000"/>
                      <w:lang w:val="en-US" w:eastAsia="zh-CN"/>
                    </w:rPr>
                    <w:t>/</w:t>
                  </w:r>
                </w:p>
              </w:tc>
              <w:tc>
                <w:tcPr>
                  <w:tcW w:w="274" w:type="pct"/>
                  <w:vMerge w:val="continue"/>
                  <w:noWrap w:val="0"/>
                  <w:vAlign w:val="center"/>
                </w:tcPr>
                <w:p>
                  <w:pPr>
                    <w:pStyle w:val="161"/>
                    <w:bidi w:val="0"/>
                    <w:rPr>
                      <w:rFonts w:hint="eastAsia"/>
                      <w:color w:val="00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01" w:hRule="atLeast"/>
              </w:trPr>
              <w:tc>
                <w:tcPr>
                  <w:tcW w:w="468" w:type="pct"/>
                  <w:vMerge w:val="continue"/>
                  <w:noWrap w:val="0"/>
                  <w:vAlign w:val="center"/>
                </w:tcPr>
                <w:p>
                  <w:pPr>
                    <w:pStyle w:val="161"/>
                    <w:bidi w:val="0"/>
                    <w:rPr>
                      <w:rFonts w:hint="eastAsia"/>
                      <w:color w:val="000000"/>
                      <w:lang w:eastAsia="zh-CN"/>
                    </w:rPr>
                  </w:pPr>
                </w:p>
              </w:tc>
              <w:tc>
                <w:tcPr>
                  <w:tcW w:w="356" w:type="pct"/>
                  <w:vMerge w:val="continue"/>
                  <w:noWrap w:val="0"/>
                  <w:vAlign w:val="center"/>
                </w:tcPr>
                <w:p>
                  <w:pPr>
                    <w:pStyle w:val="161"/>
                    <w:bidi w:val="0"/>
                    <w:rPr>
                      <w:rFonts w:hint="eastAsia"/>
                      <w:color w:val="000000"/>
                      <w:lang w:eastAsia="zh-CN"/>
                    </w:rPr>
                  </w:pPr>
                </w:p>
              </w:tc>
              <w:tc>
                <w:tcPr>
                  <w:tcW w:w="443" w:type="pct"/>
                  <w:noWrap w:val="0"/>
                  <w:vAlign w:val="center"/>
                </w:tcPr>
                <w:p>
                  <w:pPr>
                    <w:pStyle w:val="161"/>
                    <w:bidi w:val="0"/>
                    <w:rPr>
                      <w:rFonts w:hint="eastAsia"/>
                      <w:color w:val="000000"/>
                      <w:lang w:eastAsia="zh-CN"/>
                    </w:rPr>
                  </w:pPr>
                  <w:r>
                    <w:rPr>
                      <w:rFonts w:hint="eastAsia"/>
                      <w:color w:val="000000"/>
                      <w:lang w:eastAsia="zh-CN"/>
                    </w:rPr>
                    <w:t>站房</w:t>
                  </w:r>
                </w:p>
              </w:tc>
              <w:tc>
                <w:tcPr>
                  <w:tcW w:w="2266" w:type="pct"/>
                  <w:noWrap w:val="0"/>
                  <w:vAlign w:val="center"/>
                </w:tcPr>
                <w:p>
                  <w:pPr>
                    <w:pStyle w:val="161"/>
                    <w:bidi w:val="0"/>
                    <w:jc w:val="both"/>
                    <w:rPr>
                      <w:rFonts w:hint="eastAsia"/>
                      <w:color w:val="000000"/>
                    </w:rPr>
                  </w:pPr>
                  <w:r>
                    <w:rPr>
                      <w:rFonts w:hint="eastAsia"/>
                      <w:color w:val="000000"/>
                    </w:rPr>
                    <w:t>配备12具5</w:t>
                  </w:r>
                  <w:r>
                    <w:rPr>
                      <w:rFonts w:hint="eastAsia" w:eastAsia="宋体"/>
                      <w:color w:val="000000"/>
                      <w:lang w:val="en-US" w:eastAsia="zh-CN"/>
                    </w:rPr>
                    <w:t>k</w:t>
                  </w:r>
                  <w:r>
                    <w:rPr>
                      <w:rFonts w:hint="eastAsia"/>
                      <w:color w:val="000000"/>
                    </w:rPr>
                    <w:t>g手提式干粉灭火器，4具5</w:t>
                  </w:r>
                  <w:r>
                    <w:rPr>
                      <w:rFonts w:hint="eastAsia" w:eastAsia="宋体"/>
                      <w:color w:val="000000"/>
                      <w:lang w:val="en-US" w:eastAsia="zh-CN"/>
                    </w:rPr>
                    <w:t>k</w:t>
                  </w:r>
                  <w:r>
                    <w:rPr>
                      <w:rFonts w:hint="eastAsia"/>
                      <w:color w:val="000000"/>
                    </w:rPr>
                    <w:t>g手提式二氧化碳灭火器</w:t>
                  </w:r>
                </w:p>
              </w:tc>
              <w:tc>
                <w:tcPr>
                  <w:tcW w:w="645" w:type="pct"/>
                  <w:vMerge w:val="restart"/>
                  <w:tcBorders>
                    <w:top w:val="nil"/>
                  </w:tcBorders>
                  <w:noWrap w:val="0"/>
                  <w:vAlign w:val="center"/>
                </w:tcPr>
                <w:p>
                  <w:pPr>
                    <w:pStyle w:val="161"/>
                    <w:bidi w:val="0"/>
                    <w:rPr>
                      <w:rFonts w:hint="eastAsia"/>
                      <w:color w:val="000000"/>
                      <w:lang w:val="en-US" w:eastAsia="zh-CN"/>
                    </w:rPr>
                  </w:pPr>
                </w:p>
              </w:tc>
              <w:tc>
                <w:tcPr>
                  <w:tcW w:w="545" w:type="pct"/>
                  <w:noWrap w:val="0"/>
                  <w:vAlign w:val="center"/>
                </w:tcPr>
                <w:p>
                  <w:pPr>
                    <w:pStyle w:val="161"/>
                    <w:bidi w:val="0"/>
                    <w:rPr>
                      <w:rFonts w:hint="eastAsia"/>
                      <w:color w:val="000000"/>
                      <w:lang w:val="en-US" w:eastAsia="zh-CN"/>
                    </w:rPr>
                  </w:pPr>
                </w:p>
                <w:p>
                  <w:pPr>
                    <w:pStyle w:val="161"/>
                    <w:bidi w:val="0"/>
                    <w:rPr>
                      <w:rFonts w:hint="default"/>
                      <w:color w:val="000000"/>
                      <w:lang w:val="en-US" w:eastAsia="zh-CN"/>
                    </w:rPr>
                  </w:pPr>
                  <w:r>
                    <w:rPr>
                      <w:rFonts w:hint="eastAsia"/>
                      <w:color w:val="000000"/>
                      <w:lang w:val="en-US" w:eastAsia="zh-CN"/>
                    </w:rPr>
                    <w:t>/</w:t>
                  </w:r>
                </w:p>
              </w:tc>
              <w:tc>
                <w:tcPr>
                  <w:tcW w:w="274" w:type="pct"/>
                  <w:noWrap w:val="0"/>
                  <w:vAlign w:val="center"/>
                </w:tcPr>
                <w:p>
                  <w:pPr>
                    <w:pStyle w:val="161"/>
                    <w:bidi w:val="0"/>
                    <w:rPr>
                      <w:rFonts w:hint="eastAsia"/>
                      <w:color w:val="000000"/>
                      <w:lang w:eastAsia="zh-CN"/>
                    </w:rPr>
                  </w:pPr>
                </w:p>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68" w:type="pct"/>
                  <w:vMerge w:val="continue"/>
                  <w:noWrap w:val="0"/>
                  <w:vAlign w:val="center"/>
                </w:tcPr>
                <w:p>
                  <w:pPr>
                    <w:pStyle w:val="161"/>
                    <w:bidi w:val="0"/>
                    <w:rPr>
                      <w:rFonts w:hint="eastAsia"/>
                      <w:color w:val="000000"/>
                      <w:lang w:eastAsia="zh-CN"/>
                    </w:rPr>
                  </w:pPr>
                </w:p>
              </w:tc>
              <w:tc>
                <w:tcPr>
                  <w:tcW w:w="800" w:type="pct"/>
                  <w:gridSpan w:val="2"/>
                  <w:noWrap w:val="0"/>
                  <w:vAlign w:val="center"/>
                </w:tcPr>
                <w:p>
                  <w:pPr>
                    <w:pStyle w:val="161"/>
                    <w:bidi w:val="0"/>
                    <w:rPr>
                      <w:rFonts w:hint="eastAsia"/>
                      <w:color w:val="000000"/>
                    </w:rPr>
                  </w:pPr>
                  <w:r>
                    <w:rPr>
                      <w:rFonts w:hint="eastAsia"/>
                      <w:color w:val="000000"/>
                    </w:rPr>
                    <w:t>实体围墙</w:t>
                  </w:r>
                </w:p>
              </w:tc>
              <w:tc>
                <w:tcPr>
                  <w:tcW w:w="2266" w:type="pct"/>
                  <w:noWrap w:val="0"/>
                  <w:vAlign w:val="center"/>
                </w:tcPr>
                <w:p>
                  <w:pPr>
                    <w:pStyle w:val="161"/>
                    <w:bidi w:val="0"/>
                    <w:jc w:val="both"/>
                    <w:rPr>
                      <w:rFonts w:hint="eastAsia"/>
                      <w:color w:val="000000"/>
                    </w:rPr>
                  </w:pPr>
                  <w:r>
                    <w:rPr>
                      <w:rFonts w:hint="eastAsia"/>
                      <w:color w:val="000000"/>
                    </w:rPr>
                    <w:t>实体围墙高度均为2</w:t>
                  </w:r>
                  <w:r>
                    <w:rPr>
                      <w:rFonts w:hint="eastAsia" w:eastAsia="宋体"/>
                      <w:color w:val="000000"/>
                      <w:lang w:val="en-US" w:eastAsia="zh-CN"/>
                    </w:rPr>
                    <w:t>.</w:t>
                  </w:r>
                  <w:r>
                    <w:rPr>
                      <w:rFonts w:hint="eastAsia"/>
                      <w:color w:val="000000"/>
                    </w:rPr>
                    <w:t>2m</w:t>
                  </w:r>
                </w:p>
              </w:tc>
              <w:tc>
                <w:tcPr>
                  <w:tcW w:w="645" w:type="pct"/>
                  <w:vMerge w:val="continue"/>
                  <w:noWrap w:val="0"/>
                  <w:vAlign w:val="center"/>
                </w:tcPr>
                <w:p>
                  <w:pPr>
                    <w:pStyle w:val="161"/>
                    <w:bidi w:val="0"/>
                    <w:rPr>
                      <w:rFonts w:hint="default"/>
                      <w:color w:val="000000"/>
                      <w:lang w:val="en-US" w:eastAsia="zh-CN"/>
                    </w:rPr>
                  </w:pPr>
                </w:p>
              </w:tc>
              <w:tc>
                <w:tcPr>
                  <w:tcW w:w="545" w:type="pct"/>
                  <w:noWrap w:val="0"/>
                  <w:vAlign w:val="center"/>
                </w:tcPr>
                <w:p>
                  <w:pPr>
                    <w:pStyle w:val="161"/>
                    <w:bidi w:val="0"/>
                    <w:rPr>
                      <w:rFonts w:hint="default"/>
                      <w:color w:val="000000"/>
                      <w:lang w:val="en-US" w:eastAsia="zh-CN"/>
                    </w:rPr>
                  </w:pPr>
                  <w:r>
                    <w:rPr>
                      <w:rFonts w:hint="eastAsia"/>
                      <w:color w:val="000000"/>
                      <w:lang w:val="en-US" w:eastAsia="zh-CN"/>
                    </w:rPr>
                    <w:t>/</w:t>
                  </w:r>
                </w:p>
              </w:tc>
              <w:tc>
                <w:tcPr>
                  <w:tcW w:w="274" w:type="pct"/>
                  <w:noWrap w:val="0"/>
                  <w:vAlign w:val="center"/>
                </w:tcPr>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468" w:type="pct"/>
                  <w:vMerge w:val="continue"/>
                  <w:noWrap w:val="0"/>
                  <w:vAlign w:val="center"/>
                </w:tcPr>
                <w:p>
                  <w:pPr>
                    <w:pStyle w:val="161"/>
                    <w:bidi w:val="0"/>
                    <w:rPr>
                      <w:rFonts w:hint="eastAsia"/>
                      <w:color w:val="000000"/>
                      <w:lang w:eastAsia="zh-CN"/>
                    </w:rPr>
                  </w:pPr>
                </w:p>
              </w:tc>
              <w:tc>
                <w:tcPr>
                  <w:tcW w:w="800" w:type="pct"/>
                  <w:gridSpan w:val="2"/>
                  <w:noWrap w:val="0"/>
                  <w:vAlign w:val="center"/>
                </w:tcPr>
                <w:p>
                  <w:pPr>
                    <w:pStyle w:val="161"/>
                    <w:bidi w:val="0"/>
                    <w:rPr>
                      <w:rFonts w:hint="eastAsia"/>
                      <w:color w:val="000000"/>
                    </w:rPr>
                  </w:pPr>
                  <w:r>
                    <w:rPr>
                      <w:rFonts w:hint="eastAsia"/>
                      <w:color w:val="000000"/>
                    </w:rPr>
                    <w:t>供水系统</w:t>
                  </w:r>
                </w:p>
              </w:tc>
              <w:tc>
                <w:tcPr>
                  <w:tcW w:w="2266" w:type="pct"/>
                  <w:noWrap w:val="0"/>
                  <w:vAlign w:val="center"/>
                </w:tcPr>
                <w:p>
                  <w:pPr>
                    <w:pStyle w:val="161"/>
                    <w:bidi w:val="0"/>
                    <w:jc w:val="both"/>
                    <w:rPr>
                      <w:rFonts w:hint="eastAsia" w:eastAsia="宋体"/>
                      <w:color w:val="000000"/>
                      <w:lang w:eastAsia="zh-CN"/>
                    </w:rPr>
                  </w:pPr>
                  <w:r>
                    <w:rPr>
                      <w:rFonts w:hint="eastAsia" w:eastAsia="宋体"/>
                      <w:color w:val="000000"/>
                      <w:lang w:eastAsia="zh-CN"/>
                    </w:rPr>
                    <w:t>生产和生活用水取用于当地山泉水</w:t>
                  </w:r>
                </w:p>
              </w:tc>
              <w:tc>
                <w:tcPr>
                  <w:tcW w:w="645" w:type="pct"/>
                  <w:vMerge w:val="continue"/>
                  <w:noWrap w:val="0"/>
                  <w:vAlign w:val="center"/>
                </w:tcPr>
                <w:p>
                  <w:pPr>
                    <w:pStyle w:val="161"/>
                    <w:bidi w:val="0"/>
                    <w:rPr>
                      <w:rFonts w:hint="eastAsia"/>
                      <w:color w:val="000000"/>
                      <w:lang w:val="en-US" w:eastAsia="zh-CN"/>
                    </w:rPr>
                  </w:pPr>
                </w:p>
              </w:tc>
              <w:tc>
                <w:tcPr>
                  <w:tcW w:w="545" w:type="pct"/>
                  <w:noWrap w:val="0"/>
                  <w:vAlign w:val="center"/>
                </w:tcPr>
                <w:p>
                  <w:pPr>
                    <w:pStyle w:val="161"/>
                    <w:bidi w:val="0"/>
                    <w:rPr>
                      <w:rFonts w:hint="default"/>
                      <w:color w:val="000000"/>
                      <w:lang w:val="en-US" w:eastAsia="zh-CN"/>
                    </w:rPr>
                  </w:pPr>
                  <w:r>
                    <w:rPr>
                      <w:rFonts w:hint="eastAsia"/>
                      <w:color w:val="000000"/>
                      <w:lang w:val="en-US" w:eastAsia="zh-CN"/>
                    </w:rPr>
                    <w:t>/</w:t>
                  </w:r>
                </w:p>
              </w:tc>
              <w:tc>
                <w:tcPr>
                  <w:tcW w:w="274" w:type="pct"/>
                  <w:noWrap w:val="0"/>
                  <w:vAlign w:val="center"/>
                </w:tcPr>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468" w:type="pct"/>
                  <w:vMerge w:val="continue"/>
                  <w:noWrap w:val="0"/>
                  <w:vAlign w:val="center"/>
                </w:tcPr>
                <w:p>
                  <w:pPr>
                    <w:pStyle w:val="161"/>
                    <w:bidi w:val="0"/>
                    <w:rPr>
                      <w:rFonts w:hint="eastAsia"/>
                      <w:color w:val="000000"/>
                      <w:lang w:eastAsia="zh-CN"/>
                    </w:rPr>
                  </w:pPr>
                </w:p>
              </w:tc>
              <w:tc>
                <w:tcPr>
                  <w:tcW w:w="800" w:type="pct"/>
                  <w:gridSpan w:val="2"/>
                  <w:tcBorders>
                    <w:bottom w:val="single" w:color="000000" w:sz="2" w:space="0"/>
                  </w:tcBorders>
                  <w:noWrap w:val="0"/>
                  <w:vAlign w:val="center"/>
                </w:tcPr>
                <w:p>
                  <w:pPr>
                    <w:pStyle w:val="161"/>
                    <w:bidi w:val="0"/>
                    <w:rPr>
                      <w:rFonts w:hint="eastAsia"/>
                      <w:color w:val="000000"/>
                    </w:rPr>
                  </w:pPr>
                  <w:r>
                    <w:rPr>
                      <w:rFonts w:hint="eastAsia"/>
                      <w:color w:val="000000"/>
                    </w:rPr>
                    <w:t>供电系统</w:t>
                  </w:r>
                </w:p>
              </w:tc>
              <w:tc>
                <w:tcPr>
                  <w:tcW w:w="2266" w:type="pct"/>
                  <w:tcBorders>
                    <w:bottom w:val="single" w:color="000000" w:sz="2" w:space="0"/>
                  </w:tcBorders>
                  <w:noWrap w:val="0"/>
                  <w:vAlign w:val="center"/>
                </w:tcPr>
                <w:p>
                  <w:pPr>
                    <w:pStyle w:val="161"/>
                    <w:bidi w:val="0"/>
                    <w:jc w:val="both"/>
                    <w:rPr>
                      <w:rFonts w:hint="eastAsia"/>
                      <w:color w:val="000000"/>
                    </w:rPr>
                  </w:pPr>
                  <w:r>
                    <w:rPr>
                      <w:rFonts w:hint="eastAsia"/>
                      <w:color w:val="000000"/>
                    </w:rPr>
                    <w:t>市政供电系统供电，柴油发电机</w:t>
                  </w:r>
                </w:p>
              </w:tc>
              <w:tc>
                <w:tcPr>
                  <w:tcW w:w="645" w:type="pct"/>
                  <w:vMerge w:val="continue"/>
                  <w:noWrap w:val="0"/>
                  <w:vAlign w:val="center"/>
                </w:tcPr>
                <w:p>
                  <w:pPr>
                    <w:pStyle w:val="161"/>
                    <w:bidi w:val="0"/>
                    <w:rPr>
                      <w:rFonts w:hint="eastAsia"/>
                      <w:color w:val="000000"/>
                      <w:lang w:val="en-US" w:eastAsia="zh-CN"/>
                    </w:rPr>
                  </w:pPr>
                </w:p>
              </w:tc>
              <w:tc>
                <w:tcPr>
                  <w:tcW w:w="545" w:type="pct"/>
                  <w:vMerge w:val="restart"/>
                  <w:noWrap w:val="0"/>
                  <w:vAlign w:val="center"/>
                </w:tcPr>
                <w:p>
                  <w:pPr>
                    <w:pStyle w:val="161"/>
                    <w:bidi w:val="0"/>
                    <w:rPr>
                      <w:rFonts w:hint="eastAsia"/>
                      <w:color w:val="000000"/>
                      <w:lang w:val="en-US" w:eastAsia="zh-CN"/>
                    </w:rPr>
                  </w:pPr>
                </w:p>
                <w:p>
                  <w:pPr>
                    <w:pStyle w:val="161"/>
                    <w:bidi w:val="0"/>
                    <w:rPr>
                      <w:rFonts w:hint="default"/>
                      <w:color w:val="000000"/>
                      <w:lang w:val="en-US" w:eastAsia="zh-CN"/>
                    </w:rPr>
                  </w:pPr>
                  <w:r>
                    <w:rPr>
                      <w:rFonts w:hint="eastAsia"/>
                      <w:color w:val="000000"/>
                      <w:lang w:val="en-US" w:eastAsia="zh-CN"/>
                    </w:rPr>
                    <w:t>/</w:t>
                  </w:r>
                </w:p>
              </w:tc>
              <w:tc>
                <w:tcPr>
                  <w:tcW w:w="274" w:type="pct"/>
                  <w:vMerge w:val="restart"/>
                  <w:noWrap w:val="0"/>
                  <w:vAlign w:val="center"/>
                </w:tcPr>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468" w:type="pct"/>
                  <w:vMerge w:val="continue"/>
                  <w:noWrap w:val="0"/>
                  <w:vAlign w:val="center"/>
                </w:tcPr>
                <w:p>
                  <w:pPr>
                    <w:pStyle w:val="161"/>
                    <w:bidi w:val="0"/>
                    <w:rPr>
                      <w:rFonts w:hint="eastAsia"/>
                      <w:color w:val="000000"/>
                      <w:lang w:eastAsia="zh-CN"/>
                    </w:rPr>
                  </w:pPr>
                </w:p>
              </w:tc>
              <w:tc>
                <w:tcPr>
                  <w:tcW w:w="800" w:type="pct"/>
                  <w:gridSpan w:val="2"/>
                  <w:tcBorders>
                    <w:top w:val="single" w:color="000000" w:sz="2" w:space="0"/>
                  </w:tcBorders>
                  <w:noWrap w:val="0"/>
                  <w:vAlign w:val="center"/>
                </w:tcPr>
                <w:p>
                  <w:pPr>
                    <w:pStyle w:val="161"/>
                    <w:bidi w:val="0"/>
                    <w:rPr>
                      <w:rFonts w:hint="eastAsia" w:eastAsia="宋体"/>
                      <w:color w:val="000000"/>
                      <w:lang w:eastAsia="zh-CN"/>
                    </w:rPr>
                  </w:pPr>
                  <w:r>
                    <w:rPr>
                      <w:rFonts w:hint="eastAsia" w:eastAsia="宋体"/>
                      <w:color w:val="000000"/>
                      <w:lang w:eastAsia="zh-CN"/>
                    </w:rPr>
                    <w:t>绿化</w:t>
                  </w:r>
                </w:p>
              </w:tc>
              <w:tc>
                <w:tcPr>
                  <w:tcW w:w="2266" w:type="pct"/>
                  <w:tcBorders>
                    <w:top w:val="single" w:color="000000" w:sz="2" w:space="0"/>
                  </w:tcBorders>
                  <w:noWrap w:val="0"/>
                  <w:vAlign w:val="center"/>
                </w:tcPr>
                <w:p>
                  <w:pPr>
                    <w:pStyle w:val="161"/>
                    <w:bidi w:val="0"/>
                    <w:jc w:val="both"/>
                    <w:rPr>
                      <w:rFonts w:hint="default" w:eastAsia="宋体"/>
                      <w:color w:val="000000"/>
                      <w:lang w:val="en-US" w:eastAsia="zh-CN"/>
                    </w:rPr>
                  </w:pPr>
                  <w:r>
                    <w:rPr>
                      <w:rFonts w:hint="eastAsia" w:eastAsia="宋体"/>
                      <w:color w:val="000000"/>
                      <w:lang w:eastAsia="zh-CN"/>
                    </w:rPr>
                    <w:t>绿化地坪</w:t>
                  </w:r>
                  <w:r>
                    <w:rPr>
                      <w:rFonts w:hint="default" w:ascii="Times New Roman" w:hAnsi="Times New Roman" w:eastAsia="宋体" w:cs="Times New Roman"/>
                      <w:color w:val="000000"/>
                      <w:lang w:val="en-US" w:eastAsia="zh-CN"/>
                    </w:rPr>
                    <w:t>2559</w:t>
                  </w:r>
                  <w:r>
                    <w:rPr>
                      <w:rFonts w:hint="eastAsia" w:eastAsia="宋体"/>
                      <w:color w:val="000000"/>
                      <w:lang w:val="en-US" w:eastAsia="zh-CN"/>
                    </w:rPr>
                    <w:t>m</w:t>
                  </w:r>
                  <w:r>
                    <w:rPr>
                      <w:rFonts w:hint="default" w:ascii="Times New Roman" w:hAnsi="Times New Roman" w:eastAsia="宋体" w:cs="Times New Roman"/>
                      <w:color w:val="000000"/>
                      <w:lang w:val="en-US" w:eastAsia="zh-CN"/>
                    </w:rPr>
                    <w:t>²</w:t>
                  </w:r>
                </w:p>
              </w:tc>
              <w:tc>
                <w:tcPr>
                  <w:tcW w:w="645" w:type="pct"/>
                  <w:vMerge w:val="continue"/>
                  <w:noWrap w:val="0"/>
                  <w:vAlign w:val="center"/>
                </w:tcPr>
                <w:p>
                  <w:pPr>
                    <w:pStyle w:val="161"/>
                    <w:bidi w:val="0"/>
                    <w:rPr>
                      <w:rFonts w:hint="eastAsia"/>
                      <w:color w:val="000000"/>
                      <w:lang w:val="en-US" w:eastAsia="zh-CN"/>
                    </w:rPr>
                  </w:pPr>
                </w:p>
              </w:tc>
              <w:tc>
                <w:tcPr>
                  <w:tcW w:w="545" w:type="pct"/>
                  <w:vMerge w:val="continue"/>
                  <w:noWrap w:val="0"/>
                  <w:vAlign w:val="center"/>
                </w:tcPr>
                <w:p>
                  <w:pPr>
                    <w:pStyle w:val="161"/>
                    <w:bidi w:val="0"/>
                    <w:rPr>
                      <w:rFonts w:hint="eastAsia"/>
                      <w:color w:val="000000"/>
                      <w:lang w:val="en-US" w:eastAsia="zh-CN"/>
                    </w:rPr>
                  </w:pPr>
                </w:p>
              </w:tc>
              <w:tc>
                <w:tcPr>
                  <w:tcW w:w="274" w:type="pct"/>
                  <w:vMerge w:val="continue"/>
                  <w:noWrap w:val="0"/>
                  <w:vAlign w:val="center"/>
                </w:tcPr>
                <w:p>
                  <w:pPr>
                    <w:pStyle w:val="161"/>
                    <w:bidi w:val="0"/>
                    <w:rPr>
                      <w:rFonts w:hint="eastAsia"/>
                      <w:color w:val="000000"/>
                      <w:lang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468" w:type="pct"/>
                  <w:vMerge w:val="restart"/>
                  <w:noWrap w:val="0"/>
                  <w:vAlign w:val="center"/>
                </w:tcPr>
                <w:p>
                  <w:pPr>
                    <w:pStyle w:val="161"/>
                    <w:bidi w:val="0"/>
                    <w:rPr>
                      <w:rFonts w:hint="eastAsia"/>
                      <w:color w:val="000000"/>
                      <w:lang w:eastAsia="zh-CN"/>
                    </w:rPr>
                  </w:pPr>
                  <w:r>
                    <w:rPr>
                      <w:rFonts w:hint="eastAsia"/>
                      <w:color w:val="000000"/>
                      <w:lang w:eastAsia="zh-CN"/>
                    </w:rPr>
                    <w:t>环保</w:t>
                  </w:r>
                </w:p>
                <w:p>
                  <w:pPr>
                    <w:pStyle w:val="161"/>
                    <w:bidi w:val="0"/>
                    <w:rPr>
                      <w:rFonts w:hint="eastAsia"/>
                      <w:color w:val="000000"/>
                      <w:lang w:eastAsia="zh-CN"/>
                    </w:rPr>
                  </w:pPr>
                  <w:r>
                    <w:rPr>
                      <w:rFonts w:hint="eastAsia"/>
                      <w:color w:val="000000"/>
                      <w:lang w:eastAsia="zh-CN"/>
                    </w:rPr>
                    <w:t>工程</w:t>
                  </w:r>
                </w:p>
              </w:tc>
              <w:tc>
                <w:tcPr>
                  <w:tcW w:w="800" w:type="pct"/>
                  <w:gridSpan w:val="2"/>
                  <w:noWrap w:val="0"/>
                  <w:vAlign w:val="center"/>
                </w:tcPr>
                <w:p>
                  <w:pPr>
                    <w:pStyle w:val="161"/>
                    <w:bidi w:val="0"/>
                    <w:rPr>
                      <w:rFonts w:hint="eastAsia"/>
                      <w:color w:val="000000"/>
                      <w:lang w:eastAsia="zh-CN"/>
                    </w:rPr>
                  </w:pPr>
                  <w:r>
                    <w:rPr>
                      <w:rFonts w:hint="eastAsia"/>
                      <w:color w:val="000000"/>
                      <w:lang w:eastAsia="zh-CN"/>
                    </w:rPr>
                    <w:t>废气</w:t>
                  </w:r>
                </w:p>
              </w:tc>
              <w:tc>
                <w:tcPr>
                  <w:tcW w:w="2266" w:type="pct"/>
                  <w:noWrap w:val="0"/>
                  <w:vAlign w:val="center"/>
                </w:tcPr>
                <w:p>
                  <w:pPr>
                    <w:pStyle w:val="161"/>
                    <w:bidi w:val="0"/>
                    <w:jc w:val="both"/>
                    <w:rPr>
                      <w:rFonts w:hint="eastAsia"/>
                      <w:color w:val="000000"/>
                    </w:rPr>
                  </w:pPr>
                  <w:r>
                    <w:rPr>
                      <w:rFonts w:hint="eastAsia"/>
                      <w:color w:val="000000"/>
                    </w:rPr>
                    <w:t>放散管1个；BOG回收橇1套</w:t>
                  </w:r>
                </w:p>
              </w:tc>
              <w:tc>
                <w:tcPr>
                  <w:tcW w:w="645" w:type="pct"/>
                  <w:vMerge w:val="continue"/>
                  <w:noWrap w:val="0"/>
                  <w:vAlign w:val="center"/>
                </w:tcPr>
                <w:p>
                  <w:pPr>
                    <w:pStyle w:val="161"/>
                    <w:bidi w:val="0"/>
                    <w:rPr>
                      <w:rFonts w:hint="eastAsia"/>
                      <w:color w:val="000000"/>
                      <w:lang w:val="en-US" w:eastAsia="zh-CN"/>
                    </w:rPr>
                  </w:pPr>
                </w:p>
              </w:tc>
              <w:tc>
                <w:tcPr>
                  <w:tcW w:w="545" w:type="pct"/>
                  <w:noWrap w:val="0"/>
                  <w:vAlign w:val="center"/>
                </w:tcPr>
                <w:p>
                  <w:pPr>
                    <w:pStyle w:val="161"/>
                    <w:bidi w:val="0"/>
                    <w:rPr>
                      <w:rFonts w:hint="eastAsia"/>
                      <w:color w:val="000000"/>
                      <w:lang w:val="en-US" w:eastAsia="zh-CN"/>
                    </w:rPr>
                  </w:pPr>
                </w:p>
                <w:p>
                  <w:pPr>
                    <w:pStyle w:val="161"/>
                    <w:bidi w:val="0"/>
                    <w:rPr>
                      <w:rFonts w:hint="default"/>
                      <w:color w:val="000000"/>
                      <w:lang w:val="en-US" w:eastAsia="zh-CN"/>
                    </w:rPr>
                  </w:pPr>
                  <w:r>
                    <w:rPr>
                      <w:rFonts w:hint="eastAsia"/>
                      <w:color w:val="000000"/>
                      <w:lang w:val="en-US" w:eastAsia="zh-CN"/>
                    </w:rPr>
                    <w:t>/</w:t>
                  </w:r>
                </w:p>
              </w:tc>
              <w:tc>
                <w:tcPr>
                  <w:tcW w:w="274" w:type="pct"/>
                  <w:noWrap w:val="0"/>
                  <w:vAlign w:val="center"/>
                </w:tcPr>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468" w:type="pct"/>
                  <w:vMerge w:val="continue"/>
                  <w:noWrap w:val="0"/>
                  <w:vAlign w:val="center"/>
                </w:tcPr>
                <w:p>
                  <w:pPr>
                    <w:pStyle w:val="161"/>
                    <w:bidi w:val="0"/>
                    <w:rPr>
                      <w:rFonts w:hint="eastAsia"/>
                      <w:color w:val="000000"/>
                    </w:rPr>
                  </w:pPr>
                </w:p>
              </w:tc>
              <w:tc>
                <w:tcPr>
                  <w:tcW w:w="800" w:type="pct"/>
                  <w:gridSpan w:val="2"/>
                  <w:noWrap w:val="0"/>
                  <w:vAlign w:val="center"/>
                </w:tcPr>
                <w:p>
                  <w:pPr>
                    <w:pStyle w:val="161"/>
                    <w:bidi w:val="0"/>
                    <w:rPr>
                      <w:rFonts w:hint="eastAsia"/>
                      <w:color w:val="000000"/>
                      <w:lang w:eastAsia="zh-CN"/>
                    </w:rPr>
                  </w:pPr>
                  <w:r>
                    <w:rPr>
                      <w:rFonts w:hint="eastAsia"/>
                      <w:color w:val="000000"/>
                      <w:lang w:eastAsia="zh-CN"/>
                    </w:rPr>
                    <w:t>废水</w:t>
                  </w:r>
                </w:p>
              </w:tc>
              <w:tc>
                <w:tcPr>
                  <w:tcW w:w="2266" w:type="pct"/>
                  <w:noWrap w:val="0"/>
                  <w:vAlign w:val="top"/>
                </w:tcPr>
                <w:p>
                  <w:pPr>
                    <w:pStyle w:val="161"/>
                    <w:bidi w:val="0"/>
                    <w:jc w:val="both"/>
                    <w:rPr>
                      <w:rFonts w:hint="eastAsia" w:eastAsia="宋体"/>
                      <w:color w:val="000000"/>
                      <w:lang w:eastAsia="zh-CN"/>
                    </w:rPr>
                  </w:pPr>
                  <w:r>
                    <w:rPr>
                      <w:rFonts w:hint="eastAsia"/>
                      <w:color w:val="000000"/>
                    </w:rPr>
                    <w:t>生活污水经过化粪池处理后</w:t>
                  </w:r>
                  <w:r>
                    <w:rPr>
                      <w:rFonts w:hint="eastAsia" w:eastAsia="宋体"/>
                      <w:color w:val="000000"/>
                      <w:lang w:eastAsia="zh-CN"/>
                    </w:rPr>
                    <w:t>用作农肥，不外排；地面冲洗废水仅含少量的泥沙，不含有毒有害物质，该部分废水经导流沟排至站外低洼处。</w:t>
                  </w:r>
                </w:p>
              </w:tc>
              <w:tc>
                <w:tcPr>
                  <w:tcW w:w="645" w:type="pct"/>
                  <w:vMerge w:val="continue"/>
                  <w:noWrap w:val="0"/>
                  <w:vAlign w:val="center"/>
                </w:tcPr>
                <w:p>
                  <w:pPr>
                    <w:pStyle w:val="161"/>
                    <w:bidi w:val="0"/>
                    <w:rPr>
                      <w:rFonts w:hint="eastAsia"/>
                      <w:color w:val="000000"/>
                      <w:lang w:val="en-US" w:eastAsia="zh-CN"/>
                    </w:rPr>
                  </w:pPr>
                </w:p>
              </w:tc>
              <w:tc>
                <w:tcPr>
                  <w:tcW w:w="545" w:type="pct"/>
                  <w:noWrap w:val="0"/>
                  <w:vAlign w:val="center"/>
                </w:tcPr>
                <w:p>
                  <w:pPr>
                    <w:pStyle w:val="161"/>
                    <w:bidi w:val="0"/>
                    <w:rPr>
                      <w:rFonts w:hint="eastAsia"/>
                      <w:color w:val="000000"/>
                      <w:lang w:val="en-US" w:eastAsia="zh-CN"/>
                    </w:rPr>
                  </w:pPr>
                </w:p>
                <w:p>
                  <w:pPr>
                    <w:pStyle w:val="161"/>
                    <w:bidi w:val="0"/>
                    <w:rPr>
                      <w:rFonts w:hint="default"/>
                      <w:color w:val="000000"/>
                      <w:lang w:val="en-US" w:eastAsia="zh-CN"/>
                    </w:rPr>
                  </w:pPr>
                  <w:r>
                    <w:rPr>
                      <w:rFonts w:hint="eastAsia"/>
                      <w:color w:val="000000"/>
                      <w:lang w:val="en-US" w:eastAsia="zh-CN"/>
                    </w:rPr>
                    <w:t>/</w:t>
                  </w:r>
                </w:p>
              </w:tc>
              <w:tc>
                <w:tcPr>
                  <w:tcW w:w="274" w:type="pct"/>
                  <w:noWrap w:val="0"/>
                  <w:vAlign w:val="center"/>
                </w:tcPr>
                <w:p>
                  <w:pPr>
                    <w:pStyle w:val="161"/>
                    <w:bidi w:val="0"/>
                    <w:rPr>
                      <w:rFonts w:hint="eastAsia"/>
                      <w:color w:val="000000"/>
                    </w:rPr>
                  </w:pPr>
                </w:p>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468" w:type="pct"/>
                  <w:vMerge w:val="continue"/>
                  <w:noWrap w:val="0"/>
                  <w:vAlign w:val="center"/>
                </w:tcPr>
                <w:p>
                  <w:pPr>
                    <w:pStyle w:val="161"/>
                    <w:bidi w:val="0"/>
                    <w:rPr>
                      <w:rFonts w:hint="eastAsia"/>
                      <w:color w:val="000000"/>
                    </w:rPr>
                  </w:pPr>
                </w:p>
              </w:tc>
              <w:tc>
                <w:tcPr>
                  <w:tcW w:w="800" w:type="pct"/>
                  <w:gridSpan w:val="2"/>
                  <w:noWrap w:val="0"/>
                  <w:vAlign w:val="center"/>
                </w:tcPr>
                <w:p>
                  <w:pPr>
                    <w:pStyle w:val="161"/>
                    <w:bidi w:val="0"/>
                    <w:rPr>
                      <w:rFonts w:hint="eastAsia"/>
                      <w:color w:val="000000"/>
                      <w:lang w:eastAsia="zh-CN"/>
                    </w:rPr>
                  </w:pPr>
                  <w:r>
                    <w:rPr>
                      <w:rFonts w:hint="eastAsia"/>
                      <w:color w:val="000000"/>
                      <w:lang w:eastAsia="zh-CN"/>
                    </w:rPr>
                    <w:t>噪声</w:t>
                  </w:r>
                </w:p>
              </w:tc>
              <w:tc>
                <w:tcPr>
                  <w:tcW w:w="2266" w:type="pct"/>
                  <w:noWrap w:val="0"/>
                  <w:vAlign w:val="top"/>
                </w:tcPr>
                <w:p>
                  <w:pPr>
                    <w:pStyle w:val="161"/>
                    <w:bidi w:val="0"/>
                    <w:jc w:val="both"/>
                    <w:rPr>
                      <w:rFonts w:hint="eastAsia"/>
                      <w:color w:val="000000"/>
                    </w:rPr>
                  </w:pPr>
                  <w:r>
                    <w:rPr>
                      <w:rFonts w:hint="eastAsia"/>
                      <w:color w:val="000000"/>
                    </w:rPr>
                    <w:t>选用低噪声设备，采用减振、隔声等措施；站内车辆减速慢行，禁止鸣笛、在进出口设置减速带。</w:t>
                  </w:r>
                </w:p>
              </w:tc>
              <w:tc>
                <w:tcPr>
                  <w:tcW w:w="645" w:type="pct"/>
                  <w:vMerge w:val="continue"/>
                  <w:noWrap w:val="0"/>
                  <w:vAlign w:val="center"/>
                </w:tcPr>
                <w:p>
                  <w:pPr>
                    <w:pStyle w:val="161"/>
                    <w:bidi w:val="0"/>
                    <w:rPr>
                      <w:rFonts w:hint="eastAsia"/>
                      <w:color w:val="000000"/>
                      <w:lang w:val="en-US" w:eastAsia="zh-CN"/>
                    </w:rPr>
                  </w:pPr>
                </w:p>
              </w:tc>
              <w:tc>
                <w:tcPr>
                  <w:tcW w:w="545" w:type="pct"/>
                  <w:vMerge w:val="restart"/>
                  <w:noWrap w:val="0"/>
                  <w:vAlign w:val="center"/>
                </w:tcPr>
                <w:p>
                  <w:pPr>
                    <w:pStyle w:val="161"/>
                    <w:bidi w:val="0"/>
                    <w:rPr>
                      <w:rFonts w:hint="eastAsia"/>
                      <w:color w:val="000000"/>
                      <w:lang w:val="en-US" w:eastAsia="zh-CN"/>
                    </w:rPr>
                  </w:pPr>
                </w:p>
                <w:p>
                  <w:pPr>
                    <w:pStyle w:val="161"/>
                    <w:bidi w:val="0"/>
                    <w:rPr>
                      <w:rFonts w:hint="default"/>
                      <w:color w:val="000000"/>
                      <w:lang w:val="en-US" w:eastAsia="zh-CN"/>
                    </w:rPr>
                  </w:pPr>
                  <w:r>
                    <w:rPr>
                      <w:rFonts w:hint="eastAsia"/>
                      <w:color w:val="000000"/>
                      <w:lang w:val="en-US" w:eastAsia="zh-CN"/>
                    </w:rPr>
                    <w:t>/</w:t>
                  </w:r>
                </w:p>
              </w:tc>
              <w:tc>
                <w:tcPr>
                  <w:tcW w:w="274" w:type="pct"/>
                  <w:vMerge w:val="restart"/>
                  <w:noWrap w:val="0"/>
                  <w:vAlign w:val="center"/>
                </w:tcPr>
                <w:p>
                  <w:pPr>
                    <w:pStyle w:val="161"/>
                    <w:bidi w:val="0"/>
                    <w:rPr>
                      <w:rFonts w:hint="eastAsia"/>
                      <w:color w:val="000000"/>
                    </w:rPr>
                  </w:pPr>
                </w:p>
                <w:p>
                  <w:pPr>
                    <w:pStyle w:val="161"/>
                    <w:bidi w:val="0"/>
                    <w:rPr>
                      <w:rFonts w:hint="eastAsia"/>
                      <w:color w:val="000000"/>
                      <w:lang w:eastAsia="zh-CN"/>
                    </w:rPr>
                  </w:pPr>
                  <w:r>
                    <w:rPr>
                      <w:rFonts w:hint="eastAsia"/>
                      <w:color w:val="000000"/>
                      <w:lang w:eastAsia="zh-CN"/>
                    </w:rPr>
                    <w:t>新建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468" w:type="pct"/>
                  <w:vMerge w:val="continue"/>
                  <w:noWrap w:val="0"/>
                  <w:vAlign w:val="center"/>
                </w:tcPr>
                <w:p>
                  <w:pPr>
                    <w:pStyle w:val="161"/>
                    <w:bidi w:val="0"/>
                    <w:rPr>
                      <w:rFonts w:hint="eastAsia"/>
                      <w:color w:val="000000"/>
                    </w:rPr>
                  </w:pPr>
                </w:p>
              </w:tc>
              <w:tc>
                <w:tcPr>
                  <w:tcW w:w="800" w:type="pct"/>
                  <w:gridSpan w:val="2"/>
                  <w:noWrap w:val="0"/>
                  <w:vAlign w:val="center"/>
                </w:tcPr>
                <w:p>
                  <w:pPr>
                    <w:pStyle w:val="161"/>
                    <w:bidi w:val="0"/>
                    <w:jc w:val="center"/>
                    <w:rPr>
                      <w:rFonts w:hint="eastAsia"/>
                      <w:color w:val="000000"/>
                      <w:lang w:eastAsia="zh-CN"/>
                    </w:rPr>
                  </w:pPr>
                  <w:r>
                    <w:rPr>
                      <w:rFonts w:hint="eastAsia"/>
                      <w:color w:val="000000"/>
                      <w:lang w:eastAsia="zh-CN"/>
                    </w:rPr>
                    <w:t>固废</w:t>
                  </w:r>
                </w:p>
              </w:tc>
              <w:tc>
                <w:tcPr>
                  <w:tcW w:w="2266" w:type="pct"/>
                  <w:noWrap w:val="0"/>
                  <w:vAlign w:val="top"/>
                </w:tcPr>
                <w:p>
                  <w:pPr>
                    <w:pStyle w:val="161"/>
                    <w:bidi w:val="0"/>
                    <w:jc w:val="both"/>
                    <w:rPr>
                      <w:rFonts w:hint="eastAsia" w:eastAsia="宋体"/>
                      <w:color w:val="000000"/>
                      <w:lang w:eastAsia="zh-CN"/>
                    </w:rPr>
                  </w:pPr>
                  <w:r>
                    <w:rPr>
                      <w:rFonts w:hint="eastAsia" w:eastAsia="宋体"/>
                      <w:color w:val="000000"/>
                      <w:lang w:eastAsia="zh-CN"/>
                    </w:rPr>
                    <w:t>设置生活垃圾收集桶，分类收集交由环卫部门清运处理</w:t>
                  </w:r>
                </w:p>
              </w:tc>
              <w:tc>
                <w:tcPr>
                  <w:tcW w:w="645" w:type="pct"/>
                  <w:vMerge w:val="continue"/>
                  <w:noWrap w:val="0"/>
                  <w:vAlign w:val="center"/>
                </w:tcPr>
                <w:p>
                  <w:pPr>
                    <w:pStyle w:val="161"/>
                    <w:bidi w:val="0"/>
                    <w:rPr>
                      <w:rFonts w:hint="eastAsia"/>
                      <w:color w:val="000000"/>
                      <w:lang w:val="en-US" w:eastAsia="zh-CN"/>
                    </w:rPr>
                  </w:pPr>
                </w:p>
              </w:tc>
              <w:tc>
                <w:tcPr>
                  <w:tcW w:w="545" w:type="pct"/>
                  <w:vMerge w:val="continue"/>
                  <w:noWrap w:val="0"/>
                  <w:vAlign w:val="center"/>
                </w:tcPr>
                <w:p>
                  <w:pPr>
                    <w:pStyle w:val="161"/>
                    <w:bidi w:val="0"/>
                    <w:rPr>
                      <w:rFonts w:hint="eastAsia"/>
                      <w:color w:val="000000"/>
                      <w:lang w:val="en-US" w:eastAsia="zh-CN"/>
                    </w:rPr>
                  </w:pPr>
                </w:p>
              </w:tc>
              <w:tc>
                <w:tcPr>
                  <w:tcW w:w="274" w:type="pct"/>
                  <w:vMerge w:val="continue"/>
                  <w:noWrap w:val="0"/>
                  <w:vAlign w:val="center"/>
                </w:tcPr>
                <w:p>
                  <w:pPr>
                    <w:pStyle w:val="161"/>
                    <w:bidi w:val="0"/>
                    <w:rPr>
                      <w:rFonts w:hint="eastAsia"/>
                      <w:color w:val="000000"/>
                      <w:lang w:eastAsia="zh-CN"/>
                    </w:rPr>
                  </w:pPr>
                </w:p>
              </w:tc>
            </w:tr>
          </w:tbl>
          <w:p>
            <w:pPr>
              <w:pStyle w:val="97"/>
              <w:bidi w:val="0"/>
              <w:ind w:left="0" w:leftChars="0" w:firstLine="0" w:firstLineChars="0"/>
              <w:rPr>
                <w:rFonts w:hint="eastAsia" w:asciiTheme="minorEastAsia" w:hAnsiTheme="minorEastAsia" w:eastAsiaTheme="minorEastAsia" w:cstheme="minorEastAsia"/>
                <w:b/>
                <w:bCs/>
                <w:color w:val="000000"/>
                <w:sz w:val="28"/>
                <w:szCs w:val="21"/>
                <w:lang w:eastAsia="zh-CN"/>
              </w:rPr>
            </w:pPr>
            <w:r>
              <w:rPr>
                <w:rFonts w:hint="eastAsia" w:asciiTheme="minorEastAsia" w:hAnsiTheme="minorEastAsia" w:eastAsiaTheme="minorEastAsia" w:cstheme="minorEastAsia"/>
                <w:b/>
                <w:bCs/>
                <w:color w:val="000000"/>
                <w:sz w:val="28"/>
                <w:szCs w:val="21"/>
                <w:lang w:eastAsia="zh-CN"/>
              </w:rPr>
              <w:t>七、原辅材料和主要设备</w:t>
            </w:r>
          </w:p>
          <w:p>
            <w:pPr>
              <w:keepLines/>
              <w:spacing w:line="360" w:lineRule="auto"/>
              <w:ind w:firstLine="472" w:firstLineChars="196"/>
              <w:rPr>
                <w:rFonts w:eastAsiaTheme="minorEastAsia"/>
                <w:b/>
                <w:color w:val="000000"/>
                <w:kern w:val="0"/>
                <w:sz w:val="24"/>
              </w:rPr>
            </w:pPr>
            <w:r>
              <w:rPr>
                <w:rFonts w:hint="eastAsia" w:eastAsiaTheme="minorEastAsia"/>
                <w:b/>
                <w:color w:val="000000"/>
                <w:kern w:val="0"/>
                <w:sz w:val="24"/>
                <w:lang w:val="en-US" w:eastAsia="zh-CN"/>
              </w:rPr>
              <w:t>1</w:t>
            </w:r>
            <w:r>
              <w:rPr>
                <w:rFonts w:eastAsiaTheme="minorEastAsia"/>
                <w:b/>
                <w:color w:val="000000"/>
                <w:kern w:val="0"/>
                <w:sz w:val="24"/>
              </w:rPr>
              <w:t>、主要</w:t>
            </w:r>
            <w:r>
              <w:rPr>
                <w:rFonts w:hint="eastAsia" w:eastAsiaTheme="minorEastAsia"/>
                <w:b/>
                <w:color w:val="000000"/>
                <w:kern w:val="0"/>
                <w:sz w:val="24"/>
              </w:rPr>
              <w:t>原辅材料</w:t>
            </w:r>
          </w:p>
          <w:p>
            <w:pPr>
              <w:pStyle w:val="96"/>
              <w:spacing w:line="240" w:lineRule="auto"/>
              <w:ind w:firstLine="0" w:firstLineChars="0"/>
              <w:rPr>
                <w:rFonts w:eastAsia="宋体"/>
                <w:color w:val="000000"/>
              </w:rPr>
            </w:pPr>
            <w:r>
              <w:rPr>
                <w:rFonts w:eastAsia="宋体"/>
                <w:color w:val="000000"/>
              </w:rPr>
              <w:t>表1-</w:t>
            </w:r>
            <w:r>
              <w:rPr>
                <w:rFonts w:hint="eastAsia" w:eastAsia="宋体"/>
                <w:color w:val="000000"/>
                <w:lang w:val="en-US" w:eastAsia="zh-CN"/>
              </w:rPr>
              <w:t>8</w:t>
            </w:r>
            <w:r>
              <w:rPr>
                <w:rFonts w:eastAsia="宋体"/>
                <w:color w:val="000000"/>
              </w:rPr>
              <w:t xml:space="preserve"> 主要原（辅）材料及能耗表</w:t>
            </w:r>
          </w:p>
          <w:tbl>
            <w:tblPr>
              <w:tblStyle w:val="2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84"/>
              <w:gridCol w:w="1725"/>
              <w:gridCol w:w="1854"/>
              <w:gridCol w:w="1440"/>
              <w:gridCol w:w="30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776" w:type="pct"/>
                  <w:tcBorders>
                    <w:top w:val="single" w:color="000000" w:sz="12" w:space="0"/>
                    <w:left w:val="nil"/>
                    <w:bottom w:val="single" w:color="000000" w:sz="6" w:space="0"/>
                    <w:right w:val="single" w:color="000000" w:sz="6" w:space="0"/>
                    <w:tl2br w:val="nil"/>
                    <w:tr2bl w:val="nil"/>
                  </w:tcBorders>
                  <w:noWrap w:val="0"/>
                  <w:vAlign w:val="top"/>
                </w:tcPr>
                <w:p>
                  <w:pPr>
                    <w:pStyle w:val="161"/>
                    <w:bidi w:val="0"/>
                    <w:rPr>
                      <w:rFonts w:hint="eastAsia"/>
                      <w:color w:val="000000"/>
                    </w:rPr>
                  </w:pPr>
                  <w:r>
                    <w:rPr>
                      <w:rFonts w:hint="eastAsia"/>
                      <w:color w:val="000000"/>
                    </w:rPr>
                    <w:t>序号</w:t>
                  </w:r>
                </w:p>
              </w:tc>
              <w:tc>
                <w:tcPr>
                  <w:tcW w:w="902" w:type="pct"/>
                  <w:tcBorders>
                    <w:top w:val="single" w:color="000000" w:sz="12" w:space="0"/>
                    <w:left w:val="single" w:color="000000" w:sz="6" w:space="0"/>
                    <w:bottom w:val="single" w:color="000000" w:sz="6" w:space="0"/>
                    <w:right w:val="single" w:color="000000" w:sz="6" w:space="0"/>
                    <w:tl2br w:val="nil"/>
                    <w:tr2bl w:val="nil"/>
                  </w:tcBorders>
                  <w:noWrap w:val="0"/>
                  <w:vAlign w:val="top"/>
                </w:tcPr>
                <w:p>
                  <w:pPr>
                    <w:pStyle w:val="161"/>
                    <w:bidi w:val="0"/>
                    <w:rPr>
                      <w:rFonts w:hint="eastAsia"/>
                      <w:color w:val="000000"/>
                    </w:rPr>
                  </w:pPr>
                  <w:r>
                    <w:rPr>
                      <w:rFonts w:hint="eastAsia"/>
                      <w:color w:val="000000"/>
                    </w:rPr>
                    <w:t>名称</w:t>
                  </w:r>
                </w:p>
              </w:tc>
              <w:tc>
                <w:tcPr>
                  <w:tcW w:w="969" w:type="pct"/>
                  <w:tcBorders>
                    <w:top w:val="single" w:color="000000" w:sz="12" w:space="0"/>
                    <w:left w:val="single" w:color="000000" w:sz="6" w:space="0"/>
                    <w:bottom w:val="single" w:color="000000" w:sz="6" w:space="0"/>
                    <w:right w:val="single" w:color="000000" w:sz="6" w:space="0"/>
                    <w:tl2br w:val="nil"/>
                    <w:tr2bl w:val="nil"/>
                  </w:tcBorders>
                  <w:noWrap w:val="0"/>
                  <w:vAlign w:val="top"/>
                </w:tcPr>
                <w:p>
                  <w:pPr>
                    <w:pStyle w:val="161"/>
                    <w:bidi w:val="0"/>
                    <w:rPr>
                      <w:rFonts w:hint="eastAsia"/>
                      <w:color w:val="000000"/>
                    </w:rPr>
                  </w:pPr>
                  <w:r>
                    <w:rPr>
                      <w:rFonts w:hint="eastAsia"/>
                      <w:color w:val="000000"/>
                    </w:rPr>
                    <w:t>单位</w:t>
                  </w:r>
                </w:p>
              </w:tc>
              <w:tc>
                <w:tcPr>
                  <w:tcW w:w="753" w:type="pct"/>
                  <w:tcBorders>
                    <w:top w:val="single" w:color="000000" w:sz="12" w:space="0"/>
                    <w:left w:val="single" w:color="000000" w:sz="6" w:space="0"/>
                    <w:bottom w:val="single" w:color="000000" w:sz="6" w:space="0"/>
                    <w:right w:val="single" w:color="000000" w:sz="6" w:space="0"/>
                    <w:tl2br w:val="nil"/>
                    <w:tr2bl w:val="nil"/>
                  </w:tcBorders>
                  <w:noWrap w:val="0"/>
                  <w:vAlign w:val="top"/>
                </w:tcPr>
                <w:p>
                  <w:pPr>
                    <w:pStyle w:val="161"/>
                    <w:bidi w:val="0"/>
                    <w:rPr>
                      <w:rFonts w:hint="eastAsia"/>
                      <w:color w:val="000000"/>
                    </w:rPr>
                  </w:pPr>
                  <w:r>
                    <w:rPr>
                      <w:rFonts w:hint="eastAsia"/>
                      <w:color w:val="000000"/>
                    </w:rPr>
                    <w:t>耗量</w:t>
                  </w:r>
                </w:p>
              </w:tc>
              <w:tc>
                <w:tcPr>
                  <w:tcW w:w="1598" w:type="pct"/>
                  <w:tcBorders>
                    <w:top w:val="single" w:color="000000" w:sz="12" w:space="0"/>
                    <w:left w:val="single" w:color="000000" w:sz="6" w:space="0"/>
                    <w:bottom w:val="single" w:color="000000" w:sz="6" w:space="0"/>
                    <w:right w:val="nil"/>
                    <w:tl2br w:val="nil"/>
                    <w:tr2bl w:val="nil"/>
                  </w:tcBorders>
                  <w:noWrap w:val="0"/>
                  <w:vAlign w:val="top"/>
                </w:tcPr>
                <w:p>
                  <w:pPr>
                    <w:pStyle w:val="161"/>
                    <w:bidi w:val="0"/>
                    <w:rPr>
                      <w:rFonts w:hint="eastAsia"/>
                      <w:color w:val="000000"/>
                    </w:rPr>
                  </w:pPr>
                  <w:r>
                    <w:rPr>
                      <w:rFonts w:hint="eastAsia"/>
                      <w:color w:val="000000"/>
                    </w:rPr>
                    <w:t>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76" w:type="pct"/>
                  <w:tcBorders>
                    <w:top w:val="single" w:color="000000" w:sz="6" w:space="0"/>
                    <w:left w:val="nil"/>
                    <w:bottom w:val="single" w:color="000000" w:sz="6" w:space="0"/>
                    <w:right w:val="single" w:color="000000" w:sz="6" w:space="0"/>
                    <w:tl2br w:val="nil"/>
                    <w:tr2bl w:val="nil"/>
                  </w:tcBorders>
                  <w:noWrap w:val="0"/>
                  <w:vAlign w:val="center"/>
                </w:tcPr>
                <w:p>
                  <w:pPr>
                    <w:pStyle w:val="161"/>
                    <w:bidi w:val="0"/>
                    <w:jc w:val="center"/>
                    <w:rPr>
                      <w:rFonts w:hint="eastAsia"/>
                      <w:color w:val="000000"/>
                    </w:rPr>
                  </w:pPr>
                  <w:r>
                    <w:rPr>
                      <w:rFonts w:hint="eastAsia"/>
                      <w:color w:val="000000"/>
                    </w:rPr>
                    <w:t>主（辅）料</w:t>
                  </w:r>
                </w:p>
              </w:tc>
              <w:tc>
                <w:tcPr>
                  <w:tcW w:w="902"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161"/>
                    <w:bidi w:val="0"/>
                    <w:jc w:val="center"/>
                    <w:rPr>
                      <w:rFonts w:hint="eastAsia"/>
                      <w:color w:val="000000"/>
                    </w:rPr>
                  </w:pPr>
                  <w:r>
                    <w:rPr>
                      <w:rFonts w:hint="eastAsia"/>
                      <w:color w:val="000000"/>
                    </w:rPr>
                    <w:t>液化天然</w:t>
                  </w:r>
                </w:p>
                <w:p>
                  <w:pPr>
                    <w:pStyle w:val="161"/>
                    <w:bidi w:val="0"/>
                    <w:jc w:val="center"/>
                    <w:rPr>
                      <w:rFonts w:hint="eastAsia"/>
                      <w:color w:val="000000"/>
                    </w:rPr>
                  </w:pPr>
                  <w:r>
                    <w:rPr>
                      <w:rFonts w:hint="eastAsia"/>
                      <w:color w:val="000000"/>
                    </w:rPr>
                    <w:t>气（</w:t>
                  </w:r>
                  <w:r>
                    <w:rPr>
                      <w:rFonts w:hint="default"/>
                      <w:color w:val="000000"/>
                    </w:rPr>
                    <w:t>LN</w:t>
                  </w:r>
                  <w:r>
                    <w:rPr>
                      <w:rFonts w:hint="eastAsia"/>
                      <w:color w:val="000000"/>
                      <w:lang w:val="en-US" w:eastAsia="zh-CN"/>
                    </w:rPr>
                    <w:t>G</w:t>
                  </w:r>
                  <w:r>
                    <w:rPr>
                      <w:rFonts w:hint="eastAsia"/>
                      <w:color w:val="000000"/>
                    </w:rPr>
                    <w:t>）</w:t>
                  </w:r>
                </w:p>
              </w:tc>
              <w:tc>
                <w:tcPr>
                  <w:tcW w:w="969"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161"/>
                    <w:bidi w:val="0"/>
                    <w:jc w:val="center"/>
                    <w:rPr>
                      <w:rFonts w:hint="default"/>
                      <w:color w:val="000000"/>
                    </w:rPr>
                  </w:pPr>
                  <w:r>
                    <w:rPr>
                      <w:rFonts w:hint="eastAsia"/>
                      <w:color w:val="000000"/>
                    </w:rPr>
                    <w:t>万</w:t>
                  </w:r>
                  <w:r>
                    <w:rPr>
                      <w:rFonts w:hint="eastAsia" w:eastAsia="宋体"/>
                      <w:color w:val="000000"/>
                      <w:lang w:val="en-US" w:eastAsia="zh-CN"/>
                    </w:rPr>
                    <w:t>t</w:t>
                  </w:r>
                  <w:r>
                    <w:rPr>
                      <w:rFonts w:hint="default"/>
                      <w:color w:val="000000"/>
                    </w:rPr>
                    <w:t>/a</w:t>
                  </w:r>
                </w:p>
              </w:tc>
              <w:tc>
                <w:tcPr>
                  <w:tcW w:w="75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161"/>
                    <w:bidi w:val="0"/>
                    <w:jc w:val="center"/>
                    <w:rPr>
                      <w:rFonts w:hint="default"/>
                      <w:color w:val="000000"/>
                      <w:lang w:val="en-US" w:eastAsia="zh-CN"/>
                    </w:rPr>
                  </w:pPr>
                  <w:r>
                    <w:rPr>
                      <w:rFonts w:hint="eastAsia"/>
                      <w:color w:val="000000"/>
                      <w:lang w:val="en-US" w:eastAsia="zh-CN"/>
                    </w:rPr>
                    <w:t>3.6</w:t>
                  </w:r>
                </w:p>
              </w:tc>
              <w:tc>
                <w:tcPr>
                  <w:tcW w:w="1598" w:type="pct"/>
                  <w:tcBorders>
                    <w:top w:val="single" w:color="000000" w:sz="6" w:space="0"/>
                    <w:left w:val="single" w:color="000000" w:sz="6" w:space="0"/>
                    <w:bottom w:val="single" w:color="000000" w:sz="6" w:space="0"/>
                    <w:right w:val="nil"/>
                    <w:tl2br w:val="nil"/>
                    <w:tr2bl w:val="nil"/>
                  </w:tcBorders>
                  <w:noWrap w:val="0"/>
                  <w:vAlign w:val="center"/>
                </w:tcPr>
                <w:p>
                  <w:pPr>
                    <w:pStyle w:val="161"/>
                    <w:bidi w:val="0"/>
                    <w:jc w:val="center"/>
                    <w:rPr>
                      <w:rFonts w:hint="eastAsia"/>
                      <w:color w:val="000000"/>
                    </w:rPr>
                  </w:pPr>
                  <w:r>
                    <w:rPr>
                      <w:rFonts w:hint="eastAsia"/>
                      <w:color w:val="000000"/>
                    </w:rPr>
                    <w:t>广安华油液化工厂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6" w:type="pct"/>
                  <w:tcBorders>
                    <w:top w:val="single" w:color="000000" w:sz="6" w:space="0"/>
                    <w:left w:val="nil"/>
                    <w:bottom w:val="single" w:color="000000" w:sz="6" w:space="0"/>
                    <w:right w:val="single" w:color="000000" w:sz="6" w:space="0"/>
                    <w:tl2br w:val="nil"/>
                    <w:tr2bl w:val="nil"/>
                  </w:tcBorders>
                  <w:noWrap w:val="0"/>
                  <w:vAlign w:val="top"/>
                </w:tcPr>
                <w:p>
                  <w:pPr>
                    <w:pStyle w:val="161"/>
                    <w:bidi w:val="0"/>
                    <w:rPr>
                      <w:rFonts w:hint="eastAsia"/>
                      <w:color w:val="000000"/>
                    </w:rPr>
                  </w:pPr>
                  <w:r>
                    <w:rPr>
                      <w:rFonts w:hint="eastAsia"/>
                      <w:color w:val="000000"/>
                    </w:rPr>
                    <w:t>能源</w:t>
                  </w:r>
                </w:p>
              </w:tc>
              <w:tc>
                <w:tcPr>
                  <w:tcW w:w="902" w:type="pc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1"/>
                    <w:bidi w:val="0"/>
                    <w:rPr>
                      <w:rFonts w:hint="eastAsia"/>
                      <w:color w:val="000000"/>
                    </w:rPr>
                  </w:pPr>
                  <w:r>
                    <w:rPr>
                      <w:rFonts w:hint="eastAsia"/>
                      <w:color w:val="000000"/>
                    </w:rPr>
                    <w:t>电</w:t>
                  </w:r>
                </w:p>
              </w:tc>
              <w:tc>
                <w:tcPr>
                  <w:tcW w:w="969" w:type="pc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1"/>
                    <w:bidi w:val="0"/>
                    <w:rPr>
                      <w:rFonts w:hint="eastAsia"/>
                      <w:color w:val="000000"/>
                    </w:rPr>
                  </w:pPr>
                  <w:r>
                    <w:rPr>
                      <w:rFonts w:hint="eastAsia"/>
                      <w:color w:val="000000"/>
                    </w:rPr>
                    <w:t>万</w:t>
                  </w:r>
                  <w:r>
                    <w:rPr>
                      <w:rFonts w:hint="eastAsia" w:eastAsia="宋体"/>
                      <w:color w:val="000000"/>
                      <w:lang w:val="en-US" w:eastAsia="zh-CN"/>
                    </w:rPr>
                    <w:t>k</w:t>
                  </w:r>
                  <w:r>
                    <w:rPr>
                      <w:rFonts w:hint="default"/>
                      <w:color w:val="000000"/>
                    </w:rPr>
                    <w:t>W</w:t>
                  </w:r>
                  <w:r>
                    <w:rPr>
                      <w:rFonts w:hint="eastAsia" w:eastAsia="宋体"/>
                      <w:color w:val="000000"/>
                      <w:lang w:val="en-US" w:eastAsia="zh-CN"/>
                    </w:rPr>
                    <w:t>·</w:t>
                  </w:r>
                  <w:r>
                    <w:rPr>
                      <w:rFonts w:hint="default"/>
                      <w:color w:val="000000"/>
                    </w:rPr>
                    <w:t>h/</w:t>
                  </w:r>
                  <w:r>
                    <w:rPr>
                      <w:rFonts w:hint="eastAsia"/>
                      <w:color w:val="000000"/>
                    </w:rPr>
                    <w:t>年</w:t>
                  </w:r>
                </w:p>
              </w:tc>
              <w:tc>
                <w:tcPr>
                  <w:tcW w:w="753" w:type="pct"/>
                  <w:tcBorders>
                    <w:top w:val="single" w:color="000000" w:sz="6" w:space="0"/>
                    <w:left w:val="single" w:color="000000" w:sz="6" w:space="0"/>
                    <w:bottom w:val="single" w:color="000000" w:sz="6" w:space="0"/>
                    <w:right w:val="single" w:color="000000" w:sz="6" w:space="0"/>
                    <w:tl2br w:val="nil"/>
                    <w:tr2bl w:val="nil"/>
                  </w:tcBorders>
                  <w:noWrap w:val="0"/>
                  <w:vAlign w:val="top"/>
                </w:tcPr>
                <w:p>
                  <w:pPr>
                    <w:pStyle w:val="161"/>
                    <w:bidi w:val="0"/>
                    <w:rPr>
                      <w:rFonts w:hint="default"/>
                      <w:color w:val="000000"/>
                      <w:lang w:val="en-US" w:eastAsia="zh-CN"/>
                    </w:rPr>
                  </w:pPr>
                  <w:r>
                    <w:rPr>
                      <w:rFonts w:hint="eastAsia"/>
                      <w:color w:val="000000"/>
                      <w:lang w:val="en-US" w:eastAsia="zh-CN"/>
                    </w:rPr>
                    <w:t>189.4</w:t>
                  </w:r>
                </w:p>
              </w:tc>
              <w:tc>
                <w:tcPr>
                  <w:tcW w:w="1598" w:type="pct"/>
                  <w:tcBorders>
                    <w:top w:val="single" w:color="000000" w:sz="6" w:space="0"/>
                    <w:left w:val="single" w:color="000000" w:sz="6" w:space="0"/>
                    <w:bottom w:val="single" w:color="000000" w:sz="6" w:space="0"/>
                    <w:right w:val="nil"/>
                    <w:tl2br w:val="nil"/>
                    <w:tr2bl w:val="nil"/>
                  </w:tcBorders>
                  <w:noWrap w:val="0"/>
                  <w:vAlign w:val="top"/>
                </w:tcPr>
                <w:p>
                  <w:pPr>
                    <w:pStyle w:val="161"/>
                    <w:bidi w:val="0"/>
                    <w:rPr>
                      <w:rFonts w:hint="eastAsia"/>
                      <w:color w:val="000000"/>
                    </w:rPr>
                  </w:pPr>
                  <w:r>
                    <w:rPr>
                      <w:rFonts w:hint="eastAsia"/>
                      <w:color w:val="000000"/>
                      <w:lang w:eastAsia="zh-CN"/>
                    </w:rPr>
                    <w:t>市政</w:t>
                  </w:r>
                  <w:r>
                    <w:rPr>
                      <w:rFonts w:hint="eastAsia"/>
                      <w:color w:val="000000"/>
                    </w:rPr>
                    <w:t>电网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776" w:type="pct"/>
                  <w:tcBorders>
                    <w:top w:val="single" w:color="000000" w:sz="6" w:space="0"/>
                    <w:left w:val="nil"/>
                    <w:bottom w:val="single" w:color="000000" w:sz="12" w:space="0"/>
                    <w:right w:val="single" w:color="000000" w:sz="6" w:space="0"/>
                    <w:tl2br w:val="nil"/>
                    <w:tr2bl w:val="nil"/>
                  </w:tcBorders>
                  <w:noWrap w:val="0"/>
                  <w:vAlign w:val="top"/>
                </w:tcPr>
                <w:p>
                  <w:pPr>
                    <w:pStyle w:val="161"/>
                    <w:bidi w:val="0"/>
                    <w:rPr>
                      <w:rFonts w:hint="eastAsia"/>
                      <w:color w:val="000000"/>
                    </w:rPr>
                  </w:pPr>
                  <w:r>
                    <w:rPr>
                      <w:rFonts w:hint="eastAsia"/>
                      <w:color w:val="000000"/>
                    </w:rPr>
                    <w:t>水耗</w:t>
                  </w:r>
                </w:p>
              </w:tc>
              <w:tc>
                <w:tcPr>
                  <w:tcW w:w="902" w:type="pct"/>
                  <w:tcBorders>
                    <w:top w:val="single" w:color="000000" w:sz="6" w:space="0"/>
                    <w:left w:val="single" w:color="000000" w:sz="6" w:space="0"/>
                    <w:bottom w:val="single" w:color="000000" w:sz="12" w:space="0"/>
                    <w:right w:val="single" w:color="000000" w:sz="6" w:space="0"/>
                    <w:tl2br w:val="nil"/>
                    <w:tr2bl w:val="nil"/>
                  </w:tcBorders>
                  <w:noWrap w:val="0"/>
                  <w:vAlign w:val="top"/>
                </w:tcPr>
                <w:p>
                  <w:pPr>
                    <w:pStyle w:val="161"/>
                    <w:bidi w:val="0"/>
                    <w:rPr>
                      <w:rFonts w:hint="eastAsia"/>
                      <w:color w:val="000000"/>
                    </w:rPr>
                  </w:pPr>
                  <w:r>
                    <w:rPr>
                      <w:rFonts w:hint="eastAsia"/>
                      <w:color w:val="000000"/>
                    </w:rPr>
                    <w:t>自来水</w:t>
                  </w:r>
                </w:p>
              </w:tc>
              <w:tc>
                <w:tcPr>
                  <w:tcW w:w="969" w:type="pct"/>
                  <w:tcBorders>
                    <w:top w:val="single" w:color="000000" w:sz="6" w:space="0"/>
                    <w:left w:val="single" w:color="000000" w:sz="6" w:space="0"/>
                    <w:bottom w:val="single" w:color="000000" w:sz="12" w:space="0"/>
                    <w:right w:val="single" w:color="000000" w:sz="6" w:space="0"/>
                    <w:tl2br w:val="nil"/>
                    <w:tr2bl w:val="nil"/>
                  </w:tcBorders>
                  <w:noWrap w:val="0"/>
                  <w:vAlign w:val="top"/>
                </w:tcPr>
                <w:p>
                  <w:pPr>
                    <w:pStyle w:val="161"/>
                    <w:bidi w:val="0"/>
                    <w:rPr>
                      <w:rFonts w:hint="default"/>
                      <w:color w:val="000000"/>
                    </w:rPr>
                  </w:pPr>
                  <w:r>
                    <w:rPr>
                      <w:rFonts w:hint="default"/>
                      <w:color w:val="000000"/>
                    </w:rPr>
                    <w:t>m</w:t>
                  </w:r>
                  <w:r>
                    <w:rPr>
                      <w:rFonts w:hint="default"/>
                      <w:color w:val="000000"/>
                      <w:vertAlign w:val="superscript"/>
                    </w:rPr>
                    <w:t>3</w:t>
                  </w:r>
                  <w:r>
                    <w:rPr>
                      <w:rFonts w:hint="default"/>
                      <w:color w:val="000000"/>
                    </w:rPr>
                    <w:t>/a</w:t>
                  </w:r>
                </w:p>
              </w:tc>
              <w:tc>
                <w:tcPr>
                  <w:tcW w:w="753" w:type="pct"/>
                  <w:tcBorders>
                    <w:top w:val="single" w:color="000000" w:sz="6" w:space="0"/>
                    <w:left w:val="single" w:color="000000" w:sz="6" w:space="0"/>
                    <w:bottom w:val="single" w:color="000000" w:sz="12" w:space="0"/>
                    <w:right w:val="single" w:color="000000" w:sz="6" w:space="0"/>
                    <w:tl2br w:val="nil"/>
                    <w:tr2bl w:val="nil"/>
                  </w:tcBorders>
                  <w:noWrap w:val="0"/>
                  <w:vAlign w:val="top"/>
                </w:tcPr>
                <w:p>
                  <w:pPr>
                    <w:pStyle w:val="161"/>
                    <w:bidi w:val="0"/>
                    <w:rPr>
                      <w:rFonts w:hint="default"/>
                      <w:color w:val="000000"/>
                      <w:lang w:val="en-US" w:eastAsia="zh-CN"/>
                    </w:rPr>
                  </w:pPr>
                  <w:r>
                    <w:rPr>
                      <w:rFonts w:hint="eastAsia"/>
                      <w:color w:val="000000"/>
                      <w:lang w:val="en-US" w:eastAsia="zh-CN"/>
                    </w:rPr>
                    <w:t>3938</w:t>
                  </w:r>
                </w:p>
              </w:tc>
              <w:tc>
                <w:tcPr>
                  <w:tcW w:w="1598" w:type="pct"/>
                  <w:tcBorders>
                    <w:top w:val="single" w:color="000000" w:sz="6" w:space="0"/>
                    <w:left w:val="single" w:color="000000" w:sz="6" w:space="0"/>
                    <w:bottom w:val="single" w:color="000000" w:sz="12" w:space="0"/>
                    <w:right w:val="nil"/>
                    <w:tl2br w:val="nil"/>
                    <w:tr2bl w:val="nil"/>
                  </w:tcBorders>
                  <w:noWrap w:val="0"/>
                  <w:vAlign w:val="top"/>
                </w:tcPr>
                <w:p>
                  <w:pPr>
                    <w:pStyle w:val="161"/>
                    <w:bidi w:val="0"/>
                    <w:rPr>
                      <w:rFonts w:hint="eastAsia"/>
                      <w:color w:val="000000"/>
                      <w:lang w:eastAsia="zh-CN"/>
                    </w:rPr>
                  </w:pPr>
                  <w:r>
                    <w:rPr>
                      <w:rFonts w:hint="eastAsia"/>
                      <w:color w:val="000000"/>
                      <w:lang w:eastAsia="zh-CN"/>
                    </w:rPr>
                    <w:t>站外打井供给</w:t>
                  </w:r>
                </w:p>
              </w:tc>
            </w:tr>
          </w:tbl>
          <w:p>
            <w:pPr>
              <w:pStyle w:val="97"/>
              <w:bidi w:val="0"/>
              <w:rPr>
                <w:rFonts w:hint="eastAsia"/>
                <w:color w:val="000000"/>
                <w:lang w:val="en-US" w:eastAsia="zh-CN"/>
              </w:rPr>
            </w:pPr>
            <w:r>
              <w:rPr>
                <w:rFonts w:hint="eastAsia"/>
                <w:color w:val="000000"/>
              </w:rPr>
              <w:t>液化天然</w:t>
            </w:r>
            <w:r>
              <w:rPr>
                <w:rFonts w:hint="eastAsia"/>
                <w:color w:val="000000"/>
                <w:lang w:eastAsia="zh-CN"/>
              </w:rPr>
              <w:t>气（</w:t>
            </w:r>
            <w:r>
              <w:rPr>
                <w:rFonts w:hint="eastAsia"/>
                <w:color w:val="000000"/>
                <w:lang w:val="en-US" w:eastAsia="zh-CN"/>
              </w:rPr>
              <w:t>LNG）的理化性质：</w:t>
            </w:r>
          </w:p>
          <w:p>
            <w:pPr>
              <w:pStyle w:val="97"/>
              <w:bidi w:val="0"/>
              <w:rPr>
                <w:rFonts w:hint="default"/>
                <w:color w:val="000000"/>
                <w:lang w:val="en-US" w:eastAsia="zh-CN"/>
              </w:rPr>
            </w:pPr>
            <w:r>
              <w:rPr>
                <w:rFonts w:hint="default"/>
                <w:color w:val="000000"/>
                <w:lang w:val="en-US" w:eastAsia="zh-CN"/>
              </w:rPr>
              <w:t>LNG 是英语液化天然气(liquefied natural gas)的缩写，主要成分是甲烷。</w:t>
            </w:r>
          </w:p>
          <w:p>
            <w:pPr>
              <w:pStyle w:val="97"/>
              <w:bidi w:val="0"/>
              <w:rPr>
                <w:rFonts w:hint="default"/>
                <w:color w:val="000000"/>
                <w:lang w:val="en-US" w:eastAsia="zh-CN"/>
              </w:rPr>
            </w:pPr>
            <w:r>
              <w:rPr>
                <w:rFonts w:hint="default"/>
                <w:color w:val="000000"/>
                <w:lang w:val="en-US" w:eastAsia="zh-CN"/>
              </w:rPr>
              <w:t>LNG 无色、无味、无毒且无腐蚀性，其体积约为同量气态天然气体积的 1/625，LNG 的重量仅为同体积水的 45%左右，热值为 52MMBtu/t ( 1MMBtu= =2.52×10^8cal)。LNG 主要成分是甲烷(90%以上)、乙烷、氮气(0.5-1%)  及少量 C</w:t>
            </w:r>
            <w:r>
              <w:rPr>
                <w:rFonts w:hint="default"/>
                <w:color w:val="000000"/>
                <w:vertAlign w:val="subscript"/>
                <w:lang w:val="en-US" w:eastAsia="zh-CN"/>
              </w:rPr>
              <w:t>3</w:t>
            </w:r>
            <w:r>
              <w:rPr>
                <w:rFonts w:hint="default"/>
                <w:color w:val="000000"/>
                <w:lang w:val="en-US" w:eastAsia="zh-CN"/>
              </w:rPr>
              <w:t xml:space="preserve"> ~C</w:t>
            </w:r>
            <w:r>
              <w:rPr>
                <w:rFonts w:hint="default"/>
                <w:color w:val="000000"/>
                <w:vertAlign w:val="subscript"/>
                <w:lang w:val="en-US" w:eastAsia="zh-CN"/>
              </w:rPr>
              <w:t>5</w:t>
            </w:r>
            <w:r>
              <w:rPr>
                <w:rFonts w:hint="default"/>
                <w:color w:val="000000"/>
                <w:lang w:val="en-US" w:eastAsia="zh-CN"/>
              </w:rPr>
              <w:t>烷烃的低温液体。LNG 是由天然气转变的另种能源形式。</w:t>
            </w:r>
          </w:p>
          <w:p>
            <w:pPr>
              <w:pStyle w:val="97"/>
              <w:bidi w:val="0"/>
              <w:rPr>
                <w:rFonts w:hint="default"/>
                <w:color w:val="000000"/>
                <w:lang w:val="en-US" w:eastAsia="zh-CN"/>
              </w:rPr>
            </w:pPr>
            <w:r>
              <w:rPr>
                <w:rFonts w:hint="default"/>
                <w:color w:val="000000"/>
                <w:lang w:val="en-US" w:eastAsia="zh-CN"/>
              </w:rPr>
              <w:t>①LNG 的主要成份为甲烷，化学名称为 CH</w:t>
            </w:r>
            <w:r>
              <w:rPr>
                <w:rFonts w:hint="eastAsia"/>
                <w:color w:val="000000"/>
                <w:vertAlign w:val="subscript"/>
                <w:lang w:val="en-US" w:eastAsia="zh-CN"/>
              </w:rPr>
              <w:t>4</w:t>
            </w:r>
            <w:r>
              <w:rPr>
                <w:rFonts w:hint="default"/>
                <w:color w:val="000000"/>
                <w:lang w:val="en-US" w:eastAsia="zh-CN"/>
              </w:rPr>
              <w:t>，还有少量的乙烷 C</w:t>
            </w:r>
            <w:r>
              <w:rPr>
                <w:rFonts w:hint="default"/>
                <w:color w:val="000000"/>
                <w:vertAlign w:val="subscript"/>
                <w:lang w:val="en-US" w:eastAsia="zh-CN"/>
              </w:rPr>
              <w:t>2</w:t>
            </w:r>
            <w:r>
              <w:rPr>
                <w:rFonts w:hint="default"/>
                <w:color w:val="000000"/>
                <w:lang w:val="en-US" w:eastAsia="zh-CN"/>
              </w:rPr>
              <w:t>H</w:t>
            </w:r>
            <w:r>
              <w:rPr>
                <w:rFonts w:hint="default"/>
                <w:color w:val="000000"/>
                <w:vertAlign w:val="subscript"/>
                <w:lang w:val="en-US" w:eastAsia="zh-CN"/>
              </w:rPr>
              <w:t>6</w:t>
            </w:r>
            <w:r>
              <w:rPr>
                <w:rFonts w:hint="default"/>
                <w:color w:val="000000"/>
                <w:lang w:val="en-US" w:eastAsia="zh-CN"/>
              </w:rPr>
              <w:t>、丙烷及氮 N</w:t>
            </w:r>
            <w:r>
              <w:rPr>
                <w:rFonts w:hint="default"/>
                <w:color w:val="000000"/>
                <w:vertAlign w:val="subscript"/>
                <w:lang w:val="en-US" w:eastAsia="zh-CN"/>
              </w:rPr>
              <w:t>2</w:t>
            </w:r>
            <w:r>
              <w:rPr>
                <w:rFonts w:hint="default"/>
                <w:color w:val="000000"/>
                <w:lang w:val="en-US" w:eastAsia="zh-CN"/>
              </w:rPr>
              <w:t xml:space="preserve"> 等其他成份组成。</w:t>
            </w:r>
          </w:p>
          <w:p>
            <w:pPr>
              <w:pStyle w:val="97"/>
              <w:bidi w:val="0"/>
              <w:rPr>
                <w:rFonts w:hint="default"/>
                <w:color w:val="000000"/>
                <w:lang w:val="en-US" w:eastAsia="zh-CN"/>
              </w:rPr>
            </w:pPr>
            <w:r>
              <w:rPr>
                <w:rFonts w:hint="default"/>
                <w:color w:val="000000"/>
                <w:lang w:val="en-US" w:eastAsia="zh-CN"/>
              </w:rPr>
              <w:t>②临界温度为-82.3°C。</w:t>
            </w:r>
          </w:p>
          <w:p>
            <w:pPr>
              <w:pStyle w:val="97"/>
              <w:bidi w:val="0"/>
              <w:rPr>
                <w:rFonts w:hint="default"/>
                <w:color w:val="000000"/>
                <w:lang w:val="en-US" w:eastAsia="zh-CN"/>
              </w:rPr>
            </w:pPr>
            <w:r>
              <w:rPr>
                <w:rFonts w:hint="default"/>
                <w:color w:val="000000"/>
                <w:lang w:val="en-US" w:eastAsia="zh-CN"/>
              </w:rPr>
              <w:t>③沸点为-162.5°C，着火点为 650°C。</w:t>
            </w:r>
          </w:p>
          <w:p>
            <w:pPr>
              <w:pStyle w:val="97"/>
              <w:bidi w:val="0"/>
              <w:rPr>
                <w:rFonts w:hint="default"/>
                <w:color w:val="000000"/>
                <w:lang w:val="en-US" w:eastAsia="zh-CN"/>
              </w:rPr>
            </w:pPr>
            <w:r>
              <w:rPr>
                <w:rFonts w:hint="default"/>
                <w:color w:val="000000"/>
                <w:lang w:val="en-US" w:eastAsia="zh-CN"/>
              </w:rPr>
              <w:t>④液态密度为 0.420~0.46t/m</w:t>
            </w:r>
            <w:r>
              <w:rPr>
                <w:rFonts w:hint="default"/>
                <w:color w:val="000000"/>
                <w:vertAlign w:val="superscript"/>
                <w:lang w:val="en-US" w:eastAsia="zh-CN"/>
              </w:rPr>
              <w:t>3</w:t>
            </w:r>
            <w:r>
              <w:rPr>
                <w:rFonts w:hint="default"/>
                <w:color w:val="000000"/>
                <w:lang w:val="en-US" w:eastAsia="zh-CN"/>
              </w:rPr>
              <w:t>,气态密度为 0.68-0.75kg/Nm</w:t>
            </w:r>
            <w:r>
              <w:rPr>
                <w:rFonts w:hint="default"/>
                <w:color w:val="000000"/>
                <w:vertAlign w:val="superscript"/>
                <w:lang w:val="en-US" w:eastAsia="zh-CN"/>
              </w:rPr>
              <w:t>3</w:t>
            </w:r>
            <w:r>
              <w:rPr>
                <w:rFonts w:hint="default"/>
                <w:color w:val="000000"/>
                <w:lang w:val="en-US" w:eastAsia="zh-CN"/>
              </w:rPr>
              <w:t>。</w:t>
            </w:r>
          </w:p>
          <w:p>
            <w:pPr>
              <w:pStyle w:val="97"/>
              <w:bidi w:val="0"/>
              <w:rPr>
                <w:rFonts w:hint="default"/>
                <w:color w:val="000000"/>
                <w:lang w:val="en-US" w:eastAsia="zh-CN"/>
              </w:rPr>
            </w:pPr>
            <w:r>
              <w:rPr>
                <w:rFonts w:hint="default"/>
                <w:color w:val="000000"/>
                <w:lang w:val="en-US" w:eastAsia="zh-CN"/>
              </w:rPr>
              <w:t>⑤气态热值 38MJ/m</w:t>
            </w:r>
            <w:r>
              <w:rPr>
                <w:rFonts w:hint="default"/>
                <w:color w:val="000000"/>
                <w:vertAlign w:val="superscript"/>
                <w:lang w:val="en-US" w:eastAsia="zh-CN"/>
              </w:rPr>
              <w:t>3</w:t>
            </w:r>
            <w:r>
              <w:rPr>
                <w:rFonts w:hint="default"/>
                <w:color w:val="000000"/>
                <w:lang w:val="en-US" w:eastAsia="zh-CN"/>
              </w:rPr>
              <w:t>，液态热值 50MJ/kg。</w:t>
            </w:r>
          </w:p>
          <w:p>
            <w:pPr>
              <w:pStyle w:val="97"/>
              <w:bidi w:val="0"/>
              <w:rPr>
                <w:rFonts w:hint="default"/>
                <w:color w:val="000000"/>
                <w:lang w:val="en-US" w:eastAsia="zh-CN"/>
              </w:rPr>
            </w:pPr>
            <w:r>
              <w:rPr>
                <w:rFonts w:hint="default"/>
                <w:color w:val="000000"/>
                <w:lang w:val="en-US" w:eastAsia="zh-CN"/>
              </w:rPr>
              <w:t>⑥爆炸范围:上限为 15%，下限为 5%。</w:t>
            </w:r>
          </w:p>
          <w:p>
            <w:pPr>
              <w:pStyle w:val="97"/>
              <w:bidi w:val="0"/>
              <w:rPr>
                <w:rFonts w:hint="default"/>
                <w:color w:val="000000"/>
                <w:lang w:val="en-US" w:eastAsia="zh-CN"/>
              </w:rPr>
            </w:pPr>
            <w:r>
              <w:rPr>
                <w:rFonts w:hint="default"/>
                <w:color w:val="000000"/>
                <w:lang w:val="en-US" w:eastAsia="zh-CN"/>
              </w:rPr>
              <w:t>⑦辛烷值 ASTM：130。</w:t>
            </w:r>
          </w:p>
          <w:p>
            <w:pPr>
              <w:pStyle w:val="97"/>
              <w:bidi w:val="0"/>
              <w:rPr>
                <w:rFonts w:hint="default"/>
                <w:color w:val="000000"/>
                <w:lang w:val="en-US" w:eastAsia="zh-CN"/>
              </w:rPr>
            </w:pPr>
            <w:r>
              <w:rPr>
                <w:rFonts w:hint="default"/>
                <w:color w:val="000000"/>
                <w:lang w:val="en-US" w:eastAsia="zh-CN"/>
              </w:rPr>
              <w:t>⑧无色、无味、无毒且无腐蚀性。</w:t>
            </w:r>
          </w:p>
          <w:p>
            <w:pPr>
              <w:pStyle w:val="97"/>
              <w:bidi w:val="0"/>
              <w:rPr>
                <w:rFonts w:hint="default"/>
                <w:color w:val="000000"/>
                <w:lang w:val="en-US" w:eastAsia="zh-CN"/>
              </w:rPr>
            </w:pPr>
            <w:r>
              <w:rPr>
                <w:rFonts w:hint="default"/>
                <w:color w:val="000000"/>
                <w:lang w:val="en-US" w:eastAsia="zh-CN"/>
              </w:rPr>
              <w:t>⑨体积约为同量气态天然气体积的 1/625。</w:t>
            </w:r>
          </w:p>
          <w:p>
            <w:pPr>
              <w:pStyle w:val="97"/>
              <w:bidi w:val="0"/>
              <w:rPr>
                <w:rFonts w:hint="default"/>
                <w:color w:val="000000"/>
                <w:lang w:val="en-US" w:eastAsia="zh-CN"/>
              </w:rPr>
            </w:pPr>
            <w:r>
              <w:rPr>
                <w:rFonts w:hint="default"/>
                <w:color w:val="000000"/>
                <w:lang w:val="en-US" w:eastAsia="zh-CN"/>
              </w:rPr>
              <w:t>LNG 将天然气经脱硫、脱水、脱重烃、脱酸性气体等一-系列净化处理，采用深冷技术，将天然气冷却到-162°C，在常压下成为液态。在生产过程中，非烃类组分及一 些非甲烷烃类通常都要被除去。这样，LNG 燃料基本都是纯质烷烃， 主要是甲烷和乙烷，其组分比 CNG 的组分更纯净，其中甲烷含量进一步提高，达到 96%以上，因而燃烧产物也更为洁净，环保效益更为显著。</w:t>
            </w:r>
          </w:p>
          <w:p>
            <w:pPr>
              <w:pStyle w:val="97"/>
              <w:bidi w:val="0"/>
              <w:rPr>
                <w:rFonts w:hint="default"/>
                <w:color w:val="000000"/>
                <w:lang w:val="en-US" w:eastAsia="zh-CN"/>
              </w:rPr>
            </w:pPr>
            <w:r>
              <w:rPr>
                <w:rFonts w:hint="default"/>
                <w:color w:val="000000"/>
                <w:lang w:val="en-US" w:eastAsia="zh-CN"/>
              </w:rPr>
              <w:t>天然气有很多组分，但各组分彼此不起化学作用，各组分的性质和含量决定了天然气的性质。由于天然气中甲烷的含量在 90%以上，所以天然气也叫甲烷气。天然气是无色无味的，天然气不像一氧化碳那样具有毒性，它本质上是对人体无害的。如果天然气处于高浓度的状态，会使空气中的氧气不足以维持生命，同样会致人死亡。</w:t>
            </w:r>
          </w:p>
          <w:p>
            <w:pPr>
              <w:keepLines/>
              <w:spacing w:line="360" w:lineRule="auto"/>
              <w:ind w:firstLine="472" w:firstLineChars="196"/>
              <w:rPr>
                <w:rFonts w:eastAsiaTheme="minorEastAsia"/>
                <w:b/>
                <w:color w:val="000000"/>
                <w:kern w:val="0"/>
                <w:sz w:val="24"/>
              </w:rPr>
            </w:pPr>
            <w:r>
              <w:rPr>
                <w:rFonts w:hint="eastAsia" w:eastAsiaTheme="minorEastAsia"/>
                <w:b/>
                <w:color w:val="000000"/>
                <w:kern w:val="0"/>
                <w:sz w:val="24"/>
                <w:lang w:val="en-US" w:eastAsia="zh-CN"/>
              </w:rPr>
              <w:t>2</w:t>
            </w:r>
            <w:r>
              <w:rPr>
                <w:rFonts w:eastAsiaTheme="minorEastAsia"/>
                <w:b/>
                <w:color w:val="000000"/>
                <w:kern w:val="0"/>
                <w:sz w:val="24"/>
              </w:rPr>
              <w:t>、主要生产设备</w:t>
            </w:r>
          </w:p>
          <w:p>
            <w:pPr>
              <w:pStyle w:val="97"/>
              <w:spacing w:line="360" w:lineRule="auto"/>
              <w:ind w:firstLine="480"/>
              <w:rPr>
                <w:color w:val="000000"/>
              </w:rPr>
            </w:pPr>
            <w:r>
              <w:rPr>
                <w:rFonts w:hint="eastAsia"/>
                <w:color w:val="000000"/>
              </w:rPr>
              <w:t>本项目主要设备规格、数量及用途见表1-</w:t>
            </w:r>
            <w:r>
              <w:rPr>
                <w:rFonts w:hint="eastAsia"/>
                <w:color w:val="000000"/>
                <w:lang w:val="en-US" w:eastAsia="zh-CN"/>
              </w:rPr>
              <w:t>9</w:t>
            </w:r>
            <w:r>
              <w:rPr>
                <w:rFonts w:hint="eastAsia"/>
                <w:color w:val="000000"/>
              </w:rPr>
              <w:t>：</w:t>
            </w:r>
          </w:p>
          <w:p>
            <w:pPr>
              <w:pStyle w:val="96"/>
              <w:spacing w:line="240" w:lineRule="auto"/>
              <w:ind w:firstLine="0" w:firstLineChars="0"/>
              <w:rPr>
                <w:rFonts w:eastAsia="宋体"/>
                <w:snapToGrid w:val="0"/>
                <w:color w:val="000000"/>
              </w:rPr>
            </w:pPr>
            <w:r>
              <w:rPr>
                <w:rFonts w:eastAsia="宋体"/>
                <w:color w:val="000000"/>
              </w:rPr>
              <w:t>表1-</w:t>
            </w:r>
            <w:r>
              <w:rPr>
                <w:rFonts w:hint="eastAsia" w:eastAsia="宋体"/>
                <w:color w:val="000000"/>
                <w:lang w:val="en-US" w:eastAsia="zh-CN"/>
              </w:rPr>
              <w:t>9</w:t>
            </w:r>
            <w:r>
              <w:rPr>
                <w:rFonts w:eastAsia="宋体"/>
                <w:color w:val="000000"/>
              </w:rPr>
              <w:t xml:space="preserve"> </w:t>
            </w:r>
            <w:r>
              <w:rPr>
                <w:rFonts w:eastAsia="宋体"/>
                <w:snapToGrid w:val="0"/>
                <w:color w:val="000000"/>
              </w:rPr>
              <w:t>主要生产设备一览表</w:t>
            </w:r>
          </w:p>
          <w:tbl>
            <w:tblPr>
              <w:tblStyle w:val="29"/>
              <w:tblW w:w="889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59"/>
              <w:gridCol w:w="1351"/>
              <w:gridCol w:w="1813"/>
              <w:gridCol w:w="3125"/>
              <w:gridCol w:w="886"/>
              <w:gridCol w:w="86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0" w:hRule="atLeast"/>
                <w:jc w:val="center"/>
              </w:trPr>
              <w:tc>
                <w:tcPr>
                  <w:tcW w:w="859" w:type="dxa"/>
                  <w:tcBorders>
                    <w:tl2br w:val="nil"/>
                    <w:tr2bl w:val="nil"/>
                  </w:tcBorders>
                  <w:noWrap w:val="0"/>
                  <w:vAlign w:val="center"/>
                </w:tcPr>
                <w:p>
                  <w:pPr>
                    <w:pStyle w:val="104"/>
                    <w:bidi w:val="0"/>
                    <w:rPr>
                      <w:color w:val="000000"/>
                    </w:rPr>
                  </w:pPr>
                  <w:r>
                    <w:rPr>
                      <w:color w:val="000000"/>
                    </w:rPr>
                    <w:t>序号</w:t>
                  </w:r>
                </w:p>
              </w:tc>
              <w:tc>
                <w:tcPr>
                  <w:tcW w:w="3164" w:type="dxa"/>
                  <w:gridSpan w:val="2"/>
                  <w:tcBorders>
                    <w:tl2br w:val="nil"/>
                    <w:tr2bl w:val="nil"/>
                  </w:tcBorders>
                  <w:noWrap w:val="0"/>
                  <w:vAlign w:val="center"/>
                </w:tcPr>
                <w:p>
                  <w:pPr>
                    <w:pStyle w:val="104"/>
                    <w:bidi w:val="0"/>
                    <w:rPr>
                      <w:color w:val="000000"/>
                    </w:rPr>
                  </w:pPr>
                  <w:r>
                    <w:rPr>
                      <w:color w:val="000000"/>
                    </w:rPr>
                    <w:t>名称</w:t>
                  </w:r>
                </w:p>
              </w:tc>
              <w:tc>
                <w:tcPr>
                  <w:tcW w:w="3125" w:type="dxa"/>
                  <w:tcBorders>
                    <w:tl2br w:val="nil"/>
                    <w:tr2bl w:val="nil"/>
                  </w:tcBorders>
                  <w:noWrap w:val="0"/>
                  <w:vAlign w:val="center"/>
                </w:tcPr>
                <w:p>
                  <w:pPr>
                    <w:pStyle w:val="104"/>
                    <w:bidi w:val="0"/>
                    <w:rPr>
                      <w:color w:val="000000"/>
                    </w:rPr>
                  </w:pPr>
                  <w:r>
                    <w:rPr>
                      <w:color w:val="000000"/>
                    </w:rPr>
                    <w:t>规格及参数</w:t>
                  </w:r>
                </w:p>
              </w:tc>
              <w:tc>
                <w:tcPr>
                  <w:tcW w:w="886" w:type="dxa"/>
                  <w:tcBorders>
                    <w:tl2br w:val="nil"/>
                    <w:tr2bl w:val="nil"/>
                  </w:tcBorders>
                  <w:noWrap w:val="0"/>
                  <w:vAlign w:val="center"/>
                </w:tcPr>
                <w:p>
                  <w:pPr>
                    <w:pStyle w:val="104"/>
                    <w:bidi w:val="0"/>
                    <w:rPr>
                      <w:color w:val="000000"/>
                    </w:rPr>
                  </w:pPr>
                  <w:r>
                    <w:rPr>
                      <w:color w:val="000000"/>
                    </w:rPr>
                    <w:t>单位</w:t>
                  </w:r>
                </w:p>
              </w:tc>
              <w:tc>
                <w:tcPr>
                  <w:tcW w:w="864" w:type="dxa"/>
                  <w:tcBorders>
                    <w:tl2br w:val="nil"/>
                    <w:tr2bl w:val="nil"/>
                  </w:tcBorders>
                  <w:noWrap w:val="0"/>
                  <w:vAlign w:val="center"/>
                </w:tcPr>
                <w:p>
                  <w:pPr>
                    <w:pStyle w:val="104"/>
                    <w:bidi w:val="0"/>
                    <w:rPr>
                      <w:color w:val="000000"/>
                    </w:rPr>
                  </w:pPr>
                  <w:r>
                    <w:rPr>
                      <w:color w:val="000000"/>
                    </w:rPr>
                    <w:t>数量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0" w:hRule="atLeast"/>
                <w:jc w:val="center"/>
              </w:trPr>
              <w:tc>
                <w:tcPr>
                  <w:tcW w:w="859" w:type="dxa"/>
                  <w:tcBorders>
                    <w:tl2br w:val="nil"/>
                    <w:tr2bl w:val="nil"/>
                  </w:tcBorders>
                  <w:noWrap w:val="0"/>
                  <w:vAlign w:val="center"/>
                </w:tcPr>
                <w:p>
                  <w:pPr>
                    <w:pStyle w:val="104"/>
                    <w:bidi w:val="0"/>
                    <w:rPr>
                      <w:rFonts w:hint="eastAsia"/>
                      <w:color w:val="000000"/>
                    </w:rPr>
                  </w:pPr>
                  <w:r>
                    <w:rPr>
                      <w:rFonts w:hint="eastAsia"/>
                      <w:color w:val="000000"/>
                    </w:rPr>
                    <w:t>1</w:t>
                  </w:r>
                </w:p>
              </w:tc>
              <w:tc>
                <w:tcPr>
                  <w:tcW w:w="3164" w:type="dxa"/>
                  <w:gridSpan w:val="2"/>
                  <w:tcBorders>
                    <w:tl2br w:val="nil"/>
                    <w:tr2bl w:val="nil"/>
                  </w:tcBorders>
                  <w:noWrap w:val="0"/>
                  <w:vAlign w:val="center"/>
                </w:tcPr>
                <w:p>
                  <w:pPr>
                    <w:pStyle w:val="104"/>
                    <w:bidi w:val="0"/>
                    <w:rPr>
                      <w:rFonts w:hint="eastAsia"/>
                      <w:color w:val="000000"/>
                    </w:rPr>
                  </w:pPr>
                  <w:r>
                    <w:rPr>
                      <w:rFonts w:hint="eastAsia"/>
                      <w:color w:val="000000"/>
                    </w:rPr>
                    <w:t>LNG储罐</w:t>
                  </w:r>
                </w:p>
              </w:tc>
              <w:tc>
                <w:tcPr>
                  <w:tcW w:w="3125" w:type="dxa"/>
                  <w:tcBorders>
                    <w:tl2br w:val="nil"/>
                    <w:tr2bl w:val="nil"/>
                  </w:tcBorders>
                  <w:noWrap w:val="0"/>
                  <w:vAlign w:val="center"/>
                </w:tcPr>
                <w:p>
                  <w:pPr>
                    <w:pStyle w:val="104"/>
                    <w:bidi w:val="0"/>
                    <w:rPr>
                      <w:color w:val="000000"/>
                    </w:rPr>
                  </w:pPr>
                  <w:r>
                    <w:rPr>
                      <w:rFonts w:hint="eastAsia"/>
                      <w:color w:val="000000"/>
                    </w:rPr>
                    <w:t>V=60m</w:t>
                  </w:r>
                  <w:r>
                    <w:rPr>
                      <w:rFonts w:hint="eastAsia"/>
                      <w:color w:val="000000"/>
                      <w:vertAlign w:val="superscript"/>
                    </w:rPr>
                    <w:t>3</w:t>
                  </w:r>
                  <w:r>
                    <w:rPr>
                      <w:rFonts w:hint="eastAsia"/>
                      <w:color w:val="000000"/>
                    </w:rPr>
                    <w:t xml:space="preserve">  P=1.44MPa</w:t>
                  </w:r>
                </w:p>
              </w:tc>
              <w:tc>
                <w:tcPr>
                  <w:tcW w:w="886" w:type="dxa"/>
                  <w:tcBorders>
                    <w:tl2br w:val="nil"/>
                    <w:tr2bl w:val="nil"/>
                  </w:tcBorders>
                  <w:noWrap w:val="0"/>
                  <w:vAlign w:val="center"/>
                </w:tcPr>
                <w:p>
                  <w:pPr>
                    <w:pStyle w:val="104"/>
                    <w:bidi w:val="0"/>
                    <w:rPr>
                      <w:rFonts w:hint="eastAsia"/>
                      <w:color w:val="000000"/>
                    </w:rPr>
                  </w:pPr>
                  <w:r>
                    <w:rPr>
                      <w:rFonts w:hint="eastAsia"/>
                      <w:color w:val="000000"/>
                    </w:rPr>
                    <w:t>台</w:t>
                  </w:r>
                </w:p>
              </w:tc>
              <w:tc>
                <w:tcPr>
                  <w:tcW w:w="864" w:type="dxa"/>
                  <w:tcBorders>
                    <w:tl2br w:val="nil"/>
                    <w:tr2bl w:val="nil"/>
                  </w:tcBorders>
                  <w:noWrap w:val="0"/>
                  <w:vAlign w:val="center"/>
                </w:tcPr>
                <w:p>
                  <w:pPr>
                    <w:pStyle w:val="104"/>
                    <w:bidi w:val="0"/>
                    <w:rPr>
                      <w:rFonts w:hint="eastAsia" w:eastAsia="宋体"/>
                      <w:color w:val="000000"/>
                      <w:lang w:eastAsia="zh-CN"/>
                    </w:rPr>
                  </w:pPr>
                  <w:r>
                    <w:rPr>
                      <w:rFonts w:hint="eastAsia"/>
                      <w:color w:val="000000"/>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18" w:hRule="atLeast"/>
                <w:jc w:val="center"/>
              </w:trPr>
              <w:tc>
                <w:tcPr>
                  <w:tcW w:w="859" w:type="dxa"/>
                  <w:vMerge w:val="restart"/>
                  <w:tcBorders>
                    <w:tl2br w:val="nil"/>
                    <w:tr2bl w:val="nil"/>
                  </w:tcBorders>
                  <w:noWrap w:val="0"/>
                  <w:vAlign w:val="center"/>
                </w:tcPr>
                <w:p>
                  <w:pPr>
                    <w:pStyle w:val="104"/>
                    <w:bidi w:val="0"/>
                    <w:rPr>
                      <w:rFonts w:hint="eastAsia"/>
                      <w:color w:val="000000"/>
                    </w:rPr>
                  </w:pPr>
                  <w:r>
                    <w:rPr>
                      <w:rFonts w:hint="eastAsia"/>
                      <w:color w:val="000000"/>
                    </w:rPr>
                    <w:t>2</w:t>
                  </w:r>
                </w:p>
              </w:tc>
              <w:tc>
                <w:tcPr>
                  <w:tcW w:w="1351" w:type="dxa"/>
                  <w:vMerge w:val="restart"/>
                  <w:tcBorders>
                    <w:right w:val="single" w:color="000000" w:sz="2" w:space="0"/>
                    <w:tl2br w:val="nil"/>
                    <w:tr2bl w:val="nil"/>
                  </w:tcBorders>
                  <w:noWrap w:val="0"/>
                  <w:vAlign w:val="center"/>
                </w:tcPr>
                <w:p>
                  <w:pPr>
                    <w:pStyle w:val="104"/>
                    <w:bidi w:val="0"/>
                    <w:rPr>
                      <w:rFonts w:hint="eastAsia"/>
                      <w:color w:val="000000"/>
                    </w:rPr>
                  </w:pPr>
                  <w:r>
                    <w:rPr>
                      <w:rFonts w:hint="eastAsia"/>
                      <w:color w:val="000000"/>
                    </w:rPr>
                    <w:t>LNG双泵橇</w:t>
                  </w:r>
                </w:p>
              </w:tc>
              <w:tc>
                <w:tcPr>
                  <w:tcW w:w="1813" w:type="dxa"/>
                  <w:tcBorders>
                    <w:left w:val="single" w:color="000000" w:sz="2" w:space="0"/>
                    <w:bottom w:val="single" w:color="000000" w:sz="2" w:space="0"/>
                    <w:tl2br w:val="nil"/>
                    <w:tr2bl w:val="nil"/>
                  </w:tcBorders>
                  <w:noWrap w:val="0"/>
                  <w:vAlign w:val="center"/>
                </w:tcPr>
                <w:p>
                  <w:pPr>
                    <w:pStyle w:val="104"/>
                    <w:bidi w:val="0"/>
                    <w:rPr>
                      <w:rFonts w:hint="eastAsia"/>
                      <w:color w:val="000000"/>
                      <w:lang w:val="en-US" w:eastAsia="zh-CN"/>
                    </w:rPr>
                  </w:pPr>
                  <w:r>
                    <w:rPr>
                      <w:rFonts w:hint="eastAsia"/>
                      <w:color w:val="000000"/>
                    </w:rPr>
                    <w:t>低温潜液泵</w:t>
                  </w:r>
                </w:p>
              </w:tc>
              <w:tc>
                <w:tcPr>
                  <w:tcW w:w="3125" w:type="dxa"/>
                  <w:tcBorders>
                    <w:bottom w:val="single" w:color="000000" w:sz="2" w:space="0"/>
                    <w:tl2br w:val="nil"/>
                    <w:tr2bl w:val="nil"/>
                  </w:tcBorders>
                  <w:noWrap w:val="0"/>
                  <w:vAlign w:val="center"/>
                </w:tcPr>
                <w:p>
                  <w:pPr>
                    <w:pStyle w:val="104"/>
                    <w:bidi w:val="0"/>
                    <w:rPr>
                      <w:color w:val="000000"/>
                      <w:lang w:val="en-US" w:eastAsia="zh-CN"/>
                    </w:rPr>
                  </w:pPr>
                  <w:r>
                    <w:rPr>
                      <w:rFonts w:hint="eastAsia"/>
                      <w:color w:val="000000"/>
                    </w:rPr>
                    <w:t>最大流量：340L/min</w:t>
                  </w:r>
                </w:p>
              </w:tc>
              <w:tc>
                <w:tcPr>
                  <w:tcW w:w="886" w:type="dxa"/>
                  <w:tcBorders>
                    <w:bottom w:val="single" w:color="000000" w:sz="2" w:space="0"/>
                    <w:tl2br w:val="nil"/>
                    <w:tr2bl w:val="nil"/>
                  </w:tcBorders>
                  <w:noWrap w:val="0"/>
                  <w:vAlign w:val="center"/>
                </w:tcPr>
                <w:p>
                  <w:pPr>
                    <w:pStyle w:val="104"/>
                    <w:bidi w:val="0"/>
                    <w:rPr>
                      <w:rFonts w:hint="eastAsia"/>
                      <w:color w:val="000000"/>
                    </w:rPr>
                  </w:pPr>
                  <w:r>
                    <w:rPr>
                      <w:rFonts w:hint="eastAsia"/>
                      <w:color w:val="000000"/>
                    </w:rPr>
                    <w:t>台</w:t>
                  </w:r>
                </w:p>
              </w:tc>
              <w:tc>
                <w:tcPr>
                  <w:tcW w:w="864" w:type="dxa"/>
                  <w:tcBorders>
                    <w:bottom w:val="single" w:color="000000" w:sz="2" w:space="0"/>
                    <w:tl2br w:val="nil"/>
                    <w:tr2bl w:val="nil"/>
                  </w:tcBorders>
                  <w:noWrap w:val="0"/>
                  <w:vAlign w:val="center"/>
                </w:tcPr>
                <w:p>
                  <w:pPr>
                    <w:pStyle w:val="104"/>
                    <w:bidi w:val="0"/>
                    <w:rPr>
                      <w:rFonts w:hint="eastAsia"/>
                      <w:color w:val="000000"/>
                      <w:lang w:eastAsia="zh-CN"/>
                    </w:rPr>
                  </w:pPr>
                  <w:r>
                    <w:rPr>
                      <w:rFonts w:hint="eastAsia"/>
                      <w:color w:val="000000"/>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14" w:hRule="atLeast"/>
                <w:jc w:val="center"/>
              </w:trPr>
              <w:tc>
                <w:tcPr>
                  <w:tcW w:w="859" w:type="dxa"/>
                  <w:vMerge w:val="continue"/>
                  <w:tcBorders>
                    <w:tl2br w:val="nil"/>
                    <w:tr2bl w:val="nil"/>
                  </w:tcBorders>
                  <w:noWrap w:val="0"/>
                  <w:vAlign w:val="center"/>
                </w:tcPr>
                <w:p>
                  <w:pPr>
                    <w:pStyle w:val="104"/>
                    <w:bidi w:val="0"/>
                    <w:rPr>
                      <w:rFonts w:hint="eastAsia"/>
                      <w:color w:val="000000"/>
                    </w:rPr>
                  </w:pPr>
                </w:p>
              </w:tc>
              <w:tc>
                <w:tcPr>
                  <w:tcW w:w="1351" w:type="dxa"/>
                  <w:vMerge w:val="continue"/>
                  <w:tcBorders>
                    <w:right w:val="single" w:color="000000" w:sz="2" w:space="0"/>
                    <w:tl2br w:val="nil"/>
                    <w:tr2bl w:val="nil"/>
                  </w:tcBorders>
                  <w:noWrap w:val="0"/>
                  <w:vAlign w:val="center"/>
                </w:tcPr>
                <w:p>
                  <w:pPr>
                    <w:pStyle w:val="104"/>
                    <w:bidi w:val="0"/>
                    <w:rPr>
                      <w:rFonts w:hint="eastAsia"/>
                      <w:color w:val="000000"/>
                    </w:rPr>
                  </w:pPr>
                </w:p>
              </w:tc>
              <w:tc>
                <w:tcPr>
                  <w:tcW w:w="1813" w:type="dxa"/>
                  <w:tcBorders>
                    <w:top w:val="single" w:color="000000" w:sz="2" w:space="0"/>
                    <w:left w:val="single" w:color="000000" w:sz="2" w:space="0"/>
                    <w:bottom w:val="single" w:color="auto" w:sz="4" w:space="0"/>
                    <w:tl2br w:val="nil"/>
                    <w:tr2bl w:val="nil"/>
                  </w:tcBorders>
                  <w:noWrap w:val="0"/>
                  <w:vAlign w:val="center"/>
                </w:tcPr>
                <w:p>
                  <w:pPr>
                    <w:pStyle w:val="104"/>
                    <w:bidi w:val="0"/>
                    <w:rPr>
                      <w:rFonts w:hint="default" w:eastAsia="宋体"/>
                      <w:color w:val="000000"/>
                      <w:lang w:val="en-US" w:eastAsia="zh-CN"/>
                    </w:rPr>
                  </w:pPr>
                  <w:r>
                    <w:rPr>
                      <w:rFonts w:hint="eastAsia"/>
                      <w:color w:val="000000"/>
                      <w:lang w:val="en-US" w:eastAsia="zh-CN"/>
                    </w:rPr>
                    <w:t>EAG加热器</w:t>
                  </w:r>
                </w:p>
              </w:tc>
              <w:tc>
                <w:tcPr>
                  <w:tcW w:w="3125" w:type="dxa"/>
                  <w:tcBorders>
                    <w:top w:val="single" w:color="000000" w:sz="2" w:space="0"/>
                    <w:bottom w:val="single" w:color="auto" w:sz="4" w:space="0"/>
                    <w:tl2br w:val="nil"/>
                    <w:tr2bl w:val="nil"/>
                  </w:tcBorders>
                  <w:noWrap w:val="0"/>
                  <w:vAlign w:val="center"/>
                </w:tcPr>
                <w:p>
                  <w:pPr>
                    <w:pStyle w:val="104"/>
                    <w:bidi w:val="0"/>
                    <w:rPr>
                      <w:rFonts w:hint="eastAsia" w:eastAsia="宋体"/>
                      <w:color w:val="000000"/>
                      <w:lang w:val="en-US" w:eastAsia="zh-CN"/>
                    </w:rPr>
                  </w:pPr>
                  <w:r>
                    <w:rPr>
                      <w:rFonts w:hint="eastAsia"/>
                      <w:color w:val="000000"/>
                      <w:lang w:val="en-US" w:eastAsia="zh-CN"/>
                    </w:rPr>
                    <w:t>/</w:t>
                  </w:r>
                </w:p>
              </w:tc>
              <w:tc>
                <w:tcPr>
                  <w:tcW w:w="886" w:type="dxa"/>
                  <w:tcBorders>
                    <w:top w:val="single" w:color="000000" w:sz="2" w:space="0"/>
                    <w:bottom w:val="single" w:color="auto" w:sz="4" w:space="0"/>
                    <w:tl2br w:val="nil"/>
                    <w:tr2bl w:val="nil"/>
                  </w:tcBorders>
                  <w:noWrap w:val="0"/>
                  <w:vAlign w:val="center"/>
                </w:tcPr>
                <w:p>
                  <w:pPr>
                    <w:pStyle w:val="104"/>
                    <w:bidi w:val="0"/>
                    <w:rPr>
                      <w:rFonts w:hint="eastAsia"/>
                      <w:color w:val="000000"/>
                      <w:lang w:eastAsia="zh-CN"/>
                    </w:rPr>
                  </w:pPr>
                  <w:r>
                    <w:rPr>
                      <w:rFonts w:hint="eastAsia"/>
                      <w:color w:val="000000"/>
                      <w:lang w:eastAsia="zh-CN"/>
                    </w:rPr>
                    <w:t>台</w:t>
                  </w:r>
                </w:p>
              </w:tc>
              <w:tc>
                <w:tcPr>
                  <w:tcW w:w="864" w:type="dxa"/>
                  <w:tcBorders>
                    <w:top w:val="single" w:color="000000" w:sz="2" w:space="0"/>
                    <w:bottom w:val="single" w:color="auto" w:sz="4" w:space="0"/>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52" w:hRule="atLeast"/>
                <w:jc w:val="center"/>
              </w:trPr>
              <w:tc>
                <w:tcPr>
                  <w:tcW w:w="859" w:type="dxa"/>
                  <w:vMerge w:val="continue"/>
                  <w:tcBorders>
                    <w:tl2br w:val="nil"/>
                    <w:tr2bl w:val="nil"/>
                  </w:tcBorders>
                  <w:noWrap w:val="0"/>
                  <w:vAlign w:val="center"/>
                </w:tcPr>
                <w:p>
                  <w:pPr>
                    <w:pStyle w:val="104"/>
                    <w:bidi w:val="0"/>
                    <w:rPr>
                      <w:rFonts w:hint="eastAsia"/>
                      <w:color w:val="000000"/>
                    </w:rPr>
                  </w:pPr>
                </w:p>
              </w:tc>
              <w:tc>
                <w:tcPr>
                  <w:tcW w:w="1351" w:type="dxa"/>
                  <w:vMerge w:val="continue"/>
                  <w:tcBorders>
                    <w:right w:val="single" w:color="000000" w:sz="2" w:space="0"/>
                    <w:tl2br w:val="nil"/>
                    <w:tr2bl w:val="nil"/>
                  </w:tcBorders>
                  <w:noWrap w:val="0"/>
                  <w:vAlign w:val="center"/>
                </w:tcPr>
                <w:p>
                  <w:pPr>
                    <w:pStyle w:val="104"/>
                    <w:bidi w:val="0"/>
                    <w:rPr>
                      <w:rFonts w:hint="eastAsia"/>
                      <w:color w:val="000000"/>
                    </w:rPr>
                  </w:pPr>
                </w:p>
              </w:tc>
              <w:tc>
                <w:tcPr>
                  <w:tcW w:w="1813" w:type="dxa"/>
                  <w:tcBorders>
                    <w:top w:val="single" w:color="auto" w:sz="4" w:space="0"/>
                    <w:left w:val="single" w:color="000000" w:sz="2" w:space="0"/>
                    <w:bottom w:val="single" w:color="auto" w:sz="4" w:space="0"/>
                    <w:tl2br w:val="nil"/>
                    <w:tr2bl w:val="nil"/>
                  </w:tcBorders>
                  <w:noWrap w:val="0"/>
                  <w:vAlign w:val="center"/>
                </w:tcPr>
                <w:p>
                  <w:pPr>
                    <w:pStyle w:val="104"/>
                    <w:bidi w:val="0"/>
                    <w:rPr>
                      <w:rFonts w:hint="eastAsia" w:eastAsia="宋体"/>
                      <w:color w:val="000000"/>
                      <w:lang w:eastAsia="zh-CN"/>
                    </w:rPr>
                  </w:pPr>
                  <w:r>
                    <w:rPr>
                      <w:rFonts w:hint="eastAsia"/>
                      <w:color w:val="000000"/>
                      <w:lang w:eastAsia="zh-CN"/>
                    </w:rPr>
                    <w:t>增压器</w:t>
                  </w:r>
                </w:p>
              </w:tc>
              <w:tc>
                <w:tcPr>
                  <w:tcW w:w="3125" w:type="dxa"/>
                  <w:tcBorders>
                    <w:top w:val="single" w:color="auto" w:sz="4" w:space="0"/>
                    <w:bottom w:val="single" w:color="auto" w:sz="4" w:space="0"/>
                    <w:tl2br w:val="nil"/>
                    <w:tr2bl w:val="nil"/>
                  </w:tcBorders>
                  <w:noWrap w:val="0"/>
                  <w:vAlign w:val="center"/>
                </w:tcPr>
                <w:p>
                  <w:pPr>
                    <w:pStyle w:val="104"/>
                    <w:bidi w:val="0"/>
                    <w:rPr>
                      <w:rFonts w:hint="eastAsia" w:eastAsia="宋体"/>
                      <w:color w:val="000000"/>
                      <w:lang w:val="en-US" w:eastAsia="zh-CN"/>
                    </w:rPr>
                  </w:pPr>
                  <w:r>
                    <w:rPr>
                      <w:rFonts w:hint="eastAsia"/>
                      <w:color w:val="000000"/>
                      <w:lang w:val="en-US" w:eastAsia="zh-CN"/>
                    </w:rPr>
                    <w:t>/</w:t>
                  </w:r>
                </w:p>
              </w:tc>
              <w:tc>
                <w:tcPr>
                  <w:tcW w:w="886" w:type="dxa"/>
                  <w:tcBorders>
                    <w:top w:val="single" w:color="auto" w:sz="4" w:space="0"/>
                    <w:bottom w:val="single" w:color="auto" w:sz="4" w:space="0"/>
                    <w:tl2br w:val="nil"/>
                    <w:tr2bl w:val="nil"/>
                  </w:tcBorders>
                  <w:noWrap w:val="0"/>
                  <w:vAlign w:val="center"/>
                </w:tcPr>
                <w:p>
                  <w:pPr>
                    <w:pStyle w:val="104"/>
                    <w:bidi w:val="0"/>
                    <w:rPr>
                      <w:rFonts w:hint="eastAsia"/>
                      <w:color w:val="000000"/>
                      <w:lang w:eastAsia="zh-CN"/>
                    </w:rPr>
                  </w:pPr>
                  <w:r>
                    <w:rPr>
                      <w:rFonts w:hint="eastAsia"/>
                      <w:color w:val="000000"/>
                      <w:lang w:eastAsia="zh-CN"/>
                    </w:rPr>
                    <w:t>台</w:t>
                  </w:r>
                </w:p>
              </w:tc>
              <w:tc>
                <w:tcPr>
                  <w:tcW w:w="864" w:type="dxa"/>
                  <w:tcBorders>
                    <w:top w:val="single" w:color="auto" w:sz="4" w:space="0"/>
                    <w:bottom w:val="single" w:color="auto" w:sz="4" w:space="0"/>
                    <w:tl2br w:val="nil"/>
                    <w:tr2bl w:val="nil"/>
                  </w:tcBorders>
                  <w:noWrap w:val="0"/>
                  <w:vAlign w:val="center"/>
                </w:tcPr>
                <w:p>
                  <w:pPr>
                    <w:pStyle w:val="104"/>
                    <w:bidi w:val="0"/>
                    <w:rPr>
                      <w:rFonts w:hint="default"/>
                      <w:color w:val="000000"/>
                      <w:lang w:val="en-US" w:eastAsia="zh-CN"/>
                    </w:rPr>
                  </w:pPr>
                  <w:r>
                    <w:rPr>
                      <w:rFonts w:hint="eastAsia"/>
                      <w:color w:val="000000"/>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70" w:hRule="atLeast"/>
                <w:jc w:val="center"/>
              </w:trPr>
              <w:tc>
                <w:tcPr>
                  <w:tcW w:w="859" w:type="dxa"/>
                  <w:vMerge w:val="continue"/>
                  <w:tcBorders>
                    <w:tl2br w:val="nil"/>
                    <w:tr2bl w:val="nil"/>
                  </w:tcBorders>
                  <w:noWrap w:val="0"/>
                  <w:vAlign w:val="center"/>
                </w:tcPr>
                <w:p>
                  <w:pPr>
                    <w:pStyle w:val="104"/>
                    <w:bidi w:val="0"/>
                    <w:rPr>
                      <w:rFonts w:hint="eastAsia"/>
                      <w:color w:val="000000"/>
                    </w:rPr>
                  </w:pPr>
                </w:p>
              </w:tc>
              <w:tc>
                <w:tcPr>
                  <w:tcW w:w="1351" w:type="dxa"/>
                  <w:vMerge w:val="continue"/>
                  <w:tcBorders>
                    <w:right w:val="single" w:color="000000" w:sz="2" w:space="0"/>
                    <w:tl2br w:val="nil"/>
                    <w:tr2bl w:val="nil"/>
                  </w:tcBorders>
                  <w:noWrap w:val="0"/>
                  <w:vAlign w:val="center"/>
                </w:tcPr>
                <w:p>
                  <w:pPr>
                    <w:pStyle w:val="104"/>
                    <w:bidi w:val="0"/>
                    <w:rPr>
                      <w:rFonts w:hint="eastAsia"/>
                      <w:color w:val="000000"/>
                    </w:rPr>
                  </w:pPr>
                </w:p>
              </w:tc>
              <w:tc>
                <w:tcPr>
                  <w:tcW w:w="1813" w:type="dxa"/>
                  <w:tcBorders>
                    <w:top w:val="single" w:color="auto" w:sz="4" w:space="0"/>
                    <w:left w:val="single" w:color="000000" w:sz="2" w:space="0"/>
                    <w:tl2br w:val="nil"/>
                    <w:tr2bl w:val="nil"/>
                  </w:tcBorders>
                  <w:noWrap w:val="0"/>
                  <w:vAlign w:val="center"/>
                </w:tcPr>
                <w:p>
                  <w:pPr>
                    <w:pStyle w:val="104"/>
                    <w:bidi w:val="0"/>
                    <w:rPr>
                      <w:rFonts w:hint="default" w:eastAsia="宋体"/>
                      <w:color w:val="000000"/>
                      <w:lang w:val="en-US" w:eastAsia="zh-CN"/>
                    </w:rPr>
                  </w:pPr>
                  <w:r>
                    <w:rPr>
                      <w:rFonts w:hint="eastAsia"/>
                      <w:color w:val="000000"/>
                      <w:lang w:val="en-US" w:eastAsia="zh-CN"/>
                    </w:rPr>
                    <w:t>BOG回收装置</w:t>
                  </w:r>
                </w:p>
              </w:tc>
              <w:tc>
                <w:tcPr>
                  <w:tcW w:w="3125" w:type="dxa"/>
                  <w:tcBorders>
                    <w:top w:val="single" w:color="auto" w:sz="4" w:space="0"/>
                    <w:tl2br w:val="nil"/>
                    <w:tr2bl w:val="nil"/>
                  </w:tcBorders>
                  <w:noWrap w:val="0"/>
                  <w:vAlign w:val="center"/>
                </w:tcPr>
                <w:p>
                  <w:pPr>
                    <w:pStyle w:val="104"/>
                    <w:bidi w:val="0"/>
                    <w:rPr>
                      <w:rFonts w:hint="eastAsia" w:eastAsia="宋体"/>
                      <w:color w:val="000000"/>
                      <w:lang w:val="en-US" w:eastAsia="zh-CN"/>
                    </w:rPr>
                  </w:pPr>
                  <w:r>
                    <w:rPr>
                      <w:rFonts w:hint="eastAsia"/>
                      <w:color w:val="000000"/>
                      <w:lang w:val="en-US" w:eastAsia="zh-CN"/>
                    </w:rPr>
                    <w:t>/</w:t>
                  </w:r>
                </w:p>
              </w:tc>
              <w:tc>
                <w:tcPr>
                  <w:tcW w:w="886" w:type="dxa"/>
                  <w:tcBorders>
                    <w:top w:val="single" w:color="auto" w:sz="4" w:space="0"/>
                    <w:bottom w:val="single" w:color="auto" w:sz="4" w:space="0"/>
                    <w:tl2br w:val="nil"/>
                    <w:tr2bl w:val="nil"/>
                  </w:tcBorders>
                  <w:noWrap w:val="0"/>
                  <w:vAlign w:val="center"/>
                </w:tcPr>
                <w:p>
                  <w:pPr>
                    <w:pStyle w:val="104"/>
                    <w:bidi w:val="0"/>
                    <w:rPr>
                      <w:rFonts w:hint="eastAsia"/>
                      <w:color w:val="000000"/>
                      <w:lang w:eastAsia="zh-CN"/>
                    </w:rPr>
                  </w:pPr>
                  <w:r>
                    <w:rPr>
                      <w:rFonts w:hint="eastAsia"/>
                      <w:color w:val="000000"/>
                      <w:lang w:eastAsia="zh-CN"/>
                    </w:rPr>
                    <w:t>台</w:t>
                  </w:r>
                </w:p>
              </w:tc>
              <w:tc>
                <w:tcPr>
                  <w:tcW w:w="864" w:type="dxa"/>
                  <w:tcBorders>
                    <w:top w:val="single" w:color="auto" w:sz="4" w:space="0"/>
                    <w:bottom w:val="single" w:color="auto" w:sz="4" w:space="0"/>
                    <w:tl2br w:val="nil"/>
                    <w:tr2bl w:val="nil"/>
                  </w:tcBorders>
                  <w:noWrap w:val="0"/>
                  <w:vAlign w:val="center"/>
                </w:tcPr>
                <w:p>
                  <w:pPr>
                    <w:pStyle w:val="104"/>
                    <w:bidi w:val="0"/>
                    <w:rPr>
                      <w:rFonts w:hint="default"/>
                      <w:color w:val="000000"/>
                      <w:lang w:val="en-US" w:eastAsia="zh-CN"/>
                    </w:rPr>
                  </w:pPr>
                  <w:r>
                    <w:rPr>
                      <w:rFonts w:hint="eastAsia"/>
                      <w:color w:val="000000"/>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0" w:hRule="atLeast"/>
                <w:jc w:val="center"/>
              </w:trPr>
              <w:tc>
                <w:tcPr>
                  <w:tcW w:w="859" w:type="dxa"/>
                  <w:tcBorders>
                    <w:tl2br w:val="nil"/>
                    <w:tr2bl w:val="nil"/>
                  </w:tcBorders>
                  <w:noWrap w:val="0"/>
                  <w:vAlign w:val="center"/>
                </w:tcPr>
                <w:p>
                  <w:pPr>
                    <w:pStyle w:val="104"/>
                    <w:bidi w:val="0"/>
                    <w:rPr>
                      <w:rFonts w:hint="eastAsia"/>
                      <w:color w:val="000000"/>
                    </w:rPr>
                  </w:pPr>
                  <w:r>
                    <w:rPr>
                      <w:rFonts w:hint="eastAsia"/>
                      <w:color w:val="000000"/>
                    </w:rPr>
                    <w:t>3</w:t>
                  </w:r>
                </w:p>
              </w:tc>
              <w:tc>
                <w:tcPr>
                  <w:tcW w:w="3164" w:type="dxa"/>
                  <w:gridSpan w:val="2"/>
                  <w:tcBorders>
                    <w:tl2br w:val="nil"/>
                    <w:tr2bl w:val="nil"/>
                  </w:tcBorders>
                  <w:noWrap w:val="0"/>
                  <w:vAlign w:val="center"/>
                </w:tcPr>
                <w:p>
                  <w:pPr>
                    <w:pStyle w:val="104"/>
                    <w:bidi w:val="0"/>
                    <w:rPr>
                      <w:rFonts w:hint="eastAsia"/>
                      <w:color w:val="000000"/>
                    </w:rPr>
                  </w:pPr>
                  <w:r>
                    <w:rPr>
                      <w:rFonts w:hint="eastAsia"/>
                      <w:color w:val="000000"/>
                    </w:rPr>
                    <w:t>LNG加气机</w:t>
                  </w:r>
                </w:p>
              </w:tc>
              <w:tc>
                <w:tcPr>
                  <w:tcW w:w="3125" w:type="dxa"/>
                  <w:tcBorders>
                    <w:tl2br w:val="nil"/>
                    <w:tr2bl w:val="nil"/>
                  </w:tcBorders>
                  <w:noWrap w:val="0"/>
                  <w:vAlign w:val="center"/>
                </w:tcPr>
                <w:p>
                  <w:pPr>
                    <w:pStyle w:val="104"/>
                    <w:bidi w:val="0"/>
                    <w:rPr>
                      <w:rFonts w:hint="eastAsia"/>
                      <w:color w:val="000000"/>
                    </w:rPr>
                  </w:pPr>
                  <w:r>
                    <w:rPr>
                      <w:rFonts w:hint="eastAsia"/>
                      <w:color w:val="000000"/>
                    </w:rPr>
                    <w:t>Q=8</w:t>
                  </w:r>
                  <w:r>
                    <w:rPr>
                      <w:color w:val="000000"/>
                    </w:rPr>
                    <w:t>0kg/min</w:t>
                  </w:r>
                  <w:r>
                    <w:rPr>
                      <w:rFonts w:hint="eastAsia"/>
                      <w:color w:val="000000"/>
                    </w:rPr>
                    <w:t xml:space="preserve">   P=1.6MPa</w:t>
                  </w:r>
                </w:p>
              </w:tc>
              <w:tc>
                <w:tcPr>
                  <w:tcW w:w="886" w:type="dxa"/>
                  <w:tcBorders>
                    <w:top w:val="single" w:color="auto" w:sz="4" w:space="0"/>
                    <w:tl2br w:val="nil"/>
                    <w:tr2bl w:val="nil"/>
                  </w:tcBorders>
                  <w:noWrap w:val="0"/>
                  <w:vAlign w:val="center"/>
                </w:tcPr>
                <w:p>
                  <w:pPr>
                    <w:pStyle w:val="104"/>
                    <w:bidi w:val="0"/>
                    <w:rPr>
                      <w:rFonts w:hint="eastAsia"/>
                      <w:color w:val="000000"/>
                    </w:rPr>
                  </w:pPr>
                  <w:r>
                    <w:rPr>
                      <w:rFonts w:hint="eastAsia"/>
                      <w:color w:val="000000"/>
                    </w:rPr>
                    <w:t>台</w:t>
                  </w:r>
                </w:p>
              </w:tc>
              <w:tc>
                <w:tcPr>
                  <w:tcW w:w="864" w:type="dxa"/>
                  <w:tcBorders>
                    <w:top w:val="single" w:color="auto" w:sz="4" w:space="0"/>
                    <w:tl2br w:val="nil"/>
                    <w:tr2bl w:val="nil"/>
                  </w:tcBorders>
                  <w:noWrap w:val="0"/>
                  <w:vAlign w:val="center"/>
                </w:tcPr>
                <w:p>
                  <w:pPr>
                    <w:pStyle w:val="104"/>
                    <w:bidi w:val="0"/>
                    <w:rPr>
                      <w:rFonts w:hint="eastAsia" w:eastAsia="宋体"/>
                      <w:color w:val="000000"/>
                      <w:lang w:eastAsia="zh-CN"/>
                    </w:rPr>
                  </w:pPr>
                  <w:r>
                    <w:rPr>
                      <w:rFonts w:hint="eastAsia"/>
                      <w:color w:val="000000"/>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0" w:hRule="atLeast"/>
                <w:jc w:val="center"/>
              </w:trPr>
              <w:tc>
                <w:tcPr>
                  <w:tcW w:w="859" w:type="dxa"/>
                  <w:tcBorders>
                    <w:tl2br w:val="nil"/>
                    <w:tr2bl w:val="nil"/>
                  </w:tcBorders>
                  <w:noWrap w:val="0"/>
                  <w:vAlign w:val="center"/>
                </w:tcPr>
                <w:p>
                  <w:pPr>
                    <w:pStyle w:val="104"/>
                    <w:bidi w:val="0"/>
                    <w:rPr>
                      <w:rFonts w:hint="eastAsia"/>
                      <w:color w:val="000000"/>
                    </w:rPr>
                  </w:pPr>
                  <w:r>
                    <w:rPr>
                      <w:rFonts w:hint="eastAsia"/>
                      <w:color w:val="000000"/>
                    </w:rPr>
                    <w:t>4</w:t>
                  </w:r>
                </w:p>
              </w:tc>
              <w:tc>
                <w:tcPr>
                  <w:tcW w:w="3164" w:type="dxa"/>
                  <w:gridSpan w:val="2"/>
                  <w:tcBorders>
                    <w:tl2br w:val="nil"/>
                    <w:tr2bl w:val="nil"/>
                  </w:tcBorders>
                  <w:noWrap w:val="0"/>
                  <w:vAlign w:val="center"/>
                </w:tcPr>
                <w:p>
                  <w:pPr>
                    <w:pStyle w:val="104"/>
                    <w:bidi w:val="0"/>
                    <w:rPr>
                      <w:rFonts w:hint="eastAsia"/>
                      <w:color w:val="000000"/>
                    </w:rPr>
                  </w:pPr>
                  <w:r>
                    <w:rPr>
                      <w:color w:val="000000"/>
                    </w:rPr>
                    <w:t>仪表风系统</w:t>
                  </w:r>
                </w:p>
              </w:tc>
              <w:tc>
                <w:tcPr>
                  <w:tcW w:w="3125" w:type="dxa"/>
                  <w:tcBorders>
                    <w:tl2br w:val="nil"/>
                    <w:tr2bl w:val="nil"/>
                  </w:tcBorders>
                  <w:noWrap w:val="0"/>
                  <w:vAlign w:val="center"/>
                </w:tcPr>
                <w:p>
                  <w:pPr>
                    <w:pStyle w:val="104"/>
                    <w:bidi w:val="0"/>
                    <w:rPr>
                      <w:rFonts w:hint="eastAsia" w:eastAsia="宋体"/>
                      <w:color w:val="000000"/>
                      <w:lang w:val="en-US" w:eastAsia="zh-CN"/>
                    </w:rPr>
                  </w:pPr>
                  <w:r>
                    <w:rPr>
                      <w:rFonts w:hint="eastAsia"/>
                      <w:color w:val="000000"/>
                      <w:lang w:val="en-US" w:eastAsia="zh-CN"/>
                    </w:rPr>
                    <w:t>/</w:t>
                  </w:r>
                </w:p>
              </w:tc>
              <w:tc>
                <w:tcPr>
                  <w:tcW w:w="886" w:type="dxa"/>
                  <w:tcBorders>
                    <w:tl2br w:val="nil"/>
                    <w:tr2bl w:val="nil"/>
                  </w:tcBorders>
                  <w:noWrap w:val="0"/>
                  <w:vAlign w:val="center"/>
                </w:tcPr>
                <w:p>
                  <w:pPr>
                    <w:pStyle w:val="104"/>
                    <w:bidi w:val="0"/>
                    <w:rPr>
                      <w:rFonts w:hint="eastAsia"/>
                      <w:color w:val="000000"/>
                    </w:rPr>
                  </w:pPr>
                  <w:r>
                    <w:rPr>
                      <w:rFonts w:hint="eastAsia"/>
                      <w:color w:val="000000"/>
                    </w:rPr>
                    <w:t>套</w:t>
                  </w:r>
                </w:p>
              </w:tc>
              <w:tc>
                <w:tcPr>
                  <w:tcW w:w="864" w:type="dxa"/>
                  <w:tcBorders>
                    <w:tl2br w:val="nil"/>
                    <w:tr2bl w:val="nil"/>
                  </w:tcBorders>
                  <w:noWrap w:val="0"/>
                  <w:vAlign w:val="center"/>
                </w:tcPr>
                <w:p>
                  <w:pPr>
                    <w:pStyle w:val="104"/>
                    <w:bidi w:val="0"/>
                    <w:rPr>
                      <w:rFonts w:hint="eastAsia"/>
                      <w:color w:val="000000"/>
                    </w:rPr>
                  </w:pPr>
                  <w:r>
                    <w:rPr>
                      <w:rFonts w:hint="eastAsia"/>
                      <w:color w:val="000000"/>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0" w:hRule="atLeast"/>
                <w:jc w:val="center"/>
              </w:trPr>
              <w:tc>
                <w:tcPr>
                  <w:tcW w:w="859" w:type="dxa"/>
                  <w:tcBorders>
                    <w:tl2br w:val="nil"/>
                    <w:tr2bl w:val="nil"/>
                  </w:tcBorders>
                  <w:noWrap w:val="0"/>
                  <w:vAlign w:val="center"/>
                </w:tcPr>
                <w:p>
                  <w:pPr>
                    <w:pStyle w:val="104"/>
                    <w:bidi w:val="0"/>
                    <w:rPr>
                      <w:rFonts w:hint="eastAsia"/>
                      <w:color w:val="000000"/>
                    </w:rPr>
                  </w:pPr>
                  <w:r>
                    <w:rPr>
                      <w:rFonts w:hint="eastAsia"/>
                      <w:color w:val="000000"/>
                    </w:rPr>
                    <w:t>5</w:t>
                  </w:r>
                </w:p>
              </w:tc>
              <w:tc>
                <w:tcPr>
                  <w:tcW w:w="3164" w:type="dxa"/>
                  <w:gridSpan w:val="2"/>
                  <w:tcBorders>
                    <w:tl2br w:val="nil"/>
                    <w:tr2bl w:val="nil"/>
                  </w:tcBorders>
                  <w:noWrap w:val="0"/>
                  <w:vAlign w:val="center"/>
                </w:tcPr>
                <w:p>
                  <w:pPr>
                    <w:pStyle w:val="104"/>
                    <w:bidi w:val="0"/>
                    <w:rPr>
                      <w:rFonts w:hint="eastAsia"/>
                      <w:color w:val="000000"/>
                    </w:rPr>
                  </w:pPr>
                  <w:r>
                    <w:rPr>
                      <w:rFonts w:hint="eastAsia"/>
                      <w:color w:val="000000"/>
                    </w:rPr>
                    <w:t>阀门</w:t>
                  </w:r>
                </w:p>
              </w:tc>
              <w:tc>
                <w:tcPr>
                  <w:tcW w:w="3125" w:type="dxa"/>
                  <w:tcBorders>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w:t>
                  </w:r>
                </w:p>
              </w:tc>
              <w:tc>
                <w:tcPr>
                  <w:tcW w:w="886" w:type="dxa"/>
                  <w:tcBorders>
                    <w:tl2br w:val="nil"/>
                    <w:tr2bl w:val="nil"/>
                  </w:tcBorders>
                  <w:noWrap w:val="0"/>
                  <w:vAlign w:val="center"/>
                </w:tcPr>
                <w:p>
                  <w:pPr>
                    <w:pStyle w:val="104"/>
                    <w:bidi w:val="0"/>
                    <w:rPr>
                      <w:rFonts w:hint="eastAsia"/>
                      <w:color w:val="000000"/>
                      <w:lang w:eastAsia="zh-CN"/>
                    </w:rPr>
                  </w:pPr>
                  <w:r>
                    <w:rPr>
                      <w:rFonts w:hint="eastAsia"/>
                      <w:color w:val="000000"/>
                      <w:lang w:eastAsia="zh-CN"/>
                    </w:rPr>
                    <w:t>只</w:t>
                  </w:r>
                </w:p>
              </w:tc>
              <w:tc>
                <w:tcPr>
                  <w:tcW w:w="864" w:type="dxa"/>
                  <w:tcBorders>
                    <w:tl2br w:val="nil"/>
                    <w:tr2bl w:val="nil"/>
                  </w:tcBorders>
                  <w:noWrap w:val="0"/>
                  <w:vAlign w:val="center"/>
                </w:tcPr>
                <w:p>
                  <w:pPr>
                    <w:pStyle w:val="104"/>
                    <w:bidi w:val="0"/>
                    <w:rPr>
                      <w:rFonts w:hint="default"/>
                      <w:color w:val="000000"/>
                      <w:lang w:val="en-US" w:eastAsia="zh-CN"/>
                    </w:rPr>
                  </w:pPr>
                  <w:r>
                    <w:rPr>
                      <w:rFonts w:hint="eastAsia"/>
                      <w:color w:val="000000"/>
                      <w:lang w:val="en-US" w:eastAsia="zh-CN"/>
                    </w:rPr>
                    <w:t>17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0" w:hRule="atLeast"/>
                <w:jc w:val="center"/>
              </w:trPr>
              <w:tc>
                <w:tcPr>
                  <w:tcW w:w="859" w:type="dxa"/>
                  <w:tcBorders>
                    <w:tl2br w:val="nil"/>
                    <w:tr2bl w:val="nil"/>
                  </w:tcBorders>
                  <w:noWrap w:val="0"/>
                  <w:vAlign w:val="center"/>
                </w:tcPr>
                <w:p>
                  <w:pPr>
                    <w:pStyle w:val="104"/>
                    <w:bidi w:val="0"/>
                    <w:rPr>
                      <w:rFonts w:hint="eastAsia"/>
                      <w:color w:val="000000"/>
                    </w:rPr>
                  </w:pPr>
                  <w:r>
                    <w:rPr>
                      <w:rFonts w:hint="eastAsia"/>
                      <w:color w:val="000000"/>
                    </w:rPr>
                    <w:t>6</w:t>
                  </w:r>
                </w:p>
              </w:tc>
              <w:tc>
                <w:tcPr>
                  <w:tcW w:w="3164" w:type="dxa"/>
                  <w:gridSpan w:val="2"/>
                  <w:tcBorders>
                    <w:tl2br w:val="nil"/>
                    <w:tr2bl w:val="nil"/>
                  </w:tcBorders>
                  <w:noWrap w:val="0"/>
                  <w:vAlign w:val="center"/>
                </w:tcPr>
                <w:p>
                  <w:pPr>
                    <w:pStyle w:val="104"/>
                    <w:bidi w:val="0"/>
                    <w:rPr>
                      <w:color w:val="000000"/>
                    </w:rPr>
                  </w:pPr>
                  <w:r>
                    <w:rPr>
                      <w:color w:val="000000"/>
                    </w:rPr>
                    <w:t>管材</w:t>
                  </w:r>
                </w:p>
              </w:tc>
              <w:tc>
                <w:tcPr>
                  <w:tcW w:w="3125" w:type="dxa"/>
                  <w:tcBorders>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w:t>
                  </w:r>
                </w:p>
              </w:tc>
              <w:tc>
                <w:tcPr>
                  <w:tcW w:w="886" w:type="dxa"/>
                  <w:tcBorders>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w:t>
                  </w:r>
                </w:p>
              </w:tc>
              <w:tc>
                <w:tcPr>
                  <w:tcW w:w="864" w:type="dxa"/>
                  <w:tcBorders>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0" w:hRule="atLeast"/>
                <w:jc w:val="center"/>
              </w:trPr>
              <w:tc>
                <w:tcPr>
                  <w:tcW w:w="859" w:type="dxa"/>
                  <w:tcBorders>
                    <w:tl2br w:val="nil"/>
                    <w:tr2bl w:val="nil"/>
                  </w:tcBorders>
                  <w:noWrap w:val="0"/>
                  <w:vAlign w:val="center"/>
                </w:tcPr>
                <w:p>
                  <w:pPr>
                    <w:pStyle w:val="104"/>
                    <w:bidi w:val="0"/>
                    <w:rPr>
                      <w:rFonts w:hint="eastAsia"/>
                      <w:color w:val="000000"/>
                    </w:rPr>
                  </w:pPr>
                  <w:r>
                    <w:rPr>
                      <w:rFonts w:hint="eastAsia"/>
                      <w:color w:val="000000"/>
                    </w:rPr>
                    <w:t>7</w:t>
                  </w:r>
                </w:p>
              </w:tc>
              <w:tc>
                <w:tcPr>
                  <w:tcW w:w="3164" w:type="dxa"/>
                  <w:gridSpan w:val="2"/>
                  <w:tcBorders>
                    <w:tl2br w:val="nil"/>
                    <w:tr2bl w:val="nil"/>
                  </w:tcBorders>
                  <w:noWrap w:val="0"/>
                  <w:vAlign w:val="center"/>
                </w:tcPr>
                <w:p>
                  <w:pPr>
                    <w:pStyle w:val="104"/>
                    <w:bidi w:val="0"/>
                    <w:rPr>
                      <w:rFonts w:hint="eastAsia"/>
                      <w:color w:val="000000"/>
                    </w:rPr>
                  </w:pPr>
                  <w:r>
                    <w:rPr>
                      <w:rFonts w:hint="eastAsia"/>
                      <w:color w:val="000000"/>
                    </w:rPr>
                    <w:t>放空立管</w:t>
                  </w:r>
                </w:p>
              </w:tc>
              <w:tc>
                <w:tcPr>
                  <w:tcW w:w="3125" w:type="dxa"/>
                  <w:tcBorders>
                    <w:tl2br w:val="nil"/>
                    <w:tr2bl w:val="nil"/>
                  </w:tcBorders>
                  <w:noWrap w:val="0"/>
                  <w:vAlign w:val="center"/>
                </w:tcPr>
                <w:p>
                  <w:pPr>
                    <w:pStyle w:val="104"/>
                    <w:bidi w:val="0"/>
                    <w:rPr>
                      <w:color w:val="000000"/>
                    </w:rPr>
                  </w:pPr>
                  <w:r>
                    <w:rPr>
                      <w:rFonts w:hint="eastAsia"/>
                      <w:color w:val="000000"/>
                    </w:rPr>
                    <w:t>H=7m   DN100</w:t>
                  </w:r>
                </w:p>
              </w:tc>
              <w:tc>
                <w:tcPr>
                  <w:tcW w:w="886" w:type="dxa"/>
                  <w:tcBorders>
                    <w:tl2br w:val="nil"/>
                    <w:tr2bl w:val="nil"/>
                  </w:tcBorders>
                  <w:noWrap w:val="0"/>
                  <w:vAlign w:val="center"/>
                </w:tcPr>
                <w:p>
                  <w:pPr>
                    <w:pStyle w:val="104"/>
                    <w:bidi w:val="0"/>
                    <w:rPr>
                      <w:rFonts w:hint="eastAsia"/>
                      <w:color w:val="000000"/>
                    </w:rPr>
                  </w:pPr>
                  <w:r>
                    <w:rPr>
                      <w:rFonts w:hint="eastAsia"/>
                      <w:color w:val="000000"/>
                    </w:rPr>
                    <w:t>套</w:t>
                  </w:r>
                </w:p>
              </w:tc>
              <w:tc>
                <w:tcPr>
                  <w:tcW w:w="864" w:type="dxa"/>
                  <w:tcBorders>
                    <w:tl2br w:val="nil"/>
                    <w:tr2bl w:val="nil"/>
                  </w:tcBorders>
                  <w:noWrap w:val="0"/>
                  <w:vAlign w:val="center"/>
                </w:tcPr>
                <w:p>
                  <w:pPr>
                    <w:pStyle w:val="104"/>
                    <w:bidi w:val="0"/>
                    <w:rPr>
                      <w:rFonts w:hint="eastAsia"/>
                      <w:color w:val="000000"/>
                    </w:rPr>
                  </w:pPr>
                  <w:r>
                    <w:rPr>
                      <w:rFonts w:hint="eastAsia"/>
                      <w:color w:val="000000"/>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9" w:hRule="atLeast"/>
                <w:jc w:val="center"/>
              </w:trPr>
              <w:tc>
                <w:tcPr>
                  <w:tcW w:w="859" w:type="dxa"/>
                  <w:tcBorders>
                    <w:tl2br w:val="nil"/>
                    <w:tr2bl w:val="nil"/>
                  </w:tcBorders>
                  <w:noWrap w:val="0"/>
                  <w:vAlign w:val="center"/>
                </w:tcPr>
                <w:p>
                  <w:pPr>
                    <w:pStyle w:val="104"/>
                    <w:bidi w:val="0"/>
                    <w:rPr>
                      <w:rFonts w:hint="eastAsia"/>
                      <w:color w:val="000000"/>
                    </w:rPr>
                  </w:pPr>
                  <w:r>
                    <w:rPr>
                      <w:rFonts w:hint="eastAsia"/>
                      <w:color w:val="000000"/>
                    </w:rPr>
                    <w:t>8</w:t>
                  </w:r>
                </w:p>
              </w:tc>
              <w:tc>
                <w:tcPr>
                  <w:tcW w:w="3164" w:type="dxa"/>
                  <w:gridSpan w:val="2"/>
                  <w:tcBorders>
                    <w:tl2br w:val="nil"/>
                    <w:tr2bl w:val="nil"/>
                  </w:tcBorders>
                  <w:noWrap w:val="0"/>
                  <w:vAlign w:val="center"/>
                </w:tcPr>
                <w:p>
                  <w:pPr>
                    <w:pStyle w:val="104"/>
                    <w:bidi w:val="0"/>
                    <w:rPr>
                      <w:rFonts w:hint="eastAsia"/>
                      <w:color w:val="000000"/>
                    </w:rPr>
                  </w:pPr>
                  <w:r>
                    <w:rPr>
                      <w:rFonts w:hint="eastAsia"/>
                      <w:color w:val="000000"/>
                    </w:rPr>
                    <w:t>阻火器</w:t>
                  </w:r>
                </w:p>
              </w:tc>
              <w:tc>
                <w:tcPr>
                  <w:tcW w:w="3125" w:type="dxa"/>
                  <w:tcBorders>
                    <w:tl2br w:val="nil"/>
                    <w:tr2bl w:val="nil"/>
                  </w:tcBorders>
                  <w:noWrap w:val="0"/>
                  <w:vAlign w:val="center"/>
                </w:tcPr>
                <w:p>
                  <w:pPr>
                    <w:pStyle w:val="104"/>
                    <w:bidi w:val="0"/>
                    <w:rPr>
                      <w:rFonts w:hint="eastAsia"/>
                      <w:color w:val="000000"/>
                    </w:rPr>
                  </w:pPr>
                  <w:r>
                    <w:rPr>
                      <w:rFonts w:hint="eastAsia"/>
                      <w:color w:val="000000"/>
                    </w:rPr>
                    <w:t>PN16   DN100</w:t>
                  </w:r>
                </w:p>
              </w:tc>
              <w:tc>
                <w:tcPr>
                  <w:tcW w:w="886" w:type="dxa"/>
                  <w:tcBorders>
                    <w:tl2br w:val="nil"/>
                    <w:tr2bl w:val="nil"/>
                  </w:tcBorders>
                  <w:noWrap w:val="0"/>
                  <w:vAlign w:val="center"/>
                </w:tcPr>
                <w:p>
                  <w:pPr>
                    <w:pStyle w:val="104"/>
                    <w:bidi w:val="0"/>
                    <w:rPr>
                      <w:rFonts w:hint="eastAsia"/>
                      <w:color w:val="000000"/>
                    </w:rPr>
                  </w:pPr>
                  <w:r>
                    <w:rPr>
                      <w:rFonts w:hint="eastAsia"/>
                      <w:color w:val="000000"/>
                    </w:rPr>
                    <w:t>套</w:t>
                  </w:r>
                </w:p>
              </w:tc>
              <w:tc>
                <w:tcPr>
                  <w:tcW w:w="864" w:type="dxa"/>
                  <w:tcBorders>
                    <w:tl2br w:val="nil"/>
                    <w:tr2bl w:val="nil"/>
                  </w:tcBorders>
                  <w:noWrap w:val="0"/>
                  <w:vAlign w:val="center"/>
                </w:tcPr>
                <w:p>
                  <w:pPr>
                    <w:pStyle w:val="104"/>
                    <w:bidi w:val="0"/>
                    <w:rPr>
                      <w:rFonts w:hint="eastAsia"/>
                      <w:color w:val="000000"/>
                    </w:rPr>
                  </w:pPr>
                  <w:r>
                    <w:rPr>
                      <w:rFonts w:hint="eastAsia"/>
                      <w:color w:val="000000"/>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9" w:hRule="atLeast"/>
                <w:jc w:val="center"/>
              </w:trPr>
              <w:tc>
                <w:tcPr>
                  <w:tcW w:w="859" w:type="dxa"/>
                  <w:vMerge w:val="restart"/>
                  <w:tcBorders>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9</w:t>
                  </w:r>
                </w:p>
              </w:tc>
              <w:tc>
                <w:tcPr>
                  <w:tcW w:w="3164" w:type="dxa"/>
                  <w:gridSpan w:val="2"/>
                  <w:vMerge w:val="restart"/>
                  <w:tcBorders>
                    <w:tl2br w:val="nil"/>
                    <w:tr2bl w:val="nil"/>
                  </w:tcBorders>
                  <w:noWrap w:val="0"/>
                  <w:vAlign w:val="center"/>
                </w:tcPr>
                <w:p>
                  <w:pPr>
                    <w:pStyle w:val="104"/>
                    <w:bidi w:val="0"/>
                    <w:rPr>
                      <w:rFonts w:hint="eastAsia"/>
                      <w:color w:val="000000"/>
                      <w:lang w:val="en-US" w:eastAsia="zh-CN"/>
                    </w:rPr>
                  </w:pPr>
                  <w:r>
                    <w:rPr>
                      <w:color w:val="000000"/>
                    </w:rPr>
                    <w:t>手提式磷酸铵盐干粉灭火器</w:t>
                  </w:r>
                </w:p>
              </w:tc>
              <w:tc>
                <w:tcPr>
                  <w:tcW w:w="3125" w:type="dxa"/>
                  <w:tcBorders>
                    <w:tl2br w:val="nil"/>
                    <w:tr2bl w:val="nil"/>
                  </w:tcBorders>
                  <w:noWrap w:val="0"/>
                  <w:vAlign w:val="center"/>
                </w:tcPr>
                <w:p>
                  <w:pPr>
                    <w:pStyle w:val="104"/>
                    <w:bidi w:val="0"/>
                    <w:rPr>
                      <w:rFonts w:hint="eastAsia"/>
                      <w:color w:val="000000"/>
                      <w:lang w:val="en-US" w:eastAsia="zh-CN"/>
                    </w:rPr>
                  </w:pPr>
                  <w:r>
                    <w:rPr>
                      <w:color w:val="000000"/>
                    </w:rPr>
                    <w:t>MF/ABC4型</w:t>
                  </w:r>
                </w:p>
              </w:tc>
              <w:tc>
                <w:tcPr>
                  <w:tcW w:w="886" w:type="dxa"/>
                  <w:tcBorders>
                    <w:tl2br w:val="nil"/>
                    <w:tr2bl w:val="nil"/>
                  </w:tcBorders>
                  <w:noWrap w:val="0"/>
                  <w:vAlign w:val="center"/>
                </w:tcPr>
                <w:p>
                  <w:pPr>
                    <w:pStyle w:val="104"/>
                    <w:bidi w:val="0"/>
                    <w:rPr>
                      <w:rFonts w:hint="eastAsia"/>
                      <w:color w:val="000000"/>
                      <w:lang w:val="en-US" w:eastAsia="zh-CN"/>
                    </w:rPr>
                  </w:pPr>
                  <w:r>
                    <w:rPr>
                      <w:color w:val="000000"/>
                    </w:rPr>
                    <w:t>具</w:t>
                  </w:r>
                </w:p>
              </w:tc>
              <w:tc>
                <w:tcPr>
                  <w:tcW w:w="864" w:type="dxa"/>
                  <w:tcBorders>
                    <w:tl2br w:val="nil"/>
                    <w:tr2bl w:val="nil"/>
                  </w:tcBorders>
                  <w:noWrap w:val="0"/>
                  <w:vAlign w:val="center"/>
                </w:tcPr>
                <w:p>
                  <w:pPr>
                    <w:pStyle w:val="104"/>
                    <w:bidi w:val="0"/>
                    <w:rPr>
                      <w:rFonts w:hint="eastAsia"/>
                      <w:color w:val="000000"/>
                      <w:lang w:val="en-US" w:eastAsia="zh-CN"/>
                    </w:rPr>
                  </w:pPr>
                  <w:r>
                    <w:rPr>
                      <w:rFonts w:hint="eastAsia"/>
                      <w:color w:val="000000"/>
                    </w:rPr>
                    <w:t>1</w:t>
                  </w:r>
                  <w:r>
                    <w:rPr>
                      <w:color w:val="000000"/>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9" w:hRule="atLeast"/>
                <w:jc w:val="center"/>
              </w:trPr>
              <w:tc>
                <w:tcPr>
                  <w:tcW w:w="859" w:type="dxa"/>
                  <w:vMerge w:val="continue"/>
                  <w:tcBorders>
                    <w:tl2br w:val="nil"/>
                    <w:tr2bl w:val="nil"/>
                  </w:tcBorders>
                  <w:noWrap w:val="0"/>
                  <w:vAlign w:val="top"/>
                </w:tcPr>
                <w:p>
                  <w:pPr>
                    <w:pStyle w:val="104"/>
                    <w:bidi w:val="0"/>
                    <w:rPr>
                      <w:rFonts w:hint="eastAsia"/>
                      <w:color w:val="000000"/>
                    </w:rPr>
                  </w:pPr>
                </w:p>
              </w:tc>
              <w:tc>
                <w:tcPr>
                  <w:tcW w:w="3164" w:type="dxa"/>
                  <w:gridSpan w:val="2"/>
                  <w:vMerge w:val="continue"/>
                  <w:tcBorders>
                    <w:tl2br w:val="nil"/>
                    <w:tr2bl w:val="nil"/>
                  </w:tcBorders>
                  <w:noWrap w:val="0"/>
                  <w:vAlign w:val="top"/>
                </w:tcPr>
                <w:p>
                  <w:pPr>
                    <w:pStyle w:val="104"/>
                    <w:bidi w:val="0"/>
                    <w:rPr>
                      <w:rFonts w:hint="eastAsia"/>
                      <w:color w:val="000000"/>
                    </w:rPr>
                  </w:pPr>
                </w:p>
              </w:tc>
              <w:tc>
                <w:tcPr>
                  <w:tcW w:w="3125" w:type="dxa"/>
                  <w:tcBorders>
                    <w:tl2br w:val="nil"/>
                    <w:tr2bl w:val="nil"/>
                  </w:tcBorders>
                  <w:noWrap w:val="0"/>
                  <w:vAlign w:val="center"/>
                </w:tcPr>
                <w:p>
                  <w:pPr>
                    <w:pStyle w:val="104"/>
                    <w:bidi w:val="0"/>
                    <w:rPr>
                      <w:rFonts w:hint="eastAsia"/>
                      <w:color w:val="000000"/>
                      <w:lang w:val="en-US" w:eastAsia="zh-CN"/>
                    </w:rPr>
                  </w:pPr>
                  <w:r>
                    <w:rPr>
                      <w:color w:val="000000"/>
                    </w:rPr>
                    <w:t>MF/ABC5型</w:t>
                  </w:r>
                </w:p>
              </w:tc>
              <w:tc>
                <w:tcPr>
                  <w:tcW w:w="886" w:type="dxa"/>
                  <w:tcBorders>
                    <w:tl2br w:val="nil"/>
                    <w:tr2bl w:val="nil"/>
                  </w:tcBorders>
                  <w:noWrap w:val="0"/>
                  <w:vAlign w:val="center"/>
                </w:tcPr>
                <w:p>
                  <w:pPr>
                    <w:pStyle w:val="104"/>
                    <w:bidi w:val="0"/>
                    <w:rPr>
                      <w:rFonts w:hint="eastAsia"/>
                      <w:color w:val="000000"/>
                      <w:lang w:val="en-US" w:eastAsia="zh-CN"/>
                    </w:rPr>
                  </w:pPr>
                  <w:r>
                    <w:rPr>
                      <w:color w:val="000000"/>
                    </w:rPr>
                    <w:t>具</w:t>
                  </w:r>
                </w:p>
              </w:tc>
              <w:tc>
                <w:tcPr>
                  <w:tcW w:w="864" w:type="dxa"/>
                  <w:tcBorders>
                    <w:tl2br w:val="nil"/>
                    <w:tr2bl w:val="nil"/>
                  </w:tcBorders>
                  <w:noWrap w:val="0"/>
                  <w:vAlign w:val="center"/>
                </w:tcPr>
                <w:p>
                  <w:pPr>
                    <w:pStyle w:val="104"/>
                    <w:bidi w:val="0"/>
                    <w:rPr>
                      <w:rFonts w:hint="eastAsia"/>
                      <w:color w:val="000000"/>
                      <w:lang w:val="en-US" w:eastAsia="zh-CN"/>
                    </w:rPr>
                  </w:pPr>
                  <w:r>
                    <w:rPr>
                      <w:color w:val="000000"/>
                    </w:rPr>
                    <w:t>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29" w:hRule="atLeast"/>
                <w:jc w:val="center"/>
              </w:trPr>
              <w:tc>
                <w:tcPr>
                  <w:tcW w:w="859" w:type="dxa"/>
                  <w:vMerge w:val="continue"/>
                  <w:tcBorders>
                    <w:tl2br w:val="nil"/>
                    <w:tr2bl w:val="nil"/>
                  </w:tcBorders>
                  <w:noWrap w:val="0"/>
                  <w:vAlign w:val="top"/>
                </w:tcPr>
                <w:p>
                  <w:pPr>
                    <w:pStyle w:val="104"/>
                    <w:bidi w:val="0"/>
                    <w:rPr>
                      <w:rFonts w:hint="eastAsia"/>
                      <w:color w:val="000000"/>
                    </w:rPr>
                  </w:pPr>
                </w:p>
              </w:tc>
              <w:tc>
                <w:tcPr>
                  <w:tcW w:w="3164" w:type="dxa"/>
                  <w:gridSpan w:val="2"/>
                  <w:vMerge w:val="continue"/>
                  <w:tcBorders>
                    <w:tl2br w:val="nil"/>
                    <w:tr2bl w:val="nil"/>
                  </w:tcBorders>
                  <w:noWrap w:val="0"/>
                  <w:vAlign w:val="top"/>
                </w:tcPr>
                <w:p>
                  <w:pPr>
                    <w:pStyle w:val="104"/>
                    <w:bidi w:val="0"/>
                    <w:rPr>
                      <w:rFonts w:hint="eastAsia"/>
                      <w:color w:val="000000"/>
                    </w:rPr>
                  </w:pPr>
                </w:p>
              </w:tc>
              <w:tc>
                <w:tcPr>
                  <w:tcW w:w="3125" w:type="dxa"/>
                  <w:tcBorders>
                    <w:tl2br w:val="nil"/>
                    <w:tr2bl w:val="nil"/>
                  </w:tcBorders>
                  <w:noWrap w:val="0"/>
                  <w:vAlign w:val="center"/>
                </w:tcPr>
                <w:p>
                  <w:pPr>
                    <w:pStyle w:val="104"/>
                    <w:bidi w:val="0"/>
                    <w:rPr>
                      <w:rFonts w:hint="eastAsia"/>
                      <w:color w:val="000000"/>
                      <w:lang w:val="en-US" w:eastAsia="zh-CN"/>
                    </w:rPr>
                  </w:pPr>
                  <w:r>
                    <w:rPr>
                      <w:color w:val="000000"/>
                    </w:rPr>
                    <w:t>MF/ABC8型</w:t>
                  </w:r>
                </w:p>
              </w:tc>
              <w:tc>
                <w:tcPr>
                  <w:tcW w:w="886" w:type="dxa"/>
                  <w:tcBorders>
                    <w:tl2br w:val="nil"/>
                    <w:tr2bl w:val="nil"/>
                  </w:tcBorders>
                  <w:noWrap w:val="0"/>
                  <w:vAlign w:val="center"/>
                </w:tcPr>
                <w:p>
                  <w:pPr>
                    <w:pStyle w:val="104"/>
                    <w:bidi w:val="0"/>
                    <w:rPr>
                      <w:rFonts w:hint="eastAsia"/>
                      <w:color w:val="000000"/>
                      <w:lang w:val="en-US" w:eastAsia="zh-CN"/>
                    </w:rPr>
                  </w:pPr>
                  <w:r>
                    <w:rPr>
                      <w:color w:val="000000"/>
                    </w:rPr>
                    <w:t>具</w:t>
                  </w:r>
                </w:p>
              </w:tc>
              <w:tc>
                <w:tcPr>
                  <w:tcW w:w="864" w:type="dxa"/>
                  <w:tcBorders>
                    <w:tl2br w:val="nil"/>
                    <w:tr2bl w:val="nil"/>
                  </w:tcBorders>
                  <w:noWrap w:val="0"/>
                  <w:vAlign w:val="center"/>
                </w:tcPr>
                <w:p>
                  <w:pPr>
                    <w:pStyle w:val="104"/>
                    <w:bidi w:val="0"/>
                    <w:rPr>
                      <w:rFonts w:hint="eastAsia"/>
                      <w:color w:val="000000"/>
                      <w:lang w:val="en-US" w:eastAsia="zh-CN"/>
                    </w:rPr>
                  </w:pPr>
                  <w:r>
                    <w:rPr>
                      <w:color w:val="000000"/>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35" w:hRule="atLeast"/>
                <w:jc w:val="center"/>
              </w:trPr>
              <w:tc>
                <w:tcPr>
                  <w:tcW w:w="859" w:type="dxa"/>
                  <w:tcBorders>
                    <w:tl2br w:val="nil"/>
                    <w:tr2bl w:val="nil"/>
                  </w:tcBorders>
                  <w:noWrap w:val="0"/>
                  <w:vAlign w:val="center"/>
                </w:tcPr>
                <w:p>
                  <w:pPr>
                    <w:pStyle w:val="104"/>
                    <w:bidi w:val="0"/>
                    <w:rPr>
                      <w:rFonts w:hint="default"/>
                      <w:color w:val="000000"/>
                      <w:lang w:val="en-US" w:eastAsia="zh-CN"/>
                    </w:rPr>
                  </w:pPr>
                  <w:r>
                    <w:rPr>
                      <w:rFonts w:hint="eastAsia"/>
                      <w:color w:val="000000"/>
                      <w:lang w:val="en-US" w:eastAsia="zh-CN"/>
                    </w:rPr>
                    <w:t>10</w:t>
                  </w:r>
                </w:p>
              </w:tc>
              <w:tc>
                <w:tcPr>
                  <w:tcW w:w="3164" w:type="dxa"/>
                  <w:gridSpan w:val="2"/>
                  <w:tcBorders>
                    <w:tl2br w:val="nil"/>
                    <w:tr2bl w:val="nil"/>
                  </w:tcBorders>
                  <w:noWrap w:val="0"/>
                  <w:vAlign w:val="center"/>
                </w:tcPr>
                <w:p>
                  <w:pPr>
                    <w:pStyle w:val="104"/>
                    <w:bidi w:val="0"/>
                    <w:rPr>
                      <w:rFonts w:hint="eastAsia"/>
                      <w:color w:val="000000"/>
                      <w:lang w:val="en-US" w:eastAsia="zh-CN"/>
                    </w:rPr>
                  </w:pPr>
                  <w:r>
                    <w:rPr>
                      <w:color w:val="000000"/>
                    </w:rPr>
                    <w:t>推车式磷酸铵盐型干粉灭火器</w:t>
                  </w:r>
                </w:p>
              </w:tc>
              <w:tc>
                <w:tcPr>
                  <w:tcW w:w="3125" w:type="dxa"/>
                  <w:tcBorders>
                    <w:tl2br w:val="nil"/>
                    <w:tr2bl w:val="nil"/>
                  </w:tcBorders>
                  <w:noWrap w:val="0"/>
                  <w:vAlign w:val="center"/>
                </w:tcPr>
                <w:p>
                  <w:pPr>
                    <w:pStyle w:val="104"/>
                    <w:bidi w:val="0"/>
                    <w:rPr>
                      <w:rFonts w:hint="eastAsia"/>
                      <w:color w:val="000000"/>
                      <w:lang w:val="en-US" w:eastAsia="zh-CN"/>
                    </w:rPr>
                  </w:pPr>
                  <w:r>
                    <w:rPr>
                      <w:color w:val="000000"/>
                    </w:rPr>
                    <w:t>MFT/ABC35型</w:t>
                  </w:r>
                </w:p>
              </w:tc>
              <w:tc>
                <w:tcPr>
                  <w:tcW w:w="886" w:type="dxa"/>
                  <w:tcBorders>
                    <w:tl2br w:val="nil"/>
                    <w:tr2bl w:val="nil"/>
                  </w:tcBorders>
                  <w:noWrap w:val="0"/>
                  <w:vAlign w:val="center"/>
                </w:tcPr>
                <w:p>
                  <w:pPr>
                    <w:pStyle w:val="104"/>
                    <w:bidi w:val="0"/>
                    <w:rPr>
                      <w:rFonts w:hint="eastAsia"/>
                      <w:color w:val="000000"/>
                      <w:lang w:val="en-US" w:eastAsia="zh-CN"/>
                    </w:rPr>
                  </w:pPr>
                  <w:r>
                    <w:rPr>
                      <w:color w:val="000000"/>
                    </w:rPr>
                    <w:t>台</w:t>
                  </w:r>
                </w:p>
              </w:tc>
              <w:tc>
                <w:tcPr>
                  <w:tcW w:w="864" w:type="dxa"/>
                  <w:tcBorders>
                    <w:tl2br w:val="nil"/>
                    <w:tr2bl w:val="nil"/>
                  </w:tcBorders>
                  <w:noWrap w:val="0"/>
                  <w:vAlign w:val="center"/>
                </w:tcPr>
                <w:p>
                  <w:pPr>
                    <w:pStyle w:val="104"/>
                    <w:bidi w:val="0"/>
                    <w:rPr>
                      <w:rFonts w:hint="eastAsia"/>
                      <w:color w:val="000000"/>
                      <w:lang w:val="en-US" w:eastAsia="zh-CN"/>
                    </w:rPr>
                  </w:pPr>
                  <w:r>
                    <w:rPr>
                      <w:rFonts w:hint="eastAsia"/>
                      <w:color w:val="000000"/>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341" w:hRule="atLeast"/>
                <w:jc w:val="center"/>
              </w:trPr>
              <w:tc>
                <w:tcPr>
                  <w:tcW w:w="859" w:type="dxa"/>
                  <w:tcBorders>
                    <w:tl2br w:val="nil"/>
                    <w:tr2bl w:val="nil"/>
                  </w:tcBorders>
                  <w:noWrap w:val="0"/>
                  <w:vAlign w:val="center"/>
                </w:tcPr>
                <w:p>
                  <w:pPr>
                    <w:pStyle w:val="104"/>
                    <w:bidi w:val="0"/>
                    <w:rPr>
                      <w:rFonts w:hint="default"/>
                      <w:color w:val="000000"/>
                      <w:lang w:val="en-US" w:eastAsia="zh-CN"/>
                    </w:rPr>
                  </w:pPr>
                  <w:r>
                    <w:rPr>
                      <w:rFonts w:hint="eastAsia"/>
                      <w:color w:val="000000"/>
                      <w:lang w:val="en-US" w:eastAsia="zh-CN"/>
                    </w:rPr>
                    <w:t>11</w:t>
                  </w:r>
                </w:p>
              </w:tc>
              <w:tc>
                <w:tcPr>
                  <w:tcW w:w="3164" w:type="dxa"/>
                  <w:gridSpan w:val="2"/>
                  <w:tcBorders>
                    <w:tl2br w:val="nil"/>
                    <w:tr2bl w:val="nil"/>
                  </w:tcBorders>
                  <w:noWrap w:val="0"/>
                  <w:vAlign w:val="center"/>
                </w:tcPr>
                <w:p>
                  <w:pPr>
                    <w:pStyle w:val="104"/>
                    <w:bidi w:val="0"/>
                    <w:rPr>
                      <w:rFonts w:hint="eastAsia"/>
                      <w:color w:val="000000"/>
                      <w:lang w:eastAsia="zh-CN"/>
                    </w:rPr>
                  </w:pPr>
                  <w:r>
                    <w:rPr>
                      <w:rFonts w:hint="eastAsia"/>
                      <w:color w:val="000000"/>
                      <w:lang w:eastAsia="zh-CN"/>
                    </w:rPr>
                    <w:t>控制系统</w:t>
                  </w:r>
                </w:p>
              </w:tc>
              <w:tc>
                <w:tcPr>
                  <w:tcW w:w="3125" w:type="dxa"/>
                  <w:tcBorders>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w:t>
                  </w:r>
                </w:p>
              </w:tc>
              <w:tc>
                <w:tcPr>
                  <w:tcW w:w="886" w:type="dxa"/>
                  <w:tcBorders>
                    <w:tl2br w:val="nil"/>
                    <w:tr2bl w:val="nil"/>
                  </w:tcBorders>
                  <w:noWrap w:val="0"/>
                  <w:vAlign w:val="center"/>
                </w:tcPr>
                <w:p>
                  <w:pPr>
                    <w:pStyle w:val="104"/>
                    <w:bidi w:val="0"/>
                    <w:rPr>
                      <w:rFonts w:hint="eastAsia"/>
                      <w:color w:val="000000"/>
                      <w:lang w:eastAsia="zh-CN"/>
                    </w:rPr>
                  </w:pPr>
                  <w:r>
                    <w:rPr>
                      <w:rFonts w:hint="eastAsia"/>
                      <w:color w:val="000000"/>
                      <w:lang w:eastAsia="zh-CN"/>
                    </w:rPr>
                    <w:t>套</w:t>
                  </w:r>
                </w:p>
              </w:tc>
              <w:tc>
                <w:tcPr>
                  <w:tcW w:w="864" w:type="dxa"/>
                  <w:tcBorders>
                    <w:tl2br w:val="nil"/>
                    <w:tr2bl w:val="nil"/>
                  </w:tcBorders>
                  <w:noWrap w:val="0"/>
                  <w:vAlign w:val="center"/>
                </w:tcPr>
                <w:p>
                  <w:pPr>
                    <w:pStyle w:val="104"/>
                    <w:bidi w:val="0"/>
                    <w:rPr>
                      <w:rFonts w:hint="eastAsia"/>
                      <w:color w:val="000000"/>
                      <w:lang w:val="en-US" w:eastAsia="zh-CN"/>
                    </w:rPr>
                  </w:pPr>
                  <w:r>
                    <w:rPr>
                      <w:rFonts w:hint="eastAsia"/>
                      <w:color w:val="000000"/>
                      <w:lang w:val="en-US" w:eastAsia="zh-CN"/>
                    </w:rPr>
                    <w:t>1</w:t>
                  </w:r>
                </w:p>
              </w:tc>
            </w:tr>
          </w:tbl>
          <w:p>
            <w:pPr>
              <w:keepLines/>
              <w:spacing w:line="360" w:lineRule="auto"/>
              <w:rPr>
                <w:rFonts w:eastAsiaTheme="minorEastAsia"/>
                <w:b/>
                <w:color w:val="000000"/>
                <w:kern w:val="0"/>
                <w:sz w:val="28"/>
                <w:szCs w:val="28"/>
              </w:rPr>
            </w:pPr>
            <w:r>
              <w:rPr>
                <w:rFonts w:hint="eastAsia" w:eastAsiaTheme="minorEastAsia"/>
                <w:b/>
                <w:color w:val="000000"/>
                <w:kern w:val="0"/>
                <w:sz w:val="28"/>
                <w:szCs w:val="28"/>
                <w:lang w:eastAsia="zh-CN"/>
              </w:rPr>
              <w:t>八</w:t>
            </w:r>
            <w:r>
              <w:rPr>
                <w:rFonts w:eastAsiaTheme="minorEastAsia"/>
                <w:b/>
                <w:color w:val="000000"/>
                <w:kern w:val="0"/>
                <w:sz w:val="28"/>
                <w:szCs w:val="28"/>
              </w:rPr>
              <w:t>、公用工程</w:t>
            </w:r>
          </w:p>
          <w:p>
            <w:pPr>
              <w:spacing w:line="360" w:lineRule="auto"/>
              <w:ind w:firstLine="482" w:firstLineChars="200"/>
              <w:contextualSpacing/>
              <w:rPr>
                <w:rFonts w:eastAsiaTheme="minorEastAsia"/>
                <w:b/>
                <w:bCs/>
                <w:color w:val="000000"/>
                <w:sz w:val="24"/>
              </w:rPr>
            </w:pPr>
            <w:r>
              <w:rPr>
                <w:rFonts w:hint="eastAsia" w:eastAsiaTheme="minorEastAsia"/>
                <w:b/>
                <w:bCs/>
                <w:color w:val="000000"/>
                <w:sz w:val="24"/>
              </w:rPr>
              <w:t>1、给水</w:t>
            </w:r>
          </w:p>
          <w:p>
            <w:pPr>
              <w:spacing w:line="360" w:lineRule="auto"/>
              <w:ind w:firstLine="480" w:firstLineChars="200"/>
              <w:contextualSpacing/>
              <w:rPr>
                <w:rFonts w:hint="eastAsia" w:eastAsiaTheme="minorEastAsia"/>
                <w:color w:val="000000"/>
                <w:sz w:val="24"/>
                <w:lang w:eastAsia="zh-CN"/>
              </w:rPr>
            </w:pPr>
            <w:r>
              <w:rPr>
                <w:rFonts w:hint="eastAsia" w:eastAsiaTheme="minorEastAsia"/>
                <w:color w:val="000000"/>
                <w:sz w:val="24"/>
                <w:lang w:eastAsia="zh-CN"/>
              </w:rPr>
              <w:t>加气站</w:t>
            </w:r>
            <w:r>
              <w:rPr>
                <w:rFonts w:hint="eastAsia" w:eastAsiaTheme="minorEastAsia"/>
                <w:color w:val="000000"/>
                <w:sz w:val="24"/>
              </w:rPr>
              <w:t>生产用水（用于对</w:t>
            </w:r>
            <w:r>
              <w:rPr>
                <w:rFonts w:hint="eastAsia" w:eastAsiaTheme="minorEastAsia"/>
                <w:color w:val="000000"/>
                <w:sz w:val="24"/>
                <w:lang w:eastAsia="zh-CN"/>
              </w:rPr>
              <w:t>道路、绿地浇洒用水</w:t>
            </w:r>
            <w:r>
              <w:rPr>
                <w:rFonts w:hint="eastAsia" w:eastAsiaTheme="minorEastAsia"/>
                <w:color w:val="000000"/>
                <w:sz w:val="24"/>
              </w:rPr>
              <w:t>）</w:t>
            </w:r>
            <w:r>
              <w:rPr>
                <w:rFonts w:hint="eastAsia" w:eastAsiaTheme="minorEastAsia"/>
                <w:color w:val="000000"/>
                <w:sz w:val="24"/>
                <w:lang w:eastAsia="zh-CN"/>
              </w:rPr>
              <w:t>、</w:t>
            </w:r>
            <w:r>
              <w:rPr>
                <w:rFonts w:hint="eastAsia" w:eastAsiaTheme="minorEastAsia"/>
                <w:color w:val="000000"/>
                <w:sz w:val="24"/>
              </w:rPr>
              <w:t>职工生活用水采用</w:t>
            </w:r>
            <w:r>
              <w:rPr>
                <w:rFonts w:hint="eastAsia" w:eastAsiaTheme="minorEastAsia"/>
                <w:color w:val="000000"/>
                <w:sz w:val="24"/>
                <w:lang w:eastAsia="zh-CN"/>
              </w:rPr>
              <w:t>当地山泉水。</w:t>
            </w:r>
          </w:p>
          <w:p>
            <w:pPr>
              <w:spacing w:line="360" w:lineRule="auto"/>
              <w:ind w:firstLine="482" w:firstLineChars="200"/>
              <w:contextualSpacing/>
              <w:rPr>
                <w:rFonts w:eastAsiaTheme="minorEastAsia"/>
                <w:b/>
                <w:bCs/>
                <w:color w:val="000000"/>
                <w:sz w:val="24"/>
              </w:rPr>
            </w:pPr>
            <w:r>
              <w:rPr>
                <w:rFonts w:hint="eastAsia" w:eastAsiaTheme="minorEastAsia"/>
                <w:b/>
                <w:bCs/>
                <w:color w:val="000000"/>
                <w:sz w:val="24"/>
              </w:rPr>
              <w:t>2、供电</w:t>
            </w:r>
          </w:p>
          <w:p>
            <w:pPr>
              <w:spacing w:line="360" w:lineRule="auto"/>
              <w:ind w:firstLine="480" w:firstLineChars="200"/>
              <w:contextualSpacing/>
              <w:rPr>
                <w:rFonts w:hint="eastAsia" w:eastAsiaTheme="minorEastAsia"/>
                <w:color w:val="000000"/>
                <w:sz w:val="24"/>
              </w:rPr>
            </w:pPr>
            <w:r>
              <w:rPr>
                <w:rFonts w:hint="eastAsia" w:eastAsiaTheme="minorEastAsia"/>
                <w:color w:val="000000"/>
                <w:sz w:val="24"/>
              </w:rPr>
              <w:t>本工程电源从站场外约150m市政10kV电网引入站内新安装SCB13-400-10箱式变电站降压后，通过箱变内低压配电屏为站内生产、生活等用电设备供电。</w:t>
            </w:r>
          </w:p>
          <w:p>
            <w:pPr>
              <w:spacing w:line="360" w:lineRule="auto"/>
              <w:ind w:firstLine="482" w:firstLineChars="200"/>
              <w:contextualSpacing/>
              <w:rPr>
                <w:rFonts w:eastAsiaTheme="minorEastAsia"/>
                <w:b/>
                <w:bCs/>
                <w:color w:val="000000"/>
                <w:sz w:val="24"/>
              </w:rPr>
            </w:pPr>
            <w:r>
              <w:rPr>
                <w:rFonts w:hint="eastAsia" w:eastAsiaTheme="minorEastAsia"/>
                <w:b/>
                <w:bCs/>
                <w:color w:val="000000"/>
                <w:sz w:val="24"/>
              </w:rPr>
              <w:t>3、排水</w:t>
            </w:r>
          </w:p>
          <w:p>
            <w:pPr>
              <w:spacing w:line="360" w:lineRule="auto"/>
              <w:ind w:firstLine="480" w:firstLineChars="200"/>
              <w:contextualSpacing/>
              <w:rPr>
                <w:rFonts w:hint="eastAsia" w:eastAsiaTheme="minorEastAsia"/>
                <w:color w:val="FF0000"/>
                <w:sz w:val="24"/>
                <w:lang w:eastAsia="zh-CN"/>
              </w:rPr>
            </w:pPr>
            <w:r>
              <w:rPr>
                <w:rFonts w:hint="eastAsia" w:eastAsiaTheme="minorEastAsia"/>
                <w:color w:val="000000"/>
                <w:sz w:val="24"/>
              </w:rPr>
              <w:t>本项目生产废水</w:t>
            </w:r>
            <w:r>
              <w:rPr>
                <w:rFonts w:hint="eastAsia" w:eastAsiaTheme="minorEastAsia"/>
                <w:color w:val="000000"/>
                <w:sz w:val="24"/>
                <w:lang w:eastAsia="zh-CN"/>
              </w:rPr>
              <w:t>包括道路冲洗废水，该部分废水仅含少量泥沙、机械杂质，不含有毒有害的物质</w:t>
            </w:r>
            <w:r>
              <w:rPr>
                <w:rFonts w:hint="eastAsia" w:eastAsiaTheme="minorEastAsia"/>
                <w:color w:val="000000"/>
                <w:sz w:val="24"/>
              </w:rPr>
              <w:t>，</w:t>
            </w:r>
            <w:r>
              <w:rPr>
                <w:rFonts w:hint="eastAsia" w:eastAsiaTheme="minorEastAsia"/>
                <w:color w:val="000000"/>
                <w:sz w:val="24"/>
                <w:lang w:eastAsia="zh-CN"/>
              </w:rPr>
              <w:t>故站场内道路冲洗水与站房通过排水立管引至地面散排至站外低洼处；绿地用水部分全部蒸发，不产生废水；</w:t>
            </w:r>
            <w:r>
              <w:rPr>
                <w:rFonts w:hint="eastAsia" w:eastAsiaTheme="minorEastAsia"/>
                <w:color w:val="000000" w:themeColor="text1"/>
                <w:sz w:val="24"/>
                <w14:textFill>
                  <w14:solidFill>
                    <w14:schemeClr w14:val="tx1"/>
                  </w14:solidFill>
                </w14:textFill>
              </w:rPr>
              <w:t>生活废水</w:t>
            </w:r>
            <w:r>
              <w:rPr>
                <w:rFonts w:hint="eastAsia" w:eastAsiaTheme="minorEastAsia"/>
                <w:color w:val="000000" w:themeColor="text1"/>
                <w:sz w:val="24"/>
                <w:lang w:eastAsia="zh-CN"/>
                <w14:textFill>
                  <w14:solidFill>
                    <w14:schemeClr w14:val="tx1"/>
                  </w14:solidFill>
                </w14:textFill>
              </w:rPr>
              <w:t>经</w:t>
            </w:r>
            <w:r>
              <w:rPr>
                <w:rFonts w:hint="eastAsia" w:eastAsiaTheme="minorEastAsia"/>
                <w:color w:val="000000" w:themeColor="text1"/>
                <w:sz w:val="24"/>
                <w14:textFill>
                  <w14:solidFill>
                    <w14:schemeClr w14:val="tx1"/>
                  </w14:solidFill>
                </w14:textFill>
              </w:rPr>
              <w:t>化粪池进行处理后用作农肥，不外排。</w:t>
            </w:r>
            <w:r>
              <w:rPr>
                <w:rFonts w:hint="eastAsia" w:eastAsiaTheme="minorEastAsia"/>
                <w:color w:val="000000"/>
                <w:sz w:val="24"/>
                <w:lang w:eastAsia="zh-CN"/>
              </w:rPr>
              <w:t>加气站</w:t>
            </w:r>
            <w:r>
              <w:rPr>
                <w:rFonts w:eastAsiaTheme="minorEastAsia"/>
                <w:color w:val="000000"/>
                <w:sz w:val="24"/>
              </w:rPr>
              <w:t>采用雨污分流制，</w:t>
            </w:r>
            <w:r>
              <w:rPr>
                <w:rFonts w:hint="eastAsia" w:eastAsiaTheme="minorEastAsia"/>
                <w:color w:val="000000"/>
                <w:sz w:val="24"/>
                <w:lang w:eastAsia="zh-CN"/>
              </w:rPr>
              <w:t>雨水经雨水沟排入雨水检查井，经水封井后，排至站外，未收集的雨水直接排至站外。</w:t>
            </w:r>
          </w:p>
          <w:p>
            <w:pPr>
              <w:spacing w:line="360" w:lineRule="auto"/>
              <w:ind w:firstLine="482" w:firstLineChars="200"/>
              <w:contextualSpacing/>
              <w:rPr>
                <w:rFonts w:eastAsiaTheme="minorEastAsia"/>
                <w:b/>
                <w:bCs/>
                <w:color w:val="000000"/>
                <w:sz w:val="24"/>
              </w:rPr>
            </w:pPr>
            <w:r>
              <w:rPr>
                <w:rFonts w:hint="eastAsia" w:eastAsiaTheme="minorEastAsia"/>
                <w:b/>
                <w:bCs/>
                <w:color w:val="000000"/>
                <w:sz w:val="24"/>
              </w:rPr>
              <w:t>4、消防</w:t>
            </w:r>
          </w:p>
          <w:p>
            <w:pPr>
              <w:spacing w:line="360" w:lineRule="auto"/>
              <w:ind w:firstLine="480" w:firstLineChars="200"/>
              <w:contextualSpacing/>
              <w:rPr>
                <w:rFonts w:hint="eastAsia" w:eastAsiaTheme="minorEastAsia"/>
                <w:color w:val="000000"/>
                <w:sz w:val="24"/>
                <w:lang w:eastAsia="zh-CN"/>
              </w:rPr>
            </w:pPr>
            <w:r>
              <w:rPr>
                <w:rFonts w:hint="eastAsia" w:eastAsiaTheme="minorEastAsia"/>
                <w:color w:val="000000"/>
                <w:sz w:val="24"/>
                <w:lang w:eastAsia="zh-CN"/>
              </w:rPr>
              <w:t>根据《汽车加油加气站设计与施工规范》（GB50156-2012）2014年版第10.2条相关规定，本项目可不设消防给水系统，但需按规范配置相关灭火器材。</w:t>
            </w:r>
          </w:p>
          <w:p>
            <w:pPr>
              <w:spacing w:line="360" w:lineRule="auto"/>
              <w:ind w:firstLine="480" w:firstLineChars="200"/>
              <w:contextualSpacing/>
              <w:rPr>
                <w:rFonts w:hint="eastAsia" w:eastAsiaTheme="minorEastAsia"/>
                <w:color w:val="000000"/>
                <w:sz w:val="24"/>
              </w:rPr>
            </w:pPr>
            <w:r>
              <w:rPr>
                <w:rFonts w:hint="eastAsia" w:eastAsiaTheme="minorEastAsia"/>
                <w:color w:val="000000"/>
                <w:sz w:val="24"/>
                <w:lang w:eastAsia="zh-CN"/>
              </w:rPr>
              <w:t>根据</w:t>
            </w:r>
            <w:r>
              <w:rPr>
                <w:rFonts w:hint="eastAsia" w:eastAsiaTheme="minorEastAsia"/>
                <w:color w:val="000000"/>
                <w:sz w:val="24"/>
              </w:rPr>
              <w:t>《液化天然气(LNG)汽车加气站技术规范》（NB/T 1001-2011）中</w:t>
            </w:r>
            <w:r>
              <w:rPr>
                <w:rFonts w:hint="eastAsia" w:eastAsiaTheme="minorEastAsia"/>
                <w:color w:val="000000"/>
                <w:sz w:val="24"/>
                <w:lang w:val="en-US" w:eastAsia="zh-CN"/>
              </w:rPr>
              <w:t>7.1加气站灭火器材设置</w:t>
            </w:r>
            <w:r>
              <w:rPr>
                <w:rFonts w:hint="eastAsia" w:eastAsiaTheme="minorEastAsia"/>
                <w:color w:val="000000"/>
                <w:sz w:val="24"/>
              </w:rPr>
              <w:t>规定，加气站工艺设备应配置灭火器材，并应符合下列规定：</w:t>
            </w:r>
          </w:p>
          <w:p>
            <w:pPr>
              <w:spacing w:line="360" w:lineRule="auto"/>
              <w:ind w:firstLine="480" w:firstLineChars="200"/>
              <w:contextualSpacing/>
              <w:rPr>
                <w:rFonts w:hint="default" w:eastAsiaTheme="minorEastAsia"/>
                <w:color w:val="000000"/>
                <w:sz w:val="24"/>
                <w:lang w:val="en-US" w:eastAsia="zh-CN"/>
              </w:rPr>
            </w:pPr>
            <w:r>
              <w:rPr>
                <w:rFonts w:hint="eastAsia" w:eastAsiaTheme="minorEastAsia"/>
                <w:color w:val="000000"/>
                <w:sz w:val="24"/>
              </w:rPr>
              <w:t>①每</w:t>
            </w:r>
            <w:r>
              <w:rPr>
                <w:rFonts w:hint="eastAsia" w:eastAsiaTheme="minorEastAsia"/>
                <w:color w:val="000000"/>
                <w:sz w:val="24"/>
                <w:lang w:eastAsia="zh-CN"/>
              </w:rPr>
              <w:t>台加气机、储罐应设置不少于</w:t>
            </w:r>
            <w:r>
              <w:rPr>
                <w:rFonts w:hint="eastAsia" w:eastAsiaTheme="minorEastAsia"/>
                <w:color w:val="000000"/>
                <w:sz w:val="24"/>
                <w:lang w:val="en-US" w:eastAsia="zh-CN"/>
              </w:rPr>
              <w:t>2只4kg的干粉灭火器。</w:t>
            </w:r>
          </w:p>
          <w:p>
            <w:pPr>
              <w:spacing w:line="360" w:lineRule="auto"/>
              <w:ind w:firstLine="480" w:firstLineChars="200"/>
              <w:contextualSpacing/>
              <w:rPr>
                <w:rFonts w:hint="default" w:eastAsiaTheme="minorEastAsia"/>
                <w:color w:val="000000"/>
                <w:sz w:val="24"/>
                <w:lang w:val="en-US" w:eastAsia="zh-CN"/>
              </w:rPr>
            </w:pPr>
            <w:r>
              <w:rPr>
                <w:rFonts w:hint="eastAsia" w:eastAsiaTheme="minorEastAsia"/>
                <w:color w:val="000000"/>
                <w:sz w:val="24"/>
              </w:rPr>
              <w:t>②</w:t>
            </w:r>
            <w:r>
              <w:rPr>
                <w:rFonts w:hint="eastAsia" w:eastAsiaTheme="minorEastAsia"/>
                <w:color w:val="000000"/>
                <w:sz w:val="24"/>
                <w:lang w:val="en-US" w:eastAsia="zh-CN"/>
              </w:rPr>
              <w:t>LNG加气站内应配置2台35kg推车式干粉灭火器，当两种介质储罐之间的距离超过15m时，应分别设置。</w:t>
            </w:r>
          </w:p>
          <w:p>
            <w:pPr>
              <w:spacing w:line="360" w:lineRule="auto"/>
              <w:ind w:firstLine="480" w:firstLineChars="200"/>
              <w:contextualSpacing/>
              <w:rPr>
                <w:rFonts w:hint="default" w:eastAsiaTheme="minorEastAsia"/>
                <w:color w:val="000000"/>
                <w:sz w:val="24"/>
                <w:lang w:val="en-US" w:eastAsia="zh-CN"/>
              </w:rPr>
            </w:pPr>
            <w:r>
              <w:rPr>
                <w:rFonts w:hint="eastAsia" w:eastAsiaTheme="minorEastAsia"/>
                <w:color w:val="000000"/>
                <w:sz w:val="24"/>
                <w:lang w:val="en-US" w:eastAsia="zh-CN"/>
              </w:rPr>
              <w:t>③建筑物的灭火器材配置应符合现行国家标准《建筑灭火器设置设计规范》GB50140的规定。</w:t>
            </w:r>
          </w:p>
          <w:p>
            <w:pPr>
              <w:spacing w:line="360" w:lineRule="auto"/>
              <w:ind w:firstLine="480" w:firstLineChars="200"/>
              <w:contextualSpacing/>
              <w:rPr>
                <w:rFonts w:hint="eastAsia" w:eastAsiaTheme="minorEastAsia"/>
                <w:color w:val="000000"/>
                <w:sz w:val="24"/>
                <w:lang w:val="en-US" w:eastAsia="zh-CN"/>
              </w:rPr>
            </w:pPr>
            <w:r>
              <w:rPr>
                <w:rFonts w:hint="eastAsia" w:eastAsiaTheme="minorEastAsia"/>
                <w:color w:val="000000"/>
                <w:sz w:val="24"/>
                <w:lang w:val="en-US" w:eastAsia="zh-CN"/>
              </w:rPr>
              <w:t>其余建筑的灭火器配置，应符合现行国家标准《建筑灭火器配置设计规范》（GB 50140）的有关规定。</w:t>
            </w:r>
          </w:p>
          <w:p>
            <w:pPr>
              <w:spacing w:line="360" w:lineRule="auto"/>
              <w:ind w:firstLine="480" w:firstLineChars="200"/>
              <w:contextualSpacing/>
              <w:rPr>
                <w:rFonts w:hint="eastAsia" w:eastAsiaTheme="minorEastAsia"/>
                <w:color w:val="000000"/>
                <w:sz w:val="24"/>
                <w:lang w:val="en-US" w:eastAsia="zh-CN"/>
              </w:rPr>
            </w:pPr>
            <w:r>
              <w:rPr>
                <w:rFonts w:hint="eastAsia" w:eastAsiaTheme="minorEastAsia"/>
                <w:color w:val="000000"/>
                <w:sz w:val="24"/>
                <w:lang w:val="en-US" w:eastAsia="zh-CN"/>
              </w:rPr>
              <w:t>加气站站区内各建筑物，按其面积及火灾危险性类别以确定配置灭火器的数量。根据项目设计资料，本项目总共设置20具干粉灭火器，消防器材的配备满足《建筑灭火器配置设计规范》（GB50140-2005）、液化天然气(LNG)汽车加气站技术规范》（NB/T 1001-2011）等规范要求。</w:t>
            </w:r>
          </w:p>
          <w:p>
            <w:pPr>
              <w:spacing w:line="360" w:lineRule="auto"/>
              <w:ind w:firstLine="482" w:firstLineChars="200"/>
              <w:contextualSpacing/>
              <w:rPr>
                <w:rFonts w:hint="eastAsia" w:eastAsiaTheme="minorEastAsia"/>
                <w:b/>
                <w:bCs/>
                <w:color w:val="000000"/>
                <w:sz w:val="24"/>
                <w:lang w:val="en-US" w:eastAsia="zh-CN"/>
              </w:rPr>
            </w:pPr>
            <w:r>
              <w:rPr>
                <w:rFonts w:hint="eastAsia" w:eastAsiaTheme="minorEastAsia"/>
                <w:b/>
                <w:bCs/>
                <w:color w:val="000000"/>
                <w:sz w:val="24"/>
                <w:lang w:val="en-US" w:eastAsia="zh-CN"/>
              </w:rPr>
              <w:t>5、防雷、防静电及接地保护</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根据《汽车加油加气站设计与施工规范》（GB 50156-2012）2014年版和《建筑物防雷设计规范》（GB50057-2010）的相关规定，本工程防爆区域内的建、构筑物及设备按“二类”防雷设计；非防爆区域内的站房经计算年预计雷击次数为0.018次/a，按“三类”防雷设计。</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防直击雷的外部防雷装置：</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（1）接闪器</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建筑物采用屋顶避雷带作接闪器，避雷带（网）采用-25×4热镀锌扁钢暗设。</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加气罩棚利用金属屋面作为接闪器（彩钢板厚度≥0.5mm）。</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根据土建提供基础高度与设备本身高度，经计算LNG泵撬在放散管保护范围之内可不再做防雷设计。</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（2）引下线</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利用建构筑物钢柱、钢筋混凝土柱或钢筋混凝土构造柱作引下线。</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（3）共用接地系统</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站场中的防雷接地、防静电接地、电气接地以及信息接地共用一套接地装置，组成共用接地系统</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防闪电感应：</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站场内的设备、管道、构架、电缆金属外皮、钢屋架、保护钢管、钢窗等较大金属物和突出屋面的水管及风管等金属物，均应就近接至防直击雷接地装置或电气设备的保护接地装置上，以防雷电感应。</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防闪电电涌侵入：</w:t>
            </w:r>
          </w:p>
          <w:p>
            <w:pPr>
              <w:spacing w:line="360" w:lineRule="auto"/>
              <w:ind w:firstLine="480" w:firstLineChars="200"/>
              <w:contextualSpacing/>
              <w:rPr>
                <w:rFonts w:hint="eastAsia" w:eastAsiaTheme="minorEastAsia"/>
                <w:b w:val="0"/>
                <w:bCs w:val="0"/>
                <w:color w:val="000000"/>
                <w:sz w:val="24"/>
                <w:lang w:val="en-US" w:eastAsia="zh-CN"/>
              </w:rPr>
            </w:pPr>
            <w:bookmarkStart w:id="2" w:name="_Toc245205487"/>
            <w:bookmarkStart w:id="3" w:name="_Toc245205382"/>
            <w:r>
              <w:rPr>
                <w:rFonts w:hint="eastAsia" w:eastAsiaTheme="minorEastAsia"/>
                <w:b w:val="0"/>
                <w:bCs w:val="0"/>
                <w:color w:val="000000"/>
                <w:sz w:val="24"/>
                <w:lang w:val="en-US" w:eastAsia="zh-CN"/>
              </w:rPr>
              <w:t>1）埋地或地沟内的金属管道，在进出建筑物处，应与共用接地系统相连。</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2）为防止或减小因雷电波侵入时对站内设施的破坏，在电源引入的箱变低压侧母线上装设过电压浪涌保护器进行一级保护，在配电箱进线端安装过电压浪涌保护器进行二级保护；信息系统设备电源前端加装防浪涌保护器进行三级保护。</w:t>
            </w:r>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3）通讯线路入户端设置与之电压水平相适应的过电压保护装置。</w:t>
            </w:r>
            <w:bookmarkEnd w:id="2"/>
            <w:bookmarkEnd w:id="3"/>
          </w:p>
          <w:p>
            <w:pPr>
              <w:spacing w:line="360" w:lineRule="auto"/>
              <w:ind w:firstLine="480" w:firstLineChars="200"/>
              <w:contextualSpacing/>
              <w:rPr>
                <w:rFonts w:hint="eastAsia" w:eastAsiaTheme="minorEastAsia"/>
                <w:b w:val="0"/>
                <w:bCs w:val="0"/>
                <w:color w:val="000000"/>
                <w:sz w:val="24"/>
                <w:lang w:val="en-US" w:eastAsia="zh-CN"/>
              </w:rPr>
            </w:pPr>
            <w:r>
              <w:rPr>
                <w:rFonts w:hint="eastAsia" w:eastAsiaTheme="minorEastAsia"/>
                <w:b w:val="0"/>
                <w:bCs w:val="0"/>
                <w:color w:val="000000"/>
                <w:sz w:val="24"/>
                <w:lang w:val="en-US" w:eastAsia="zh-CN"/>
              </w:rPr>
              <w:t>防静电：</w:t>
            </w:r>
          </w:p>
          <w:p>
            <w:pPr>
              <w:pStyle w:val="97"/>
              <w:bidi w:val="0"/>
              <w:rPr>
                <w:rFonts w:hint="eastAsia"/>
                <w:color w:val="000000"/>
                <w:lang w:val="en-US" w:eastAsia="zh-CN"/>
              </w:rPr>
            </w:pPr>
            <w:r>
              <w:rPr>
                <w:rFonts w:hint="eastAsia"/>
                <w:color w:val="000000"/>
                <w:lang w:val="en-US" w:eastAsia="zh-CN"/>
              </w:rPr>
              <w:t>本工程的金属导体与防雷接地、电气保护接地（零）、信息系统接地等接地系统相连，即采用共用接地系统，可不设置专用的防静电接地装置。在卸车区和加气区设置静电接地报警仪。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jc w:val="center"/>
        </w:trPr>
        <w:tc>
          <w:tcPr>
            <w:tcW w:w="9772" w:type="dxa"/>
            <w:gridSpan w:val="7"/>
            <w:shd w:val="clear" w:color="auto" w:fill="FFFFFF"/>
          </w:tcPr>
          <w:p>
            <w:pPr>
              <w:pStyle w:val="97"/>
              <w:bidi w:val="0"/>
              <w:ind w:left="0" w:leftChars="0" w:firstLine="0" w:firstLineChars="0"/>
              <w:jc w:val="left"/>
              <w:rPr>
                <w:rFonts w:hint="eastAsia"/>
                <w:color w:val="000000"/>
                <w:sz w:val="28"/>
                <w:szCs w:val="21"/>
                <w:lang w:val="en-US" w:eastAsia="zh-CN"/>
              </w:rPr>
            </w:pPr>
            <w:r>
              <w:rPr>
                <w:rFonts w:hint="eastAsia"/>
                <w:b/>
                <w:bCs/>
                <w:color w:val="000000"/>
                <w:sz w:val="28"/>
                <w:szCs w:val="21"/>
                <w:lang w:val="en-US" w:eastAsia="zh-CN"/>
              </w:rPr>
              <w:t>与本项目有关的原有污染情况及存在的主要环境问题：</w:t>
            </w:r>
          </w:p>
          <w:p>
            <w:pPr>
              <w:pStyle w:val="97"/>
              <w:bidi w:val="0"/>
              <w:rPr>
                <w:rFonts w:hint="eastAsia"/>
                <w:color w:val="000000"/>
                <w:lang w:val="en-US" w:eastAsia="zh-CN"/>
              </w:rPr>
            </w:pPr>
            <w:r>
              <w:rPr>
                <w:rFonts w:hint="eastAsia"/>
                <w:color w:val="000000"/>
                <w:lang w:val="en-US" w:eastAsia="zh-CN"/>
              </w:rPr>
              <w:t>本项目属于新建项目，位于乐山市峨边彝族自治县新场乡长虹村2组进行建设，根据现场踏勘，项目建址紧靠国道245，各类施工物资进出场方便，地理位置优越，交通便利地块使用性质为商业服务业设施用地。本项目选址周围现状主要为林地和耕地（旱地），无居民建筑和工业厂房。因此该建设地无遗留环境问题。</w:t>
            </w:r>
          </w:p>
        </w:tc>
      </w:tr>
    </w:tbl>
    <w:p>
      <w:pPr>
        <w:spacing w:line="360" w:lineRule="auto"/>
        <w:rPr>
          <w:rFonts w:eastAsiaTheme="minorEastAsia"/>
          <w:b/>
          <w:sz w:val="28"/>
          <w:szCs w:val="28"/>
        </w:rPr>
        <w:sectPr>
          <w:pgSz w:w="11906" w:h="16838"/>
          <w:pgMar w:top="1588" w:right="1418" w:bottom="1418" w:left="1418" w:header="851" w:footer="992" w:gutter="0"/>
          <w:pgNumType w:start="1"/>
          <w:cols w:space="720" w:num="1"/>
          <w:titlePg/>
          <w:docGrid w:type="lines" w:linePitch="312" w:charSpace="0"/>
        </w:sectPr>
      </w:pPr>
    </w:p>
    <w:p>
      <w:pPr>
        <w:pStyle w:val="4"/>
        <w:spacing w:before="0" w:after="0" w:line="240" w:lineRule="auto"/>
        <w:rPr>
          <w:rFonts w:ascii="Times New Roman" w:hAnsi="Times New Roman" w:eastAsiaTheme="minorEastAsia"/>
          <w:sz w:val="30"/>
          <w:szCs w:val="30"/>
        </w:rPr>
      </w:pPr>
      <w:bookmarkStart w:id="4" w:name="_Toc165893201"/>
      <w:r>
        <w:rPr>
          <w:rFonts w:ascii="Times New Roman" w:hAnsi="Times New Roman" w:eastAsiaTheme="minorEastAsia"/>
        </w:rPr>
        <w:t>建设项目所在地自然环境简况</w:t>
      </w:r>
      <w:bookmarkEnd w:id="4"/>
      <w:r>
        <w:rPr>
          <w:rFonts w:ascii="Times New Roman" w:hAnsi="Times New Roman" w:eastAsiaTheme="minorEastAsia"/>
        </w:rPr>
        <w:t xml:space="preserve">                      （表二）</w:t>
      </w:r>
    </w:p>
    <w:tbl>
      <w:tblPr>
        <w:tblStyle w:val="2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36" w:hRule="atLeast"/>
        </w:trPr>
        <w:tc>
          <w:tcPr>
            <w:tcW w:w="9322" w:type="dxa"/>
            <w:tcBorders>
              <w:top w:val="single" w:color="auto" w:sz="6" w:space="0"/>
              <w:left w:val="single" w:color="auto" w:sz="6" w:space="0"/>
              <w:bottom w:val="single" w:color="auto" w:sz="6" w:space="0"/>
              <w:right w:val="single" w:color="auto" w:sz="6" w:space="0"/>
            </w:tcBorders>
          </w:tcPr>
          <w:p>
            <w:pPr>
              <w:spacing w:line="360" w:lineRule="auto"/>
              <w:rPr>
                <w:rFonts w:eastAsiaTheme="minorEastAsia"/>
                <w:b/>
                <w:sz w:val="28"/>
                <w:szCs w:val="28"/>
              </w:rPr>
            </w:pPr>
            <w:r>
              <w:rPr>
                <w:rFonts w:eastAsiaTheme="minorEastAsia"/>
                <w:b/>
                <w:sz w:val="28"/>
                <w:szCs w:val="28"/>
              </w:rPr>
              <w:t>一、自然环境简况</w:t>
            </w:r>
          </w:p>
          <w:p>
            <w:pPr>
              <w:tabs>
                <w:tab w:val="left" w:pos="4260"/>
              </w:tabs>
              <w:snapToGrid w:val="0"/>
              <w:spacing w:line="360" w:lineRule="auto"/>
              <w:ind w:firstLine="482" w:firstLineChars="200"/>
              <w:rPr>
                <w:rFonts w:eastAsiaTheme="minorEastAsia"/>
                <w:b/>
                <w:iCs/>
                <w:sz w:val="24"/>
                <w:szCs w:val="28"/>
              </w:rPr>
            </w:pPr>
            <w:r>
              <w:rPr>
                <w:rFonts w:eastAsiaTheme="minorEastAsia"/>
                <w:b/>
                <w:iCs/>
                <w:sz w:val="24"/>
                <w:szCs w:val="28"/>
              </w:rPr>
              <w:t>1、地理位置</w:t>
            </w:r>
          </w:p>
          <w:p>
            <w:pPr>
              <w:tabs>
                <w:tab w:val="left" w:pos="4260"/>
              </w:tabs>
              <w:snapToGrid w:val="0"/>
              <w:spacing w:line="360" w:lineRule="auto"/>
              <w:ind w:firstLine="480" w:firstLineChars="200"/>
              <w:rPr>
                <w:rFonts w:eastAsiaTheme="minorEastAsia"/>
                <w:sz w:val="24"/>
              </w:rPr>
            </w:pPr>
            <w:r>
              <w:rPr>
                <w:rFonts w:eastAsiaTheme="minorEastAsia"/>
                <w:sz w:val="24"/>
              </w:rPr>
              <w:t>峨边彝族自治县隶属于四川省乐山市，位于四川省西南部的小凉山区，与佛教圣地峨眉山毗邻。县城沙坪镇介于东经103°15′至103°33′，北纬29°15′之间。东西宽56千米，南北长73千米，全县幅员面积2395.5平方千米。成（都）昆（明）铁路横越县城，G246线穿过县境，距乐山大佛108千米，是通往大凉山的门户。</w:t>
            </w:r>
            <w:r>
              <w:rPr>
                <w:rFonts w:hint="eastAsia" w:eastAsiaTheme="minorEastAsia"/>
                <w:sz w:val="24"/>
              </w:rPr>
              <w:t>新场乡是峨边的“北大门”，与峨眉山市大为镇接壤，距县城12公里，</w:t>
            </w:r>
            <w:r>
              <w:rPr>
                <w:rFonts w:eastAsiaTheme="minorEastAsia"/>
                <w:sz w:val="24"/>
              </w:rPr>
              <w:t>G246</w:t>
            </w:r>
            <w:r>
              <w:rPr>
                <w:rFonts w:hint="eastAsia" w:eastAsiaTheme="minorEastAsia"/>
                <w:sz w:val="24"/>
              </w:rPr>
              <w:t>线横贯乡境内，四面皆山，高、中、低山气候自然分明，海拔400～1500米。全乡幅员面积47.08平方千米，辖6个村：新凤村，庞沟村，桃花村，星星村，羊子岩村，长虹村。</w:t>
            </w:r>
          </w:p>
          <w:p>
            <w:pPr>
              <w:tabs>
                <w:tab w:val="left" w:pos="4260"/>
              </w:tabs>
              <w:snapToGrid w:val="0"/>
              <w:spacing w:line="360" w:lineRule="auto"/>
              <w:ind w:firstLine="480" w:firstLineChars="200"/>
              <w:rPr>
                <w:rFonts w:eastAsiaTheme="minorEastAsia"/>
                <w:color w:val="FF0000"/>
                <w:sz w:val="24"/>
              </w:rPr>
            </w:pPr>
            <w:r>
              <w:rPr>
                <w:rFonts w:hint="eastAsia" w:eastAsiaTheme="minorEastAsia"/>
                <w:sz w:val="24"/>
              </w:rPr>
              <w:t>本项目建设地点位于峨边彝族自治县新场乡</w:t>
            </w:r>
            <w:r>
              <w:rPr>
                <w:rFonts w:hint="eastAsia" w:eastAsiaTheme="minorEastAsia"/>
                <w:sz w:val="24"/>
                <w:lang w:eastAsia="zh-CN"/>
              </w:rPr>
              <w:t>长虹</w:t>
            </w:r>
            <w:r>
              <w:rPr>
                <w:rFonts w:hint="eastAsia" w:eastAsiaTheme="minorEastAsia"/>
                <w:sz w:val="24"/>
              </w:rPr>
              <w:t>村，</w:t>
            </w:r>
            <w:r>
              <w:rPr>
                <w:rFonts w:hint="eastAsia" w:eastAsiaTheme="minorEastAsia"/>
                <w:color w:val="auto"/>
                <w:sz w:val="24"/>
              </w:rPr>
              <w:t>项目地理位置图见附图1</w:t>
            </w:r>
            <w:r>
              <w:rPr>
                <w:rFonts w:eastAsiaTheme="minorEastAsia"/>
                <w:color w:val="auto"/>
                <w:sz w:val="24"/>
              </w:rPr>
              <w:t>。</w:t>
            </w:r>
          </w:p>
          <w:p>
            <w:pPr>
              <w:snapToGrid w:val="0"/>
              <w:spacing w:line="360" w:lineRule="auto"/>
              <w:ind w:firstLine="482" w:firstLineChars="200"/>
              <w:rPr>
                <w:rFonts w:eastAsiaTheme="minorEastAsia"/>
                <w:b/>
                <w:bCs/>
                <w:sz w:val="24"/>
                <w:szCs w:val="28"/>
              </w:rPr>
            </w:pPr>
            <w:r>
              <w:rPr>
                <w:rFonts w:eastAsiaTheme="minorEastAsia"/>
                <w:b/>
                <w:bCs/>
                <w:sz w:val="24"/>
                <w:szCs w:val="28"/>
              </w:rPr>
              <w:t>2、地形、地貌</w:t>
            </w:r>
          </w:p>
          <w:p>
            <w:pPr>
              <w:snapToGrid w:val="0"/>
              <w:spacing w:line="360" w:lineRule="auto"/>
              <w:ind w:firstLine="480" w:firstLineChars="200"/>
              <w:rPr>
                <w:rFonts w:eastAsiaTheme="minorEastAsia"/>
                <w:sz w:val="24"/>
              </w:rPr>
            </w:pPr>
            <w:r>
              <w:rPr>
                <w:rFonts w:hint="eastAsia" w:eastAsiaTheme="minorEastAsia"/>
                <w:sz w:val="24"/>
              </w:rPr>
              <w:t>峨边彝族自治县地处四川盆地与云贵高原的过渡地带，境内群山耸峙、山峦重叠、沟壑纵横、高差悬殊，最高马鞍山主峰海拔4288米，最低海拔469米。相对高差悬殊达3800米，形成西南高东北低逐渐倾斜地势。峨边是典型的大山区，境内峻岭崇山，绵延起伏，多彩多姿。全县群山大体呈平行排列的南北纵向分布。海拔3000－4000米以上的高峰共有19座，集中分布于县域西南，东北部虽也是山峦密布，但因地势偏低，山峰高度均在3000米以下。</w:t>
            </w:r>
          </w:p>
          <w:p>
            <w:pPr>
              <w:spacing w:line="360" w:lineRule="auto"/>
              <w:ind w:firstLine="480"/>
              <w:rPr>
                <w:rFonts w:eastAsiaTheme="minorEastAsia"/>
                <w:b/>
                <w:bCs/>
                <w:sz w:val="24"/>
                <w:szCs w:val="28"/>
              </w:rPr>
            </w:pPr>
            <w:r>
              <w:rPr>
                <w:rFonts w:hint="eastAsia" w:eastAsiaTheme="minorEastAsia"/>
                <w:b/>
                <w:bCs/>
                <w:sz w:val="24"/>
                <w:szCs w:val="28"/>
                <w:lang w:val="en-US" w:eastAsia="zh-CN"/>
              </w:rPr>
              <w:t>3</w:t>
            </w:r>
            <w:r>
              <w:rPr>
                <w:rFonts w:hint="eastAsia" w:eastAsiaTheme="minorEastAsia"/>
                <w:b/>
                <w:bCs/>
                <w:sz w:val="24"/>
                <w:szCs w:val="28"/>
              </w:rPr>
              <w:t>、水文特征</w:t>
            </w:r>
          </w:p>
          <w:p>
            <w:pPr>
              <w:spacing w:line="360" w:lineRule="auto"/>
              <w:ind w:firstLine="480"/>
              <w:rPr>
                <w:rFonts w:eastAsiaTheme="minorEastAsia"/>
                <w:bCs/>
                <w:sz w:val="24"/>
                <w:szCs w:val="28"/>
              </w:rPr>
            </w:pPr>
            <w:r>
              <w:rPr>
                <w:rFonts w:hint="eastAsia" w:eastAsiaTheme="minorEastAsia"/>
                <w:bCs/>
                <w:sz w:val="24"/>
                <w:szCs w:val="28"/>
              </w:rPr>
              <w:t>峨边彝族自治县河流均属大渡河水系，全县有大小河流42条，其中官料河、长滩河、西河、白沙河等河流流域面积大，流域内植被良好、水量丰沛，径流稳定，河床落差大。本项目所在地表水系为大渡河水系。</w:t>
            </w:r>
          </w:p>
          <w:p>
            <w:pPr>
              <w:spacing w:line="360" w:lineRule="auto"/>
              <w:ind w:firstLine="480"/>
              <w:rPr>
                <w:rFonts w:eastAsiaTheme="minorEastAsia"/>
                <w:bCs/>
                <w:sz w:val="24"/>
                <w:szCs w:val="28"/>
              </w:rPr>
            </w:pPr>
            <w:r>
              <w:rPr>
                <w:rFonts w:hint="eastAsia" w:eastAsiaTheme="minorEastAsia"/>
                <w:bCs/>
                <w:sz w:val="24"/>
                <w:szCs w:val="28"/>
              </w:rPr>
              <w:t>大渡河是岷江最大支流，发源于青海省果洛山东南麓，分东、西两源，东源为足木足河，西源为绰斯甲河，以东源为主源。东、西两源于双江口汇合后，向南流经金川、丹巴、泸定，于石棉折向东流，再经汉源、峨边、沙湾等城镇，在乐山市中区草鞋渡纳青衣江后，于乐山市城南注入岷江。大渡河干流全长1062km，四川省境内长852km。天然落差4175m，四川省境内2788m。流域面积7.74万km</w:t>
            </w:r>
            <w:r>
              <w:rPr>
                <w:rFonts w:hint="eastAsia" w:eastAsiaTheme="minorEastAsia"/>
                <w:bCs/>
                <w:sz w:val="24"/>
                <w:szCs w:val="28"/>
                <w:vertAlign w:val="superscript"/>
              </w:rPr>
              <w:t>2</w:t>
            </w:r>
            <w:r>
              <w:rPr>
                <w:rFonts w:hint="eastAsia" w:eastAsiaTheme="minorEastAsia"/>
                <w:bCs/>
                <w:sz w:val="24"/>
                <w:szCs w:val="28"/>
              </w:rPr>
              <w:t>，其中四川省境内6.80万km</w:t>
            </w:r>
            <w:r>
              <w:rPr>
                <w:rFonts w:hint="eastAsia" w:eastAsiaTheme="minorEastAsia"/>
                <w:bCs/>
                <w:sz w:val="24"/>
                <w:szCs w:val="28"/>
                <w:vertAlign w:val="superscript"/>
              </w:rPr>
              <w:t>2</w:t>
            </w:r>
            <w:r>
              <w:rPr>
                <w:rFonts w:hint="eastAsia" w:eastAsiaTheme="minorEastAsia"/>
                <w:bCs/>
                <w:sz w:val="24"/>
                <w:szCs w:val="28"/>
              </w:rPr>
              <w:t>，占全流域面积的91.5％。</w:t>
            </w:r>
          </w:p>
          <w:p>
            <w:pPr>
              <w:spacing w:line="360" w:lineRule="auto"/>
              <w:ind w:firstLine="480"/>
              <w:rPr>
                <w:rFonts w:eastAsiaTheme="minorEastAsia"/>
                <w:b/>
                <w:bCs/>
                <w:sz w:val="24"/>
                <w:szCs w:val="28"/>
              </w:rPr>
            </w:pPr>
            <w:r>
              <w:rPr>
                <w:rFonts w:hint="eastAsia" w:eastAsiaTheme="minorEastAsia"/>
                <w:b/>
                <w:bCs/>
                <w:sz w:val="24"/>
                <w:szCs w:val="28"/>
                <w:lang w:val="en-US" w:eastAsia="zh-CN"/>
              </w:rPr>
              <w:t>4</w:t>
            </w:r>
            <w:r>
              <w:rPr>
                <w:rFonts w:eastAsiaTheme="minorEastAsia"/>
                <w:b/>
                <w:bCs/>
                <w:sz w:val="24"/>
                <w:szCs w:val="28"/>
              </w:rPr>
              <w:t>、气候、气象</w:t>
            </w:r>
          </w:p>
          <w:p>
            <w:pPr>
              <w:spacing w:line="360" w:lineRule="auto"/>
              <w:ind w:firstLine="480"/>
              <w:rPr>
                <w:rFonts w:eastAsiaTheme="minorEastAsia"/>
                <w:kern w:val="0"/>
                <w:sz w:val="24"/>
              </w:rPr>
            </w:pPr>
            <w:r>
              <w:rPr>
                <w:rFonts w:hint="eastAsia" w:eastAsiaTheme="minorEastAsia"/>
                <w:kern w:val="0"/>
                <w:sz w:val="24"/>
              </w:rPr>
              <w:t>项目所处区域属四川盆地亚热带湿润性季风气候为主，全年气候四季分明，阴湿多雨，具有云雾多、湿度大、积湿高、日照少、霜期短的气候特点。全年最高气温38℃左右，最低为-1～-2℃，平均气温为17.2℃。区内雨量充沛但四季分配不均，暴雨集中于七～九月并多雷暴，日最大降雨量110.7mm，最大降雨量为8月，近10年单日最大降雨量达474.00mm，年降雨量1344～1350mm，年蒸发量约600mm，年平均相对湿度80%，年日照约1200小时。春秋气温起伏较大，少风且风速不大。全年均可开展采矿工作。</w:t>
            </w:r>
          </w:p>
          <w:p>
            <w:pPr>
              <w:widowControl/>
              <w:shd w:val="clear" w:color="auto" w:fill="FFFFFF"/>
              <w:spacing w:line="360" w:lineRule="auto"/>
              <w:ind w:firstLine="482" w:firstLineChars="200"/>
              <w:rPr>
                <w:rFonts w:eastAsiaTheme="minorEastAsia"/>
                <w:color w:val="000000"/>
                <w:kern w:val="0"/>
                <w:sz w:val="27"/>
                <w:szCs w:val="27"/>
              </w:rPr>
            </w:pPr>
            <w:bookmarkStart w:id="5" w:name="_Toc210982121"/>
            <w:bookmarkStart w:id="6" w:name="_Toc210022663"/>
            <w:bookmarkStart w:id="7" w:name="_Toc336352006"/>
            <w:bookmarkStart w:id="8" w:name="_Toc340965247"/>
            <w:bookmarkStart w:id="9" w:name="_Toc280613344"/>
            <w:r>
              <w:rPr>
                <w:rFonts w:hint="eastAsia" w:eastAsiaTheme="minorEastAsia"/>
                <w:b/>
                <w:bCs/>
                <w:sz w:val="24"/>
                <w:szCs w:val="28"/>
                <w:lang w:val="en-US" w:eastAsia="zh-CN"/>
              </w:rPr>
              <w:t>5</w:t>
            </w:r>
            <w:r>
              <w:rPr>
                <w:rFonts w:eastAsiaTheme="minorEastAsia"/>
                <w:b/>
                <w:bCs/>
                <w:sz w:val="24"/>
                <w:szCs w:val="28"/>
              </w:rPr>
              <w:t>、动植物</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峨边彝族自治县森林植被属于亚热带常绿阔叶林区，川东盆地偏湿性常绿阔叶林亚带，全县森林覆盖率为77%，河源地区森林覆盖率达62.2%。由于受山地地形制约，形成了相应的山地生物垂直带，植被垂直带谱明显，由低到高依次为：海拔1300～2000m，为亚热带常绿阔叶林带；海拔2000～2400m，为针阔叶林混交林带；海拔2400～3700m，为暗针叶林带；海拔3700以上，为高山灌丛和草甸带。</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峨边彝族自治县有林草地面积25.09万公顷，占全县总面积的37.1%，天然草场面积33.44万公顷，占全县总面积的49.4%。</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据调查，峨边彝族自治县树种包括针叶树种、阔叶树种、灌木树种及经济树种。其中针叶树种主要包括松科的云杉属、冷杉属、铁杉属、落叶松属、松属，柏科的侧柏属，树种有云杉、巴山冷杉、苍山冷杉、云南铁杉、红杉、云南松、高山松和侧柏等；阔叶乔木树种主要包括杨柳科、壳斗科、桦木科的山杨、川杨、青杨、刺叶栎、细叶青冈和红桦等；灌木树种主要有枸子木、三颗针、野蔷薇和杜鹃等。全县主要草种有高山寒草、高山早熟禾、珠牙蓼、黑花苔草、羊茅、披碱草等，主要分布在海拔3700m以上的高山宽谷、缓坡和小型台地。</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国家珍稀保护的野生动物如大熊猫、羚羊、豹、小熊猫、黑熊、岩羊等均分布在黑竹沟自然保护区、黑竹沟风景名胜区和黑竹沟森林公园内的高海拔林区，不受工程建设的影响。</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项目区具有气候温和、四季分明、无霜期长、雨热同季的特点，属亚热带湿润季风气候。区内植被条件较好，植被覆盖率约为50.6%。</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项目区内主要栽种人工栽植人工林以杉树为主，郁闭度为14.2%，为疏林地；灌木丛有窄叶珍珠、胡颓子、金丝桃、马桑、黄荆等，草本主要有蕨类、火绒草、草莓、金茅、白三叶草等，覆盖率达36.4%左右。</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项目区天然森林植被遭受一定的破坏，目前为次生天然林，主要以青杠、杉树、松树为主，郁闭度0.21；林下植被冷蕨类、铁芒箕、丝茅草、苔藓等，覆盖率达50%左右。</w:t>
            </w:r>
          </w:p>
          <w:p>
            <w:pPr>
              <w:widowControl/>
              <w:shd w:val="clear" w:color="auto" w:fill="FFFFFF"/>
              <w:spacing w:line="360" w:lineRule="auto"/>
              <w:ind w:firstLine="482" w:firstLineChars="200"/>
              <w:rPr>
                <w:rFonts w:eastAsiaTheme="minorEastAsia"/>
                <w:b/>
                <w:sz w:val="24"/>
              </w:rPr>
            </w:pPr>
            <w:r>
              <w:rPr>
                <w:rFonts w:hint="eastAsia" w:eastAsiaTheme="minorEastAsia"/>
                <w:b/>
                <w:sz w:val="24"/>
              </w:rPr>
              <w:t>根据现场踏勘及查阅相关资料，项目评价范围内无珍稀、濒危动植物，无生态保护物种和自然保护区等生态敏感点，不在拟定的生态红线区内。</w:t>
            </w:r>
          </w:p>
          <w:p>
            <w:pPr>
              <w:widowControl/>
              <w:shd w:val="clear" w:color="auto" w:fill="FFFFFF"/>
              <w:spacing w:line="360" w:lineRule="auto"/>
              <w:ind w:firstLine="482" w:firstLineChars="200"/>
              <w:rPr>
                <w:rFonts w:eastAsiaTheme="minorEastAsia"/>
                <w:color w:val="000000"/>
                <w:kern w:val="0"/>
                <w:sz w:val="27"/>
                <w:szCs w:val="27"/>
              </w:rPr>
            </w:pPr>
            <w:r>
              <w:rPr>
                <w:rFonts w:hint="eastAsia" w:eastAsiaTheme="minorEastAsia"/>
                <w:b/>
                <w:bCs/>
                <w:sz w:val="24"/>
                <w:szCs w:val="28"/>
                <w:lang w:val="en-US" w:eastAsia="zh-CN"/>
              </w:rPr>
              <w:t>6</w:t>
            </w:r>
            <w:r>
              <w:rPr>
                <w:rFonts w:eastAsiaTheme="minorEastAsia"/>
                <w:b/>
                <w:bCs/>
                <w:sz w:val="24"/>
                <w:szCs w:val="28"/>
              </w:rPr>
              <w:t>、土壤</w:t>
            </w:r>
          </w:p>
          <w:p>
            <w:pPr>
              <w:widowControl/>
              <w:shd w:val="clear" w:color="auto" w:fill="FFFFFF"/>
              <w:spacing w:line="360" w:lineRule="auto"/>
              <w:ind w:firstLine="480" w:firstLineChars="200"/>
              <w:rPr>
                <w:rFonts w:eastAsiaTheme="minorEastAsia"/>
                <w:bCs/>
                <w:sz w:val="24"/>
              </w:rPr>
            </w:pPr>
            <w:r>
              <w:rPr>
                <w:rFonts w:hint="eastAsia" w:eastAsiaTheme="minorEastAsia"/>
                <w:bCs/>
                <w:sz w:val="24"/>
              </w:rPr>
              <w:t>县域内土壤类型众多，从大渡河谷的冲积土到亚高山的灌丛草甸土壤均有分布。按植被不同，成土时间和因素不一，形成不同类型的土壤，分为森林地、草坡荒山地、农耕地、水域地等。低山河谷地带有部分近代河流冲积母质。由于人工耕作、培肥、地形、水文等多种因素影响，形成10个土类、18个亚类、24个土属、60多个土种。在土壤理化性状上，农耕地以壤土为主，约占75％；粘土次之，占23％；砂土是极少数，只占2％。土壤大部为中性偏碱，微酸性、中性及微碱性土多，酸性和碱性土极少，一般无碳酸盐反应。有机质含量丰富，耕层平均含量为2％以上，含氮量中等偏上，有效磷和有效钾含量丰富。土壤一般较为肥沃，尤以谷地和缓坡地土层深厚，保水保肥性能好，适合多种农作物生长。各类土壤大体分布：水稻土：面积为9.51km</w:t>
            </w:r>
            <w:r>
              <w:rPr>
                <w:rFonts w:hint="eastAsia" w:eastAsiaTheme="minorEastAsia"/>
                <w:bCs/>
                <w:sz w:val="24"/>
                <w:vertAlign w:val="superscript"/>
              </w:rPr>
              <w:t>2</w:t>
            </w:r>
            <w:r>
              <w:rPr>
                <w:rFonts w:hint="eastAsia" w:eastAsiaTheme="minorEastAsia"/>
                <w:bCs/>
                <w:sz w:val="24"/>
              </w:rPr>
              <w:t>，占总耕地面积的8.45％，分布在海拔1200m以下的亚热带河谷地带，以海拔600～800 m的区域分布面积最大，水稻土分为：淹育型、潴育型、潜育型3个亚类，包括5个土属，15个种，4个变种。</w:t>
            </w:r>
          </w:p>
          <w:bookmarkEnd w:id="5"/>
          <w:bookmarkEnd w:id="6"/>
          <w:bookmarkEnd w:id="7"/>
          <w:bookmarkEnd w:id="8"/>
          <w:bookmarkEnd w:id="9"/>
          <w:p>
            <w:pPr>
              <w:widowControl/>
              <w:shd w:val="clear" w:color="auto" w:fill="FFFFFF"/>
              <w:spacing w:line="360" w:lineRule="auto"/>
              <w:ind w:firstLine="482" w:firstLineChars="200"/>
              <w:rPr>
                <w:rFonts w:eastAsiaTheme="minorEastAsia"/>
                <w:b/>
                <w:bCs/>
                <w:sz w:val="24"/>
                <w:szCs w:val="28"/>
              </w:rPr>
            </w:pPr>
            <w:r>
              <w:rPr>
                <w:rFonts w:hint="eastAsia" w:eastAsiaTheme="minorEastAsia"/>
                <w:b/>
                <w:bCs/>
                <w:sz w:val="24"/>
                <w:szCs w:val="28"/>
                <w:lang w:val="en-US" w:eastAsia="zh-CN"/>
              </w:rPr>
              <w:t>7</w:t>
            </w:r>
            <w:r>
              <w:rPr>
                <w:rFonts w:eastAsiaTheme="minorEastAsia"/>
                <w:b/>
                <w:bCs/>
                <w:sz w:val="24"/>
                <w:szCs w:val="28"/>
              </w:rPr>
              <w:t>、自然保护区、风景名胜及文物古迹</w:t>
            </w:r>
          </w:p>
          <w:p>
            <w:pPr>
              <w:spacing w:line="360" w:lineRule="auto"/>
              <w:ind w:firstLine="480" w:firstLineChars="200"/>
              <w:rPr>
                <w:rFonts w:eastAsiaTheme="minorEastAsia"/>
                <w:color w:val="000000"/>
                <w:sz w:val="24"/>
              </w:rPr>
            </w:pPr>
            <w:r>
              <w:rPr>
                <w:rFonts w:eastAsiaTheme="minorEastAsia"/>
                <w:color w:val="000000"/>
                <w:sz w:val="24"/>
              </w:rPr>
              <w:t>项目评价范围内无自然保护区、风景名胜及文物古迹等。</w:t>
            </w:r>
          </w:p>
        </w:tc>
      </w:tr>
    </w:tbl>
    <w:p>
      <w:pPr>
        <w:pStyle w:val="4"/>
        <w:snapToGrid w:val="0"/>
        <w:spacing w:before="0" w:after="0" w:line="240" w:lineRule="auto"/>
        <w:rPr>
          <w:rFonts w:ascii="Times New Roman" w:hAnsi="Times New Roman" w:eastAsiaTheme="minorEastAsia"/>
        </w:rPr>
      </w:pPr>
      <w:r>
        <w:rPr>
          <w:rFonts w:ascii="Times New Roman" w:hAnsi="Times New Roman" w:eastAsiaTheme="minorEastAsia"/>
          <w:b w:val="0"/>
          <w:sz w:val="30"/>
        </w:rPr>
        <w:br w:type="page"/>
      </w:r>
      <w:bookmarkStart w:id="10" w:name="_Toc165893204"/>
      <w:r>
        <w:rPr>
          <w:rFonts w:ascii="Times New Roman" w:hAnsi="Times New Roman" w:eastAsiaTheme="minorEastAsia"/>
        </w:rPr>
        <w:t>环境质量状况</w:t>
      </w:r>
      <w:bookmarkEnd w:id="10"/>
      <w:r>
        <w:rPr>
          <w:rFonts w:ascii="Times New Roman" w:hAnsi="Times New Roman" w:eastAsiaTheme="minorEastAsia"/>
        </w:rPr>
        <w:t xml:space="preserve">                                    （表三）</w:t>
      </w: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2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8" w:hRule="atLeast"/>
        </w:trPr>
        <w:tc>
          <w:tcPr>
            <w:tcW w:w="9220" w:type="dxa"/>
          </w:tcPr>
          <w:p>
            <w:pPr>
              <w:spacing w:line="500" w:lineRule="exact"/>
              <w:rPr>
                <w:rStyle w:val="64"/>
                <w:rFonts w:ascii="Times New Roman" w:hAnsi="Times New Roman" w:eastAsiaTheme="minorEastAsia"/>
                <w:sz w:val="30"/>
                <w:szCs w:val="30"/>
              </w:rPr>
            </w:pPr>
            <w:bookmarkStart w:id="11" w:name="_Toc165893205"/>
            <w:r>
              <w:rPr>
                <w:rStyle w:val="64"/>
                <w:rFonts w:ascii="Times New Roman" w:hAnsi="Times New Roman" w:eastAsiaTheme="minorEastAsia"/>
                <w:sz w:val="30"/>
                <w:szCs w:val="30"/>
              </w:rPr>
              <w:t>建设项目所在地区域环境质量现状及主要环境问题(环境空气、地面水、声环境等)</w:t>
            </w:r>
            <w:bookmarkEnd w:id="11"/>
          </w:p>
          <w:p>
            <w:pPr>
              <w:autoSpaceDE w:val="0"/>
              <w:autoSpaceDN w:val="0"/>
              <w:adjustRightInd w:val="0"/>
              <w:spacing w:line="360" w:lineRule="auto"/>
              <w:ind w:firstLine="480" w:firstLineChars="200"/>
              <w:rPr>
                <w:rFonts w:eastAsiaTheme="minorEastAsia"/>
                <w:color w:val="FF0000"/>
                <w:kern w:val="0"/>
                <w:sz w:val="24"/>
              </w:rPr>
            </w:pPr>
            <w:r>
              <w:rPr>
                <w:rFonts w:eastAsiaTheme="minorEastAsia"/>
                <w:kern w:val="0"/>
                <w:sz w:val="24"/>
              </w:rPr>
              <w:t>本次评价采用现场监测与资料复用法相结合的方式，对本项目所在区域地块的环境质量现状进行分析。本项目特委托</w:t>
            </w:r>
            <w:r>
              <w:rPr>
                <w:rFonts w:hint="eastAsia" w:eastAsiaTheme="minorEastAsia"/>
                <w:color w:val="000000" w:themeColor="text1"/>
                <w:kern w:val="0"/>
                <w:sz w:val="24"/>
                <w:lang w:eastAsia="zh-CN"/>
                <w14:textFill>
                  <w14:solidFill>
                    <w14:schemeClr w14:val="tx1"/>
                  </w14:solidFill>
                </w14:textFill>
              </w:rPr>
              <w:t>四川清蓝检测科技有限公司</w:t>
            </w:r>
            <w:r>
              <w:rPr>
                <w:rFonts w:eastAsiaTheme="minorEastAsia"/>
                <w:kern w:val="0"/>
                <w:sz w:val="24"/>
              </w:rPr>
              <w:t>对项目所在地进行了环境现状监测。</w:t>
            </w:r>
          </w:p>
          <w:p>
            <w:pPr>
              <w:pStyle w:val="4"/>
              <w:spacing w:before="0" w:after="0" w:line="360" w:lineRule="auto"/>
              <w:jc w:val="left"/>
              <w:rPr>
                <w:rFonts w:ascii="Times New Roman" w:hAnsi="Times New Roman" w:eastAsiaTheme="minorEastAsia"/>
                <w:sz w:val="24"/>
                <w:szCs w:val="24"/>
              </w:rPr>
            </w:pPr>
            <w:r>
              <w:rPr>
                <w:rFonts w:ascii="Times New Roman" w:hAnsi="Times New Roman" w:eastAsiaTheme="minorEastAsia"/>
                <w:sz w:val="24"/>
                <w:szCs w:val="24"/>
              </w:rPr>
              <w:t>一、环境空气质量现状</w:t>
            </w:r>
          </w:p>
          <w:p>
            <w:pPr>
              <w:pStyle w:val="97"/>
              <w:bidi w:val="0"/>
              <w:rPr>
                <w:rFonts w:hint="eastAsia" w:eastAsia="宋体"/>
                <w:b/>
                <w:bCs/>
                <w:lang w:eastAsia="zh-CN"/>
              </w:rPr>
            </w:pPr>
            <w:r>
              <w:rPr>
                <w:rFonts w:hint="eastAsia"/>
                <w:b/>
                <w:bCs/>
                <w:lang w:val="en-US" w:eastAsia="zh-CN"/>
              </w:rPr>
              <w:t>1、</w:t>
            </w:r>
            <w:r>
              <w:rPr>
                <w:rFonts w:hint="eastAsia"/>
                <w:b/>
                <w:bCs/>
                <w:lang w:eastAsia="zh-CN"/>
              </w:rPr>
              <w:t>环境空气质量统计数据</w:t>
            </w:r>
          </w:p>
          <w:p>
            <w:pPr>
              <w:pStyle w:val="97"/>
              <w:bidi w:val="0"/>
            </w:pPr>
            <w:r>
              <w:fldChar w:fldCharType="begin"/>
            </w:r>
            <w:r>
              <w:instrText xml:space="preserve"> = 1 \* GB3 </w:instrText>
            </w:r>
            <w:r>
              <w:fldChar w:fldCharType="separate"/>
            </w:r>
            <w:r>
              <w:rPr>
                <w:rFonts w:hint="eastAsia"/>
              </w:rPr>
              <w:t>①</w:t>
            </w:r>
            <w:r>
              <w:fldChar w:fldCharType="end"/>
            </w:r>
            <w:r>
              <w:t>环境空气数据来源</w:t>
            </w:r>
          </w:p>
          <w:p>
            <w:pPr>
              <w:pStyle w:val="97"/>
              <w:bidi w:val="0"/>
            </w:pPr>
            <w:r>
              <w:t>本次环境空气质量引用乐山市2019年环境质量公报中的监测数据，符合《环境影响评价技术导则 大气环境》（HJ2.2-2018）中“6.2数据来源”的要求。</w:t>
            </w:r>
          </w:p>
          <w:p>
            <w:pPr>
              <w:pStyle w:val="97"/>
              <w:bidi w:val="0"/>
            </w:pPr>
            <w:r>
              <w:t>根据《乐山市2019年环境质量公报》，本项目所在区域大气环境质量现状情况见表3-1。</w:t>
            </w:r>
          </w:p>
          <w:p>
            <w:pPr>
              <w:pStyle w:val="8"/>
              <w:bidi w:val="0"/>
            </w:pPr>
            <w:r>
              <w:t>表3-1  2019年乐山市空气质量数据统计表    单位：ug/m3</w:t>
            </w:r>
          </w:p>
          <w:tbl>
            <w:tblPr>
              <w:tblStyle w:val="2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996"/>
              <w:gridCol w:w="1140"/>
              <w:gridCol w:w="1140"/>
              <w:gridCol w:w="1140"/>
              <w:gridCol w:w="1140"/>
              <w:gridCol w:w="12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92"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项目</w:t>
                  </w:r>
                </w:p>
              </w:tc>
              <w:tc>
                <w:tcPr>
                  <w:tcW w:w="55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SO</w:t>
                  </w:r>
                  <w:r>
                    <w:rPr>
                      <w:rFonts w:ascii="Times New Roman" w:hAnsi="Times New Roman" w:eastAsia="宋体" w:cs="Times New Roman"/>
                      <w:szCs w:val="21"/>
                      <w:vertAlign w:val="subscript"/>
                    </w:rPr>
                    <w:t>2</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NO</w:t>
                  </w:r>
                  <w:r>
                    <w:rPr>
                      <w:rFonts w:ascii="Times New Roman" w:hAnsi="Times New Roman" w:eastAsia="宋体" w:cs="Times New Roman"/>
                      <w:szCs w:val="21"/>
                      <w:vertAlign w:val="subscript"/>
                    </w:rPr>
                    <w:t>2</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CO</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O</w:t>
                  </w:r>
                  <w:r>
                    <w:rPr>
                      <w:rFonts w:ascii="Times New Roman" w:hAnsi="Times New Roman" w:eastAsia="宋体" w:cs="Times New Roman"/>
                      <w:szCs w:val="21"/>
                      <w:vertAlign w:val="subscript"/>
                    </w:rPr>
                    <w:t>3</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PM</w:t>
                  </w:r>
                  <w:r>
                    <w:rPr>
                      <w:rFonts w:ascii="Times New Roman" w:hAnsi="Times New Roman" w:eastAsia="宋体" w:cs="Times New Roman"/>
                      <w:szCs w:val="21"/>
                      <w:vertAlign w:val="subscript"/>
                    </w:rPr>
                    <w:t>2.5</w:t>
                  </w:r>
                </w:p>
              </w:tc>
              <w:tc>
                <w:tcPr>
                  <w:tcW w:w="714"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PM</w:t>
                  </w:r>
                  <w:r>
                    <w:rPr>
                      <w:rFonts w:ascii="Times New Roman" w:hAnsi="Times New Roman" w:eastAsia="宋体" w:cs="Times New Roman"/>
                      <w:szCs w:val="21"/>
                      <w:vertAlign w:val="subscript"/>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192"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平均浓度</w:t>
                  </w:r>
                </w:p>
              </w:tc>
              <w:tc>
                <w:tcPr>
                  <w:tcW w:w="55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12.9</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24.0</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1.4</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121.4</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39.1</w:t>
                  </w:r>
                </w:p>
              </w:tc>
              <w:tc>
                <w:tcPr>
                  <w:tcW w:w="714"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61.7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192"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质量标准（年平均）</w:t>
                  </w:r>
                </w:p>
              </w:tc>
              <w:tc>
                <w:tcPr>
                  <w:tcW w:w="55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60</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40</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4</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160</w:t>
                  </w:r>
                </w:p>
              </w:tc>
              <w:tc>
                <w:tcPr>
                  <w:tcW w:w="635"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35</w:t>
                  </w:r>
                </w:p>
              </w:tc>
              <w:tc>
                <w:tcPr>
                  <w:tcW w:w="714" w:type="pct"/>
                  <w:vAlign w:val="center"/>
                </w:tcPr>
                <w:p>
                  <w:pPr>
                    <w:spacing w:line="360" w:lineRule="exact"/>
                    <w:jc w:val="center"/>
                    <w:rPr>
                      <w:rFonts w:ascii="Times New Roman" w:hAnsi="Times New Roman" w:eastAsia="宋体" w:cs="Times New Roman"/>
                      <w:szCs w:val="21"/>
                    </w:rPr>
                  </w:pPr>
                  <w:r>
                    <w:rPr>
                      <w:rFonts w:ascii="Times New Roman" w:hAnsi="Times New Roman" w:eastAsia="宋体" w:cs="Times New Roman"/>
                      <w:szCs w:val="21"/>
                    </w:rPr>
                    <w:t>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5000" w:type="pct"/>
                  <w:gridSpan w:val="7"/>
                  <w:vAlign w:val="center"/>
                </w:tcPr>
                <w:p>
                  <w:pPr>
                    <w:spacing w:line="360" w:lineRule="exact"/>
                    <w:jc w:val="left"/>
                    <w:rPr>
                      <w:rFonts w:ascii="Times New Roman" w:hAnsi="Times New Roman" w:eastAsia="宋体" w:cs="Times New Roman"/>
                      <w:szCs w:val="21"/>
                    </w:rPr>
                  </w:pPr>
                  <w:r>
                    <w:rPr>
                      <w:rFonts w:ascii="Times New Roman" w:hAnsi="Times New Roman" w:eastAsia="宋体" w:cs="Times New Roman"/>
                      <w:szCs w:val="21"/>
                    </w:rPr>
                    <w:t>备注：一氧化碳年均值为24小时平均第95百分位数，臭氧年均值为日最大8小时滑动平均第90百分位数。</w:t>
                  </w:r>
                </w:p>
              </w:tc>
            </w:tr>
          </w:tbl>
          <w:p>
            <w:pPr>
              <w:spacing w:line="360" w:lineRule="auto"/>
              <w:ind w:firstLine="480" w:firstLineChars="200"/>
              <w:rPr>
                <w:rFonts w:hint="eastAsia"/>
                <w:kern w:val="0"/>
                <w:sz w:val="24"/>
              </w:rPr>
            </w:pPr>
            <w:r>
              <w:rPr>
                <w:rFonts w:hint="eastAsia"/>
                <w:kern w:val="0"/>
                <w:sz w:val="24"/>
              </w:rPr>
              <w:fldChar w:fldCharType="begin"/>
            </w:r>
            <w:r>
              <w:rPr>
                <w:rFonts w:hint="eastAsia"/>
                <w:kern w:val="0"/>
                <w:sz w:val="24"/>
              </w:rPr>
              <w:instrText xml:space="preserve"> = 2 \* GB3 </w:instrText>
            </w:r>
            <w:r>
              <w:rPr>
                <w:rFonts w:hint="eastAsia"/>
                <w:kern w:val="0"/>
                <w:sz w:val="24"/>
              </w:rPr>
              <w:fldChar w:fldCharType="separate"/>
            </w:r>
            <w:r>
              <w:rPr>
                <w:rFonts w:hint="eastAsia"/>
                <w:kern w:val="0"/>
                <w:sz w:val="24"/>
              </w:rPr>
              <w:t>②</w:t>
            </w:r>
            <w:r>
              <w:rPr>
                <w:rFonts w:hint="eastAsia"/>
                <w:kern w:val="0"/>
                <w:sz w:val="24"/>
              </w:rPr>
              <w:fldChar w:fldCharType="end"/>
            </w:r>
            <w:r>
              <w:rPr>
                <w:rFonts w:hint="eastAsia"/>
                <w:kern w:val="0"/>
                <w:sz w:val="24"/>
              </w:rPr>
              <w:t>评价方法和评价标准</w:t>
            </w:r>
          </w:p>
          <w:p>
            <w:pPr>
              <w:spacing w:line="360" w:lineRule="auto"/>
              <w:ind w:firstLine="480" w:firstLineChars="200"/>
              <w:rPr>
                <w:rFonts w:hint="eastAsia"/>
                <w:kern w:val="0"/>
                <w:sz w:val="24"/>
              </w:rPr>
            </w:pPr>
            <w:r>
              <w:rPr>
                <w:rFonts w:hint="eastAsia"/>
                <w:kern w:val="0"/>
                <w:sz w:val="24"/>
              </w:rPr>
              <w:t>依据《环境空气质量标准》（GB 3095-2012）对乐山市2019年二氧化硫(SO</w:t>
            </w:r>
            <w:r>
              <w:rPr>
                <w:rFonts w:hint="eastAsia"/>
                <w:kern w:val="0"/>
                <w:sz w:val="24"/>
                <w:vertAlign w:val="subscript"/>
              </w:rPr>
              <w:t>2</w:t>
            </w:r>
            <w:r>
              <w:rPr>
                <w:rFonts w:hint="eastAsia"/>
                <w:kern w:val="0"/>
                <w:sz w:val="24"/>
              </w:rPr>
              <w:t>)、二氧化氮(NO</w:t>
            </w:r>
            <w:r>
              <w:rPr>
                <w:rFonts w:hint="eastAsia"/>
                <w:kern w:val="0"/>
                <w:sz w:val="24"/>
                <w:vertAlign w:val="subscript"/>
              </w:rPr>
              <w:t>2</w:t>
            </w:r>
            <w:r>
              <w:rPr>
                <w:rFonts w:hint="eastAsia"/>
                <w:kern w:val="0"/>
                <w:sz w:val="24"/>
              </w:rPr>
              <w:t>)、可吸入颗粒物(PM</w:t>
            </w:r>
            <w:r>
              <w:rPr>
                <w:rFonts w:hint="eastAsia"/>
                <w:kern w:val="0"/>
                <w:sz w:val="24"/>
                <w:vertAlign w:val="subscript"/>
              </w:rPr>
              <w:t>10</w:t>
            </w:r>
            <w:r>
              <w:rPr>
                <w:rFonts w:hint="eastAsia"/>
                <w:kern w:val="0"/>
                <w:sz w:val="24"/>
              </w:rPr>
              <w:t>)、细颗粒物(PM</w:t>
            </w:r>
            <w:r>
              <w:rPr>
                <w:rFonts w:hint="eastAsia"/>
                <w:kern w:val="0"/>
                <w:sz w:val="24"/>
                <w:vertAlign w:val="subscript"/>
              </w:rPr>
              <w:t>2.5</w:t>
            </w:r>
            <w:r>
              <w:rPr>
                <w:rFonts w:hint="eastAsia"/>
                <w:kern w:val="0"/>
                <w:sz w:val="24"/>
              </w:rPr>
              <w:t>)、一氧化碳(CO)、臭氧(O</w:t>
            </w:r>
            <w:r>
              <w:rPr>
                <w:rFonts w:hint="eastAsia"/>
                <w:kern w:val="0"/>
                <w:sz w:val="24"/>
                <w:vertAlign w:val="subscript"/>
              </w:rPr>
              <w:t>3</w:t>
            </w:r>
            <w:r>
              <w:rPr>
                <w:rFonts w:hint="eastAsia"/>
                <w:kern w:val="0"/>
                <w:sz w:val="24"/>
              </w:rPr>
              <w:t>)六项污染物进行评价，六项污染物全部达标即为城市环境空气质量达标。SO</w:t>
            </w:r>
            <w:r>
              <w:rPr>
                <w:rFonts w:hint="eastAsia"/>
                <w:kern w:val="0"/>
                <w:sz w:val="24"/>
                <w:vertAlign w:val="subscript"/>
              </w:rPr>
              <w:t>2</w:t>
            </w:r>
            <w:r>
              <w:rPr>
                <w:rFonts w:hint="eastAsia"/>
                <w:kern w:val="0"/>
                <w:sz w:val="24"/>
              </w:rPr>
              <w:t>、NO</w:t>
            </w:r>
            <w:r>
              <w:rPr>
                <w:rFonts w:hint="eastAsia"/>
                <w:kern w:val="0"/>
                <w:sz w:val="24"/>
                <w:vertAlign w:val="subscript"/>
              </w:rPr>
              <w:t>2</w:t>
            </w:r>
            <w:r>
              <w:rPr>
                <w:rFonts w:hint="eastAsia"/>
                <w:kern w:val="0"/>
                <w:sz w:val="24"/>
              </w:rPr>
              <w:t>、PM</w:t>
            </w:r>
            <w:r>
              <w:rPr>
                <w:rFonts w:hint="eastAsia"/>
                <w:kern w:val="0"/>
                <w:sz w:val="24"/>
                <w:vertAlign w:val="subscript"/>
              </w:rPr>
              <w:t>10</w:t>
            </w:r>
            <w:r>
              <w:rPr>
                <w:rFonts w:hint="eastAsia"/>
                <w:kern w:val="0"/>
                <w:sz w:val="24"/>
              </w:rPr>
              <w:t>和PM</w:t>
            </w:r>
            <w:r>
              <w:rPr>
                <w:rFonts w:hint="eastAsia"/>
                <w:kern w:val="0"/>
                <w:sz w:val="24"/>
                <w:vertAlign w:val="subscript"/>
              </w:rPr>
              <w:t>2.5</w:t>
            </w:r>
            <w:r>
              <w:rPr>
                <w:rFonts w:hint="eastAsia"/>
                <w:kern w:val="0"/>
                <w:sz w:val="24"/>
              </w:rPr>
              <w:t>年度达标情况由该项污染物年平均浓度对照年平均标准确定，CO年度达标情况由CO日均值第95百分位数浓度对照24小时平均标准确定，O</w:t>
            </w:r>
            <w:r>
              <w:rPr>
                <w:rFonts w:hint="eastAsia"/>
                <w:kern w:val="0"/>
                <w:sz w:val="24"/>
                <w:vertAlign w:val="subscript"/>
              </w:rPr>
              <w:t>3</w:t>
            </w:r>
            <w:r>
              <w:rPr>
                <w:rFonts w:hint="eastAsia"/>
                <w:kern w:val="0"/>
                <w:sz w:val="24"/>
              </w:rPr>
              <w:t>年度达标情况由O</w:t>
            </w:r>
            <w:r>
              <w:rPr>
                <w:rFonts w:hint="eastAsia"/>
                <w:kern w:val="0"/>
                <w:sz w:val="24"/>
                <w:vertAlign w:val="subscript"/>
              </w:rPr>
              <w:t>3</w:t>
            </w:r>
            <w:r>
              <w:rPr>
                <w:rFonts w:hint="eastAsia"/>
                <w:kern w:val="0"/>
                <w:sz w:val="24"/>
              </w:rPr>
              <w:t>日最大8小时平均第90百分位数浓度对照8小时平均标准确定。达到或好于国家环境空气质量二级标准为达标，超过二级标准为超标。</w:t>
            </w:r>
          </w:p>
          <w:p>
            <w:pPr>
              <w:spacing w:line="360" w:lineRule="auto"/>
              <w:ind w:firstLine="480" w:firstLineChars="200"/>
              <w:rPr>
                <w:rFonts w:hint="eastAsia"/>
                <w:kern w:val="0"/>
                <w:sz w:val="24"/>
              </w:rPr>
            </w:pPr>
            <w:r>
              <w:rPr>
                <w:rFonts w:hint="eastAsia"/>
                <w:kern w:val="0"/>
                <w:sz w:val="24"/>
              </w:rPr>
              <w:t>报告数据显示：全市11个县（区、市）环境空气中二氧化硫、二氧化氮、臭氧、一氧化碳和可吸入颗粒物年均浓度分别为12.9</w:t>
            </w:r>
            <w:r>
              <w:rPr>
                <w:rFonts w:hint="default" w:ascii="Times New Roman" w:hAnsi="Times New Roman" w:cs="Times New Roman"/>
                <w:kern w:val="0"/>
                <w:sz w:val="24"/>
              </w:rPr>
              <w:t>μ</w:t>
            </w:r>
            <w:r>
              <w:rPr>
                <w:rFonts w:hint="eastAsia"/>
                <w:kern w:val="0"/>
                <w:sz w:val="24"/>
              </w:rPr>
              <w:t>g/m</w:t>
            </w:r>
            <w:r>
              <w:rPr>
                <w:rFonts w:hint="eastAsia"/>
                <w:kern w:val="0"/>
                <w:sz w:val="24"/>
                <w:vertAlign w:val="subscript"/>
              </w:rPr>
              <w:t>3</w:t>
            </w:r>
            <w:r>
              <w:rPr>
                <w:rFonts w:hint="eastAsia"/>
                <w:kern w:val="0"/>
                <w:sz w:val="24"/>
              </w:rPr>
              <w:t>、24.0</w:t>
            </w:r>
            <w:r>
              <w:rPr>
                <w:rFonts w:hint="default" w:ascii="Times New Roman" w:hAnsi="Times New Roman" w:cs="Times New Roman"/>
                <w:kern w:val="0"/>
                <w:sz w:val="24"/>
              </w:rPr>
              <w:t>μ</w:t>
            </w:r>
            <w:r>
              <w:rPr>
                <w:rFonts w:hint="eastAsia"/>
                <w:kern w:val="0"/>
                <w:sz w:val="24"/>
              </w:rPr>
              <w:t>g/m</w:t>
            </w:r>
            <w:r>
              <w:rPr>
                <w:rFonts w:hint="eastAsia"/>
                <w:kern w:val="0"/>
                <w:sz w:val="24"/>
                <w:vertAlign w:val="superscript"/>
              </w:rPr>
              <w:t>3</w:t>
            </w:r>
            <w:r>
              <w:rPr>
                <w:rFonts w:hint="eastAsia"/>
                <w:kern w:val="0"/>
                <w:sz w:val="24"/>
              </w:rPr>
              <w:t>、121.4</w:t>
            </w:r>
            <w:r>
              <w:rPr>
                <w:rFonts w:hint="default" w:ascii="Times New Roman" w:hAnsi="Times New Roman" w:cs="Times New Roman"/>
                <w:kern w:val="0"/>
                <w:sz w:val="24"/>
              </w:rPr>
              <w:t>μ</w:t>
            </w:r>
            <w:r>
              <w:rPr>
                <w:rFonts w:hint="eastAsia"/>
                <w:kern w:val="0"/>
                <w:sz w:val="24"/>
              </w:rPr>
              <w:t>g/m</w:t>
            </w:r>
            <w:r>
              <w:rPr>
                <w:rFonts w:hint="eastAsia"/>
                <w:kern w:val="0"/>
                <w:sz w:val="24"/>
                <w:vertAlign w:val="superscript"/>
              </w:rPr>
              <w:t>3</w:t>
            </w:r>
            <w:r>
              <w:rPr>
                <w:rFonts w:hint="eastAsia"/>
                <w:kern w:val="0"/>
                <w:sz w:val="24"/>
              </w:rPr>
              <w:t>、1.4</w:t>
            </w:r>
            <w:r>
              <w:rPr>
                <w:rFonts w:hint="default" w:ascii="Times New Roman" w:hAnsi="Times New Roman" w:cs="Times New Roman"/>
                <w:kern w:val="0"/>
                <w:sz w:val="24"/>
              </w:rPr>
              <w:t>μ</w:t>
            </w:r>
            <w:r>
              <w:rPr>
                <w:rFonts w:hint="eastAsia"/>
                <w:kern w:val="0"/>
                <w:sz w:val="24"/>
              </w:rPr>
              <w:t>g/m</w:t>
            </w:r>
            <w:r>
              <w:rPr>
                <w:rFonts w:hint="eastAsia"/>
                <w:kern w:val="0"/>
                <w:sz w:val="24"/>
                <w:vertAlign w:val="superscript"/>
              </w:rPr>
              <w:t>3</w:t>
            </w:r>
            <w:r>
              <w:rPr>
                <w:rFonts w:hint="eastAsia"/>
                <w:kern w:val="0"/>
                <w:sz w:val="24"/>
              </w:rPr>
              <w:t>和61.7mg/m</w:t>
            </w:r>
            <w:r>
              <w:rPr>
                <w:rFonts w:hint="eastAsia"/>
                <w:kern w:val="0"/>
                <w:sz w:val="24"/>
                <w:vertAlign w:val="superscript"/>
              </w:rPr>
              <w:t>3</w:t>
            </w:r>
            <w:r>
              <w:rPr>
                <w:rFonts w:hint="eastAsia"/>
                <w:kern w:val="0"/>
                <w:sz w:val="24"/>
              </w:rPr>
              <w:t>，均优于国家环境空气二级标准；细颗粒物平均浓度为39.1</w:t>
            </w:r>
            <w:r>
              <w:rPr>
                <w:rFonts w:hint="default" w:ascii="Times New Roman" w:hAnsi="Times New Roman" w:cs="Times New Roman"/>
                <w:kern w:val="0"/>
                <w:sz w:val="24"/>
                <w:vertAlign w:val="baseline"/>
              </w:rPr>
              <w:t>μ</w:t>
            </w:r>
            <w:r>
              <w:rPr>
                <w:rFonts w:hint="eastAsia"/>
                <w:kern w:val="0"/>
                <w:sz w:val="24"/>
              </w:rPr>
              <w:t>g/m</w:t>
            </w:r>
            <w:r>
              <w:rPr>
                <w:rFonts w:hint="eastAsia"/>
                <w:kern w:val="0"/>
                <w:sz w:val="24"/>
                <w:vertAlign w:val="superscript"/>
              </w:rPr>
              <w:t>3</w:t>
            </w:r>
            <w:r>
              <w:rPr>
                <w:rFonts w:hint="eastAsia"/>
                <w:kern w:val="0"/>
                <w:sz w:val="24"/>
              </w:rPr>
              <w:t>，超过国家环境空气二级标准。</w:t>
            </w:r>
          </w:p>
          <w:p>
            <w:pPr>
              <w:spacing w:line="360" w:lineRule="auto"/>
              <w:ind w:firstLine="480" w:firstLineChars="200"/>
              <w:rPr>
                <w:rFonts w:hint="eastAsia"/>
                <w:kern w:val="0"/>
                <w:sz w:val="24"/>
              </w:rPr>
            </w:pPr>
            <w:r>
              <w:rPr>
                <w:rFonts w:hint="eastAsia"/>
                <w:kern w:val="0"/>
                <w:sz w:val="24"/>
              </w:rPr>
              <w:t>根据以上分析，项目所在区域环境空气质量不达标，属于</w:t>
            </w:r>
            <w:r>
              <w:rPr>
                <w:rFonts w:hint="eastAsia"/>
                <w:b/>
                <w:bCs/>
                <w:kern w:val="0"/>
                <w:sz w:val="24"/>
              </w:rPr>
              <w:t>不达标区</w:t>
            </w:r>
            <w:r>
              <w:rPr>
                <w:rFonts w:hint="eastAsia"/>
                <w:kern w:val="0"/>
                <w:sz w:val="24"/>
              </w:rPr>
              <w:t>。</w:t>
            </w:r>
          </w:p>
          <w:p>
            <w:pPr>
              <w:spacing w:line="360" w:lineRule="auto"/>
              <w:ind w:firstLine="480" w:firstLineChars="200"/>
              <w:rPr>
                <w:rFonts w:hint="eastAsia"/>
                <w:kern w:val="0"/>
                <w:sz w:val="24"/>
              </w:rPr>
            </w:pPr>
            <w:r>
              <w:rPr>
                <w:rFonts w:hint="eastAsia"/>
                <w:kern w:val="0"/>
                <w:sz w:val="24"/>
              </w:rPr>
              <w:fldChar w:fldCharType="begin"/>
            </w:r>
            <w:r>
              <w:rPr>
                <w:rFonts w:hint="eastAsia"/>
                <w:kern w:val="0"/>
                <w:sz w:val="24"/>
              </w:rPr>
              <w:instrText xml:space="preserve"> = 3 \* GB3 </w:instrText>
            </w:r>
            <w:r>
              <w:rPr>
                <w:rFonts w:hint="eastAsia"/>
                <w:kern w:val="0"/>
                <w:sz w:val="24"/>
              </w:rPr>
              <w:fldChar w:fldCharType="separate"/>
            </w:r>
            <w:r>
              <w:rPr>
                <w:rFonts w:hint="eastAsia"/>
                <w:kern w:val="0"/>
                <w:sz w:val="24"/>
              </w:rPr>
              <w:t>③</w:t>
            </w:r>
            <w:r>
              <w:rPr>
                <w:rFonts w:hint="eastAsia"/>
                <w:kern w:val="0"/>
                <w:sz w:val="24"/>
              </w:rPr>
              <w:fldChar w:fldCharType="end"/>
            </w:r>
            <w:r>
              <w:rPr>
                <w:rFonts w:hint="eastAsia"/>
                <w:kern w:val="0"/>
                <w:sz w:val="24"/>
              </w:rPr>
              <w:t>峨边彝族自治县空气质量限期达标规划</w:t>
            </w:r>
          </w:p>
          <w:p>
            <w:pPr>
              <w:spacing w:line="360" w:lineRule="auto"/>
              <w:ind w:firstLine="480" w:firstLineChars="200"/>
              <w:rPr>
                <w:rFonts w:hint="eastAsia"/>
                <w:kern w:val="0"/>
                <w:sz w:val="24"/>
              </w:rPr>
            </w:pPr>
            <w:r>
              <w:rPr>
                <w:rFonts w:hint="eastAsia"/>
                <w:kern w:val="0"/>
                <w:sz w:val="24"/>
              </w:rPr>
              <w:t>《峨边彝族自治县环境空气质量限期达标规划（2018年-2025年）》规划目标与阶段性目标：近期目标：到2020年，全县PM</w:t>
            </w:r>
            <w:r>
              <w:rPr>
                <w:rFonts w:hint="eastAsia"/>
                <w:kern w:val="0"/>
                <w:sz w:val="24"/>
                <w:vertAlign w:val="subscript"/>
              </w:rPr>
              <w:t>2.5</w:t>
            </w:r>
            <w:r>
              <w:rPr>
                <w:rFonts w:hint="eastAsia"/>
                <w:kern w:val="0"/>
                <w:sz w:val="24"/>
              </w:rPr>
              <w:t>年均浓度控制在45</w:t>
            </w:r>
            <w:r>
              <w:rPr>
                <w:rFonts w:hint="default" w:ascii="Times New Roman" w:hAnsi="Times New Roman" w:cs="Times New Roman"/>
                <w:kern w:val="0"/>
                <w:sz w:val="24"/>
              </w:rPr>
              <w:t>μ</w:t>
            </w:r>
            <w:r>
              <w:rPr>
                <w:rFonts w:hint="eastAsia"/>
                <w:kern w:val="0"/>
                <w:sz w:val="24"/>
              </w:rPr>
              <w:t>g/m</w:t>
            </w:r>
            <w:r>
              <w:rPr>
                <w:rFonts w:hint="eastAsia"/>
                <w:kern w:val="0"/>
                <w:sz w:val="24"/>
                <w:vertAlign w:val="superscript"/>
              </w:rPr>
              <w:t>3</w:t>
            </w:r>
            <w:r>
              <w:rPr>
                <w:rFonts w:hint="eastAsia"/>
                <w:kern w:val="0"/>
                <w:sz w:val="24"/>
              </w:rPr>
              <w:t>以内，大气环境优良天数率比例达到85%以上。远期目标：力争到2025年，PM</w:t>
            </w:r>
            <w:r>
              <w:rPr>
                <w:rFonts w:hint="eastAsia"/>
                <w:kern w:val="0"/>
                <w:sz w:val="24"/>
                <w:vertAlign w:val="subscript"/>
              </w:rPr>
              <w:t>10</w:t>
            </w:r>
            <w:r>
              <w:rPr>
                <w:rFonts w:hint="eastAsia"/>
                <w:kern w:val="0"/>
                <w:sz w:val="24"/>
              </w:rPr>
              <w:t>控制在70</w:t>
            </w:r>
            <w:r>
              <w:rPr>
                <w:rFonts w:hint="default" w:ascii="Times New Roman" w:hAnsi="Times New Roman" w:cs="Times New Roman"/>
                <w:kern w:val="0"/>
                <w:sz w:val="24"/>
              </w:rPr>
              <w:t>μ</w:t>
            </w:r>
            <w:r>
              <w:rPr>
                <w:rFonts w:hint="eastAsia"/>
                <w:kern w:val="0"/>
                <w:sz w:val="24"/>
              </w:rPr>
              <w:t>g/m</w:t>
            </w:r>
            <w:r>
              <w:rPr>
                <w:rFonts w:hint="eastAsia"/>
                <w:kern w:val="0"/>
                <w:sz w:val="24"/>
                <w:vertAlign w:val="superscript"/>
              </w:rPr>
              <w:t>3</w:t>
            </w:r>
            <w:r>
              <w:rPr>
                <w:rFonts w:hint="eastAsia"/>
                <w:kern w:val="0"/>
                <w:sz w:val="24"/>
              </w:rPr>
              <w:t>以内，PM</w:t>
            </w:r>
            <w:r>
              <w:rPr>
                <w:rFonts w:hint="eastAsia"/>
                <w:kern w:val="0"/>
                <w:sz w:val="24"/>
                <w:vertAlign w:val="subscript"/>
              </w:rPr>
              <w:t>2.5</w:t>
            </w:r>
            <w:r>
              <w:rPr>
                <w:rFonts w:hint="eastAsia"/>
                <w:kern w:val="0"/>
                <w:sz w:val="24"/>
              </w:rPr>
              <w:t>控制在35</w:t>
            </w:r>
            <w:r>
              <w:rPr>
                <w:rFonts w:hint="default" w:ascii="Times New Roman" w:hAnsi="Times New Roman" w:cs="Times New Roman"/>
                <w:kern w:val="0"/>
                <w:sz w:val="24"/>
              </w:rPr>
              <w:t>μ</w:t>
            </w:r>
            <w:r>
              <w:rPr>
                <w:rFonts w:hint="eastAsia"/>
                <w:kern w:val="0"/>
                <w:sz w:val="24"/>
              </w:rPr>
              <w:t>g/m</w:t>
            </w:r>
            <w:r>
              <w:rPr>
                <w:rFonts w:hint="eastAsia"/>
                <w:kern w:val="0"/>
                <w:sz w:val="24"/>
                <w:vertAlign w:val="superscript"/>
              </w:rPr>
              <w:t>3</w:t>
            </w:r>
            <w:r>
              <w:rPr>
                <w:rFonts w:hint="eastAsia"/>
                <w:kern w:val="0"/>
                <w:sz w:val="24"/>
              </w:rPr>
              <w:t>以内，达到国家二级标准要求。阶段性目标：以基准年为基础，达标期限内实施阶段式滚动目标，分两个阶段逐步改善空气质量，第一阶段，近期2018-2020年，第二阶段，中长期2021-2025年。</w:t>
            </w:r>
          </w:p>
          <w:p>
            <w:pPr>
              <w:spacing w:line="360" w:lineRule="auto"/>
              <w:ind w:firstLine="480" w:firstLineChars="200"/>
              <w:rPr>
                <w:rFonts w:hint="eastAsia"/>
                <w:kern w:val="0"/>
                <w:sz w:val="24"/>
              </w:rPr>
            </w:pPr>
            <w:r>
              <w:rPr>
                <w:rFonts w:hint="eastAsia"/>
                <w:kern w:val="0"/>
                <w:sz w:val="24"/>
              </w:rPr>
              <w:t>综合考虑峨边彝族自治县经济发展特点和大气污染状况，峨边彝族自治县空气质量达标战略主要包括以下内容：一是通过调整能源结构、升级产业结构、优化空间布局、强化污染减排等手段，逐步推进大气污染源头控制；二是以矿山、建材、铁合金、化工、扬尘、机动车、餐饮、秸秆燃烧为重点污染源，推进多污染源综合控制；三是针对SO</w:t>
            </w:r>
            <w:r>
              <w:rPr>
                <w:rFonts w:hint="eastAsia"/>
                <w:kern w:val="0"/>
                <w:sz w:val="24"/>
                <w:vertAlign w:val="subscript"/>
              </w:rPr>
              <w:t>2</w:t>
            </w:r>
            <w:r>
              <w:rPr>
                <w:rFonts w:hint="eastAsia"/>
                <w:kern w:val="0"/>
                <w:sz w:val="24"/>
              </w:rPr>
              <w:t>、NOx、PM、VOCs等大气污染物，推进多污染物协同控制，同时把对NH</w:t>
            </w:r>
            <w:r>
              <w:rPr>
                <w:rFonts w:hint="eastAsia"/>
                <w:kern w:val="0"/>
                <w:sz w:val="24"/>
                <w:vertAlign w:val="subscript"/>
              </w:rPr>
              <w:t>3</w:t>
            </w:r>
            <w:r>
              <w:rPr>
                <w:rFonts w:hint="eastAsia"/>
                <w:kern w:val="0"/>
                <w:sz w:val="24"/>
              </w:rPr>
              <w:t>的排放控制纳入政策视野。在2020年、2022年、2024年对空气质量达标规划实施情况开展跟踪评价，查找不足，有针对性地提出改进措施，逐步实现城市空气质量达标。</w:t>
            </w:r>
          </w:p>
          <w:p>
            <w:pPr>
              <w:spacing w:line="360" w:lineRule="auto"/>
              <w:ind w:firstLine="480" w:firstLineChars="200"/>
              <w:rPr>
                <w:rFonts w:hint="eastAsia"/>
                <w:kern w:val="0"/>
                <w:sz w:val="24"/>
              </w:rPr>
            </w:pPr>
            <w:r>
              <w:rPr>
                <w:rFonts w:hint="eastAsia"/>
                <w:kern w:val="0"/>
                <w:sz w:val="24"/>
              </w:rPr>
              <w:t>综上，项目所在区域不达标指标PM</w:t>
            </w:r>
            <w:r>
              <w:rPr>
                <w:rFonts w:hint="eastAsia"/>
                <w:kern w:val="0"/>
                <w:sz w:val="24"/>
                <w:vertAlign w:val="subscript"/>
              </w:rPr>
              <w:t>2.5</w:t>
            </w:r>
            <w:r>
              <w:rPr>
                <w:rFonts w:hint="eastAsia"/>
                <w:kern w:val="0"/>
                <w:sz w:val="24"/>
              </w:rPr>
              <w:t>预期可满足《环境空气质量标准》（GB3095-2012）及其修改单中二级标准要求。</w:t>
            </w:r>
          </w:p>
          <w:p>
            <w:pPr>
              <w:pStyle w:val="4"/>
              <w:spacing w:before="0" w:after="0" w:line="360" w:lineRule="auto"/>
              <w:jc w:val="left"/>
              <w:rPr>
                <w:rFonts w:ascii="Times New Roman" w:hAnsi="Times New Roman" w:eastAsiaTheme="minorEastAsia"/>
                <w:sz w:val="24"/>
                <w:szCs w:val="24"/>
              </w:rPr>
            </w:pPr>
            <w:r>
              <w:rPr>
                <w:rFonts w:ascii="Times New Roman" w:hAnsi="Times New Roman" w:eastAsiaTheme="minorEastAsia"/>
                <w:sz w:val="24"/>
                <w:szCs w:val="24"/>
              </w:rPr>
              <w:t>二、地表水环境质量现状</w:t>
            </w:r>
          </w:p>
          <w:p>
            <w:pPr>
              <w:spacing w:line="360" w:lineRule="auto"/>
              <w:ind w:firstLine="480" w:firstLineChars="200"/>
              <w:rPr>
                <w:rFonts w:hint="eastAsia" w:eastAsiaTheme="minorEastAsia"/>
                <w:sz w:val="24"/>
                <w:lang w:eastAsia="zh-CN"/>
              </w:rPr>
            </w:pPr>
            <w:bookmarkStart w:id="12" w:name="OLE_LINK2"/>
            <w:bookmarkStart w:id="13" w:name="OLE_LINK3"/>
            <w:r>
              <w:rPr>
                <w:rFonts w:hint="eastAsia" w:eastAsiaTheme="minorEastAsia"/>
                <w:sz w:val="24"/>
              </w:rPr>
              <w:t>本项目拟建址位于</w:t>
            </w:r>
            <w:r>
              <w:rPr>
                <w:rFonts w:hint="eastAsia" w:eastAsiaTheme="minorEastAsia"/>
                <w:sz w:val="24"/>
                <w:lang w:eastAsia="zh-CN"/>
              </w:rPr>
              <w:t>乐山市峨边彝族自治县新场乡长虹村2组，</w:t>
            </w:r>
            <w:r>
              <w:rPr>
                <w:rFonts w:hint="eastAsia" w:eastAsiaTheme="minorEastAsia"/>
                <w:sz w:val="24"/>
              </w:rPr>
              <w:t>根据《乐山市201</w:t>
            </w:r>
            <w:r>
              <w:rPr>
                <w:rFonts w:hint="eastAsia" w:eastAsiaTheme="minorEastAsia"/>
                <w:sz w:val="24"/>
                <w:lang w:val="en-US" w:eastAsia="zh-CN"/>
              </w:rPr>
              <w:t>9</w:t>
            </w:r>
            <w:r>
              <w:rPr>
                <w:rFonts w:hint="eastAsia" w:eastAsiaTheme="minorEastAsia"/>
                <w:sz w:val="24"/>
              </w:rPr>
              <w:t>年环境质量公报》，201</w:t>
            </w:r>
            <w:r>
              <w:rPr>
                <w:rFonts w:hint="eastAsia" w:eastAsiaTheme="minorEastAsia"/>
                <w:sz w:val="24"/>
                <w:lang w:val="en-US" w:eastAsia="zh-CN"/>
              </w:rPr>
              <w:t>9</w:t>
            </w:r>
            <w:r>
              <w:rPr>
                <w:rFonts w:hint="eastAsia" w:eastAsiaTheme="minorEastAsia"/>
                <w:sz w:val="24"/>
              </w:rPr>
              <w:t>年，乐山市47个</w:t>
            </w:r>
            <w:r>
              <w:rPr>
                <w:rFonts w:hint="eastAsia" w:eastAsiaTheme="minorEastAsia"/>
                <w:sz w:val="24"/>
                <w:lang w:eastAsia="zh-CN"/>
              </w:rPr>
              <w:t>监测断面中达到或优于</w:t>
            </w:r>
            <w:r>
              <w:rPr>
                <w:rFonts w:hint="eastAsia" w:eastAsiaTheme="minorEastAsia"/>
                <w:sz w:val="24"/>
                <w:lang w:val="en-US" w:eastAsia="zh-CN"/>
              </w:rPr>
              <w:t>III类水质断面39个，达标率83.0%，同比上升了4.3%；II、III、IV、V类和劣V类水质所占比例分别为53.2%、29.8%、4.3%、6.4%和6.4%。</w:t>
            </w:r>
            <w:r>
              <w:rPr>
                <w:rFonts w:hint="eastAsia" w:eastAsiaTheme="minorEastAsia"/>
                <w:sz w:val="24"/>
                <w:lang w:eastAsia="zh-CN"/>
              </w:rPr>
              <w:t>地表水断面水质监测中主要污染指标为总磷。</w:t>
            </w:r>
          </w:p>
          <w:p>
            <w:pPr>
              <w:pStyle w:val="97"/>
              <w:bidi w:val="0"/>
            </w:pPr>
            <w:r>
              <w:rPr>
                <w:rFonts w:hint="eastAsia"/>
                <w:lang w:val="en-US" w:eastAsia="zh-CN"/>
              </w:rPr>
              <w:t>2019年，乐山市</w:t>
            </w:r>
            <w:r>
              <w:rPr>
                <w:rFonts w:hint="eastAsia"/>
              </w:rPr>
              <w:t>地表水共监测境内</w:t>
            </w:r>
            <w:r>
              <w:t>27</w:t>
            </w:r>
            <w:r>
              <w:rPr>
                <w:rFonts w:hint="eastAsia"/>
              </w:rPr>
              <w:t>条河流，其中岷江干流乐山段及其支流水质类别为</w:t>
            </w:r>
            <w:r>
              <w:rPr>
                <w:rFonts w:hint="eastAsia"/>
                <w:lang w:val="en-US" w:eastAsia="zh-CN"/>
              </w:rPr>
              <w:t>II</w:t>
            </w:r>
            <w:r>
              <w:t>~</w:t>
            </w:r>
            <w:r>
              <w:rPr>
                <w:rFonts w:hint="eastAsia"/>
                <w:lang w:val="en-US" w:eastAsia="zh-CN"/>
              </w:rPr>
              <w:t>III</w:t>
            </w:r>
            <w:r>
              <w:rPr>
                <w:rFonts w:hint="eastAsia"/>
              </w:rPr>
              <w:t>类；大渡河干流及其支流水质类别为</w:t>
            </w:r>
            <w:r>
              <w:rPr>
                <w:rFonts w:hint="eastAsia"/>
                <w:lang w:val="en-US" w:eastAsia="zh-CN"/>
              </w:rPr>
              <w:t>II</w:t>
            </w:r>
            <w:r>
              <w:t>~</w:t>
            </w:r>
            <w:r>
              <w:rPr>
                <w:rFonts w:hint="eastAsia" w:cs="Times New Roman"/>
                <w:lang w:val="en-US" w:eastAsia="zh-CN"/>
              </w:rPr>
              <w:t>III</w:t>
            </w:r>
            <w:r>
              <w:rPr>
                <w:rFonts w:hint="eastAsia"/>
              </w:rPr>
              <w:t>类；青衣江干流及支流水质类别为</w:t>
            </w:r>
            <w:r>
              <w:rPr>
                <w:rFonts w:hint="eastAsia"/>
                <w:lang w:val="en-US" w:eastAsia="zh-CN"/>
              </w:rPr>
              <w:t>II</w:t>
            </w:r>
            <w:r>
              <w:t>~</w:t>
            </w:r>
            <w:r>
              <w:rPr>
                <w:rFonts w:hint="eastAsia"/>
                <w:lang w:val="en-US" w:eastAsia="zh-CN"/>
              </w:rPr>
              <w:t>IV</w:t>
            </w:r>
            <w:r>
              <w:rPr>
                <w:rFonts w:hint="eastAsia"/>
              </w:rPr>
              <w:t>类；马边河干流及其支流水质类别为</w:t>
            </w:r>
            <w:r>
              <w:rPr>
                <w:rFonts w:hint="eastAsia"/>
                <w:lang w:val="en-US" w:eastAsia="zh-CN"/>
              </w:rPr>
              <w:t>II</w:t>
            </w:r>
            <w:r>
              <w:t>~</w:t>
            </w:r>
            <w:r>
              <w:rPr>
                <w:rFonts w:hint="eastAsia"/>
                <w:lang w:val="en-US" w:eastAsia="zh-CN"/>
              </w:rPr>
              <w:t>III</w:t>
            </w:r>
            <w:r>
              <w:rPr>
                <w:rFonts w:hint="eastAsia"/>
              </w:rPr>
              <w:t>类，茫溪河干流及其支流水质类别为</w:t>
            </w:r>
            <w:r>
              <w:rPr>
                <w:rFonts w:hint="eastAsia"/>
                <w:lang w:val="en-US" w:eastAsia="zh-CN"/>
              </w:rPr>
              <w:t>III</w:t>
            </w:r>
            <w:r>
              <w:t>~</w:t>
            </w:r>
            <w:r>
              <w:rPr>
                <w:rFonts w:hint="eastAsia"/>
              </w:rPr>
              <w:t>劣</w:t>
            </w:r>
            <w:r>
              <w:rPr>
                <w:rFonts w:hint="eastAsia"/>
                <w:lang w:val="en-US" w:eastAsia="zh-CN"/>
              </w:rPr>
              <w:t>V</w:t>
            </w:r>
            <w:r>
              <w:rPr>
                <w:rFonts w:hint="eastAsia"/>
              </w:rPr>
              <w:t>类；龙溪河水质类别为</w:t>
            </w:r>
            <w:r>
              <w:rPr>
                <w:rFonts w:hint="eastAsia"/>
                <w:lang w:val="en-US" w:eastAsia="zh-CN"/>
              </w:rPr>
              <w:t>II</w:t>
            </w:r>
            <w:r>
              <w:rPr>
                <w:rFonts w:hint="eastAsia"/>
              </w:rPr>
              <w:t>类。</w:t>
            </w:r>
          </w:p>
          <w:p>
            <w:pPr>
              <w:spacing w:line="360" w:lineRule="auto"/>
              <w:ind w:firstLine="480" w:firstLineChars="200"/>
              <w:rPr>
                <w:rFonts w:hint="eastAsia" w:eastAsiaTheme="minorEastAsia"/>
                <w:sz w:val="24"/>
                <w:lang w:val="en-US" w:eastAsia="zh-CN"/>
              </w:rPr>
            </w:pPr>
            <w:r>
              <w:rPr>
                <w:rFonts w:hint="eastAsia" w:eastAsiaTheme="minorEastAsia"/>
                <w:sz w:val="24"/>
                <w:lang w:eastAsia="zh-CN"/>
              </w:rPr>
              <w:t>乐山市</w:t>
            </w:r>
            <w:r>
              <w:rPr>
                <w:rFonts w:hint="eastAsia" w:eastAsiaTheme="minorEastAsia"/>
                <w:sz w:val="24"/>
                <w:lang w:val="en-US" w:eastAsia="zh-CN"/>
              </w:rPr>
              <w:t>10个国控、省控地表水断面中，监测断面总体达标率为90%；青衣江、大渡河、马边河、龙溪河水质优，岷江乐山段水质良好，茫溪河水质受到中度污染。</w:t>
            </w:r>
          </w:p>
          <w:p>
            <w:pPr>
              <w:spacing w:line="360" w:lineRule="auto"/>
              <w:ind w:firstLine="480" w:firstLineChars="200"/>
              <w:rPr>
                <w:rFonts w:eastAsiaTheme="minorEastAsia"/>
                <w:color w:val="000000" w:themeColor="text1"/>
                <w:sz w:val="24"/>
                <w14:textFill>
                  <w14:solidFill>
                    <w14:schemeClr w14:val="tx1"/>
                  </w14:solidFill>
                </w14:textFill>
              </w:rPr>
            </w:pPr>
            <w:r>
              <w:rPr>
                <w:rFonts w:hint="eastAsia" w:eastAsiaTheme="minorEastAsia"/>
                <w:color w:val="000000" w:themeColor="text1"/>
                <w:sz w:val="24"/>
                <w14:textFill>
                  <w14:solidFill>
                    <w14:schemeClr w14:val="tx1"/>
                  </w14:solidFill>
                </w14:textFill>
              </w:rPr>
              <w:t>根据峨边</w:t>
            </w:r>
            <w:r>
              <w:rPr>
                <w:rFonts w:eastAsiaTheme="minorEastAsia"/>
                <w:color w:val="000000" w:themeColor="text1"/>
                <w:sz w:val="24"/>
                <w14:textFill>
                  <w14:solidFill>
                    <w14:schemeClr w14:val="tx1"/>
                  </w14:solidFill>
                </w14:textFill>
              </w:rPr>
              <w:t>彝族自治县人民政府</w:t>
            </w:r>
            <w:r>
              <w:rPr>
                <w:rFonts w:hint="eastAsia" w:eastAsiaTheme="minorEastAsia"/>
                <w:color w:val="000000" w:themeColor="text1"/>
                <w:sz w:val="24"/>
                <w14:textFill>
                  <w14:solidFill>
                    <w14:schemeClr w14:val="tx1"/>
                  </w14:solidFill>
                </w14:textFill>
              </w:rPr>
              <w:t>2020年第</w:t>
            </w:r>
            <w:r>
              <w:rPr>
                <w:rFonts w:hint="eastAsia" w:eastAsiaTheme="minorEastAsia"/>
                <w:color w:val="000000" w:themeColor="text1"/>
                <w:sz w:val="24"/>
                <w:lang w:eastAsia="zh-CN"/>
                <w14:textFill>
                  <w14:solidFill>
                    <w14:schemeClr w14:val="tx1"/>
                  </w14:solidFill>
                </w14:textFill>
              </w:rPr>
              <w:t>三</w:t>
            </w:r>
            <w:r>
              <w:rPr>
                <w:rFonts w:hint="eastAsia" w:eastAsiaTheme="minorEastAsia"/>
                <w:color w:val="000000" w:themeColor="text1"/>
                <w:sz w:val="24"/>
                <w14:textFill>
                  <w14:solidFill>
                    <w14:schemeClr w14:val="tx1"/>
                  </w14:solidFill>
                </w14:textFill>
              </w:rPr>
              <w:t>季度水环境质量信息公开（</w:t>
            </w:r>
            <w:r>
              <w:rPr>
                <w:rFonts w:hint="eastAsia"/>
              </w:rPr>
              <w:t>http://www.eb.gov.cn/ebyzzzx/ebhjbh/202010/45f48f5d8a5347ab898659447be4dd29.shtml</w:t>
            </w:r>
            <w:r>
              <w:rPr>
                <w:rFonts w:eastAsiaTheme="minorEastAsia"/>
                <w:color w:val="000000" w:themeColor="text1"/>
                <w:sz w:val="24"/>
                <w14:textFill>
                  <w14:solidFill>
                    <w14:schemeClr w14:val="tx1"/>
                  </w14:solidFill>
                </w14:textFill>
              </w:rPr>
              <w:t>）</w:t>
            </w:r>
            <w:r>
              <w:rPr>
                <w:rFonts w:hint="eastAsia" w:eastAsiaTheme="minorEastAsia"/>
                <w:color w:val="000000" w:themeColor="text1"/>
                <w:sz w:val="24"/>
                <w14:textFill>
                  <w14:solidFill>
                    <w14:schemeClr w14:val="tx1"/>
                  </w14:solidFill>
                </w14:textFill>
              </w:rPr>
              <w:t>：峨边县县域监测河流为大渡河（地表水），断面监测点位2个，名称分别为宜坪、芝麻凼。根据2020年</w:t>
            </w:r>
            <w:r>
              <w:rPr>
                <w:rFonts w:hint="eastAsia" w:eastAsiaTheme="minorEastAsia"/>
                <w:color w:val="000000" w:themeColor="text1"/>
                <w:sz w:val="24"/>
                <w:lang w:val="en-US" w:eastAsia="zh-CN"/>
                <w14:textFill>
                  <w14:solidFill>
                    <w14:schemeClr w14:val="tx1"/>
                  </w14:solidFill>
                </w14:textFill>
              </w:rPr>
              <w:t>7-9</w:t>
            </w:r>
            <w:r>
              <w:rPr>
                <w:rFonts w:hint="eastAsia" w:eastAsiaTheme="minorEastAsia"/>
                <w:color w:val="000000" w:themeColor="text1"/>
                <w:sz w:val="24"/>
                <w14:textFill>
                  <w14:solidFill>
                    <w14:schemeClr w14:val="tx1"/>
                  </w14:solidFill>
                </w14:textFill>
              </w:rPr>
              <w:t>月监测报告显示，大渡河峨边段出入境断面地表水环境质量均达到《地表水环境质量标准》（GB3838-2002）表I中</w:t>
            </w:r>
            <w:r>
              <w:rPr>
                <w:rFonts w:hint="eastAsia" w:eastAsiaTheme="minorEastAsia"/>
                <w:color w:val="000000" w:themeColor="text1"/>
                <w:sz w:val="24"/>
                <w:lang w:val="en-US" w:eastAsia="zh-CN"/>
                <w14:textFill>
                  <w14:solidFill>
                    <w14:schemeClr w14:val="tx1"/>
                  </w14:solidFill>
                </w14:textFill>
              </w:rPr>
              <w:t>III</w:t>
            </w:r>
            <w:r>
              <w:rPr>
                <w:rFonts w:hint="eastAsia" w:eastAsiaTheme="minorEastAsia"/>
                <w:color w:val="000000" w:themeColor="text1"/>
                <w:sz w:val="24"/>
                <w14:textFill>
                  <w14:solidFill>
                    <w14:schemeClr w14:val="tx1"/>
                  </w14:solidFill>
                </w14:textFill>
              </w:rPr>
              <w:t>类水质。具体指标值如下：</w:t>
            </w:r>
          </w:p>
          <w:p>
            <w:pPr>
              <w:widowControl/>
              <w:shd w:val="clear" w:color="auto" w:fill="FFFFFF"/>
              <w:jc w:val="center"/>
              <w:rPr>
                <w:b/>
                <w:color w:val="333333"/>
                <w:kern w:val="0"/>
                <w:szCs w:val="21"/>
              </w:rPr>
            </w:pPr>
            <w:r>
              <w:rPr>
                <w:rFonts w:hint="eastAsia"/>
                <w:b/>
                <w:color w:val="333333"/>
                <w:kern w:val="0"/>
                <w:szCs w:val="21"/>
              </w:rPr>
              <w:t xml:space="preserve">表3-2  </w:t>
            </w:r>
            <w:r>
              <w:rPr>
                <w:b/>
                <w:color w:val="333333"/>
                <w:kern w:val="0"/>
                <w:szCs w:val="21"/>
              </w:rPr>
              <w:t>大渡河出入境断面</w:t>
            </w:r>
            <w:r>
              <w:rPr>
                <w:b/>
                <w:bCs/>
                <w:color w:val="333333"/>
                <w:kern w:val="0"/>
                <w:szCs w:val="21"/>
              </w:rPr>
              <w:t xml:space="preserve">      </w:t>
            </w:r>
            <w:r>
              <w:rPr>
                <w:b/>
                <w:color w:val="333333"/>
                <w:kern w:val="0"/>
                <w:szCs w:val="21"/>
              </w:rPr>
              <w:t>单位：mg/L</w:t>
            </w:r>
          </w:p>
          <w:tbl>
            <w:tblPr>
              <w:tblStyle w:val="29"/>
              <w:tblW w:w="898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65"/>
              <w:gridCol w:w="944"/>
              <w:gridCol w:w="1143"/>
              <w:gridCol w:w="1101"/>
              <w:gridCol w:w="1035"/>
              <w:gridCol w:w="1102"/>
              <w:gridCol w:w="1079"/>
              <w:gridCol w:w="13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2496" w:type="pct"/>
                  <w:gridSpan w:val="4"/>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入境断面（宜坪）</w:t>
                  </w:r>
                </w:p>
              </w:tc>
              <w:tc>
                <w:tcPr>
                  <w:tcW w:w="2503" w:type="pct"/>
                  <w:gridSpan w:val="4"/>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出境断面（芝麻凼）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检查</w:t>
                  </w:r>
                  <w:r>
                    <w:rPr>
                      <w:rFonts w:hint="eastAsia"/>
                      <w:color w:val="000000" w:themeColor="text1"/>
                      <w:kern w:val="0"/>
                      <w:szCs w:val="21"/>
                      <w:lang w:eastAsia="zh-CN"/>
                      <w14:textFill>
                        <w14:solidFill>
                          <w14:schemeClr w14:val="tx1"/>
                        </w14:solidFill>
                      </w14:textFill>
                    </w:rPr>
                    <w:t>项目</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检测结果</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检查项目</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检测结果</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检查项目</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检测结果</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检查项目</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检测结果</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水温（</w:t>
                  </w:r>
                  <w:r>
                    <w:rPr>
                      <w:rFonts w:hint="eastAsia" w:ascii="宋体" w:hAnsi="宋体" w:cs="宋体"/>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20.2</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镉</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1.0×10</w:t>
                  </w:r>
                  <w:r>
                    <w:rPr>
                      <w:color w:val="000000" w:themeColor="text1"/>
                      <w:kern w:val="0"/>
                      <w:szCs w:val="21"/>
                      <w:vertAlign w:val="superscript"/>
                      <w14:textFill>
                        <w14:solidFill>
                          <w14:schemeClr w14:val="tx1"/>
                        </w14:solidFill>
                      </w14:textFill>
                    </w:rPr>
                    <w:t>-4</w:t>
                  </w:r>
                  <w:r>
                    <w:rPr>
                      <w:color w:val="000000" w:themeColor="text1"/>
                      <w:kern w:val="0"/>
                      <w:szCs w:val="21"/>
                      <w14:textFill>
                        <w14:solidFill>
                          <w14:schemeClr w14:val="tx1"/>
                        </w14:solidFill>
                      </w14:textFill>
                    </w:rPr>
                    <w:t> 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水温（</w:t>
                  </w:r>
                  <w:r>
                    <w:rPr>
                      <w:rFonts w:hint="eastAsia" w:ascii="宋体" w:hAnsi="宋体" w:cs="宋体"/>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1</w:t>
                  </w:r>
                  <w:r>
                    <w:rPr>
                      <w:rFonts w:hint="eastAsia"/>
                      <w:color w:val="000000" w:themeColor="text1"/>
                      <w:kern w:val="0"/>
                      <w:szCs w:val="21"/>
                      <w:lang w:val="en-US" w:eastAsia="zh-CN"/>
                      <w14:textFill>
                        <w14:solidFill>
                          <w14:schemeClr w14:val="tx1"/>
                        </w14:solidFill>
                      </w14:textFill>
                    </w:rPr>
                    <w:t>8.7</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镉</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1.0×10</w:t>
                  </w:r>
                  <w:r>
                    <w:rPr>
                      <w:color w:val="000000" w:themeColor="text1"/>
                      <w:kern w:val="0"/>
                      <w:szCs w:val="21"/>
                      <w:vertAlign w:val="superscript"/>
                      <w14:textFill>
                        <w14:solidFill>
                          <w14:schemeClr w14:val="tx1"/>
                        </w14:solidFill>
                      </w14:textFill>
                    </w:rPr>
                    <w:t>-4</w:t>
                  </w:r>
                  <w:r>
                    <w:rPr>
                      <w:color w:val="000000" w:themeColor="text1"/>
                      <w:kern w:val="0"/>
                      <w:szCs w:val="21"/>
                      <w14:textFill>
                        <w14:solidFill>
                          <w14:schemeClr w14:val="tx1"/>
                        </w14:solidFill>
                      </w14:textFill>
                    </w:rPr>
                    <w:t> 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pH</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7.32</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铬</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0.004L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pH</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7.</w:t>
                  </w:r>
                  <w:r>
                    <w:rPr>
                      <w:rFonts w:hint="eastAsia"/>
                      <w:color w:val="000000" w:themeColor="text1"/>
                      <w:kern w:val="0"/>
                      <w:szCs w:val="21"/>
                      <w:lang w:val="en-US" w:eastAsia="zh-CN"/>
                      <w14:textFill>
                        <w14:solidFill>
                          <w14:schemeClr w14:val="tx1"/>
                        </w14:solidFill>
                      </w14:textFill>
                    </w:rPr>
                    <w:t>91</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铬</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0.004L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溶解氧</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7.8</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铅</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2.2</w:t>
                  </w:r>
                  <w:r>
                    <w:rPr>
                      <w:color w:val="000000" w:themeColor="text1"/>
                      <w:kern w:val="0"/>
                      <w:szCs w:val="21"/>
                      <w14:textFill>
                        <w14:solidFill>
                          <w14:schemeClr w14:val="tx1"/>
                        </w14:solidFill>
                      </w14:textFill>
                    </w:rPr>
                    <w:t>×10</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 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溶解氧</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7.</w:t>
                  </w:r>
                  <w:r>
                    <w:rPr>
                      <w:rFonts w:hint="eastAsia"/>
                      <w:color w:val="000000" w:themeColor="text1"/>
                      <w:kern w:val="0"/>
                      <w:szCs w:val="21"/>
                      <w:lang w:val="en-US" w:eastAsia="zh-CN"/>
                      <w14:textFill>
                        <w14:solidFill>
                          <w14:schemeClr w14:val="tx1"/>
                        </w14:solidFill>
                      </w14:textFill>
                    </w:rPr>
                    <w:t>8</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铅</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r>
                    <w:rPr>
                      <w:rFonts w:hint="eastAsia"/>
                      <w:color w:val="000000" w:themeColor="text1"/>
                      <w:kern w:val="0"/>
                      <w:szCs w:val="21"/>
                      <w:lang w:val="en-US" w:eastAsia="zh-CN"/>
                      <w14:textFill>
                        <w14:solidFill>
                          <w14:schemeClr w14:val="tx1"/>
                        </w14:solidFill>
                      </w14:textFill>
                    </w:rPr>
                    <w:t>.7</w:t>
                  </w:r>
                  <w:r>
                    <w:rPr>
                      <w:color w:val="000000" w:themeColor="text1"/>
                      <w:kern w:val="0"/>
                      <w:szCs w:val="21"/>
                      <w14:textFill>
                        <w14:solidFill>
                          <w14:schemeClr w14:val="tx1"/>
                        </w14:solidFill>
                      </w14:textFill>
                    </w:rPr>
                    <w:t>×10</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 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高锰酸盐指数</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1.7</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氰化物</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0.004L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高锰酸盐指数</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1.6</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氰化物</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0.004L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化学需氧量</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挥发酚</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0.0003 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化学需氧量</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6</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挥发酚</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0.0003 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五日生化需氧量</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1.2</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石油类</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0.0</w:t>
                  </w:r>
                  <w:r>
                    <w:rPr>
                      <w:rFonts w:hint="eastAsia"/>
                      <w:color w:val="000000" w:themeColor="text1"/>
                      <w:kern w:val="0"/>
                      <w:szCs w:val="21"/>
                      <w:lang w:val="en-US" w:eastAsia="zh-CN"/>
                      <w14:textFill>
                        <w14:solidFill>
                          <w14:schemeClr w14:val="tx1"/>
                        </w14:solidFill>
                      </w14:textFill>
                    </w:rPr>
                    <w:t>1L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五日生化需氧量</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1.1</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石油类</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w:t>
                  </w:r>
                  <w:r>
                    <w:rPr>
                      <w:rFonts w:hint="eastAsia"/>
                      <w:color w:val="000000" w:themeColor="text1"/>
                      <w:kern w:val="0"/>
                      <w:szCs w:val="21"/>
                      <w:lang w:val="en-US" w:eastAsia="zh-CN"/>
                      <w14:textFill>
                        <w14:solidFill>
                          <w14:schemeClr w14:val="tx1"/>
                        </w14:solidFill>
                      </w14:textFill>
                    </w:rPr>
                    <w:t>1</w:t>
                  </w:r>
                  <w:r>
                    <w:rPr>
                      <w:color w:val="000000" w:themeColor="text1"/>
                      <w:kern w:val="0"/>
                      <w:szCs w:val="21"/>
                      <w14:textFill>
                        <w14:solidFill>
                          <w14:schemeClr w14:val="tx1"/>
                        </w14:solidFill>
                      </w14:textFill>
                    </w:rPr>
                    <w:t xml:space="preserve"> 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0.03</w:t>
                  </w:r>
                  <w:r>
                    <w:rPr>
                      <w:rFonts w:hint="eastAsia"/>
                      <w:color w:val="000000" w:themeColor="text1"/>
                      <w:kern w:val="0"/>
                      <w:szCs w:val="21"/>
                      <w:lang w:val="en-US" w:eastAsia="zh-CN"/>
                      <w14:textFill>
                        <w14:solidFill>
                          <w14:schemeClr w14:val="tx1"/>
                        </w14:solidFill>
                      </w14:textFill>
                    </w:rPr>
                    <w:t>4</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阴离子表面活性剂</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0.05L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0.0</w:t>
                  </w:r>
                  <w:r>
                    <w:rPr>
                      <w:rFonts w:hint="eastAsia"/>
                      <w:color w:val="000000" w:themeColor="text1"/>
                      <w:kern w:val="0"/>
                      <w:szCs w:val="21"/>
                      <w:lang w:val="en-US" w:eastAsia="zh-CN"/>
                      <w14:textFill>
                        <w14:solidFill>
                          <w14:schemeClr w14:val="tx1"/>
                        </w14:solidFill>
                      </w14:textFill>
                    </w:rPr>
                    <w:t>31</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阴离子表面活性剂</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0.05L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总磷</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0.0</w:t>
                  </w:r>
                  <w:r>
                    <w:rPr>
                      <w:rFonts w:hint="eastAsia"/>
                      <w:color w:val="000000" w:themeColor="text1"/>
                      <w:kern w:val="0"/>
                      <w:szCs w:val="21"/>
                      <w:lang w:val="en-US" w:eastAsia="zh-CN"/>
                      <w14:textFill>
                        <w14:solidFill>
                          <w14:schemeClr w14:val="tx1"/>
                        </w14:solidFill>
                      </w14:textFill>
                    </w:rPr>
                    <w:t>9</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硫化物</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0.005L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总磷</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w:t>
                  </w:r>
                  <w:r>
                    <w:rPr>
                      <w:rFonts w:hint="eastAsia"/>
                      <w:color w:val="000000" w:themeColor="text1"/>
                      <w:kern w:val="0"/>
                      <w:szCs w:val="21"/>
                      <w:lang w:val="en-US" w:eastAsia="zh-CN"/>
                      <w14:textFill>
                        <w14:solidFill>
                          <w14:schemeClr w14:val="tx1"/>
                        </w14:solidFill>
                      </w14:textFill>
                    </w:rPr>
                    <w:t>12</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硫化物</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0.005L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总氮</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w:t>
                  </w:r>
                  <w:r>
                    <w:rPr>
                      <w:rFonts w:hint="eastAsia"/>
                      <w:color w:val="000000" w:themeColor="text1"/>
                      <w:kern w:val="0"/>
                      <w:szCs w:val="21"/>
                      <w:lang w:val="en-US" w:eastAsia="zh-CN"/>
                      <w14:textFill>
                        <w14:solidFill>
                          <w14:schemeClr w14:val="tx1"/>
                        </w14:solidFill>
                      </w14:textFill>
                    </w:rPr>
                    <w:t>98</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粪大肠菌群（个/L）</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700</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总氮</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w:t>
                  </w:r>
                  <w:r>
                    <w:rPr>
                      <w:rFonts w:hint="eastAsia"/>
                      <w:color w:val="000000" w:themeColor="text1"/>
                      <w:kern w:val="0"/>
                      <w:szCs w:val="21"/>
                      <w:lang w:val="en-US" w:eastAsia="zh-CN"/>
                      <w14:textFill>
                        <w14:solidFill>
                          <w14:schemeClr w14:val="tx1"/>
                        </w14:solidFill>
                      </w14:textFill>
                    </w:rPr>
                    <w:t>97</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粪大肠菌群（个/L）</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铜</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2.2</w:t>
                  </w:r>
                  <w:r>
                    <w:rPr>
                      <w:color w:val="000000" w:themeColor="text1"/>
                      <w:kern w:val="0"/>
                      <w:szCs w:val="21"/>
                      <w14:textFill>
                        <w14:solidFill>
                          <w14:schemeClr w14:val="tx1"/>
                        </w14:solidFill>
                      </w14:textFill>
                    </w:rPr>
                    <w:t>×10</w:t>
                  </w:r>
                  <w:r>
                    <w:rPr>
                      <w:color w:val="000000" w:themeColor="text1"/>
                      <w:kern w:val="0"/>
                      <w:szCs w:val="21"/>
                      <w:vertAlign w:val="superscript"/>
                      <w14:textFill>
                        <w14:solidFill>
                          <w14:schemeClr w14:val="tx1"/>
                        </w14:solidFill>
                      </w14:textFill>
                    </w:rPr>
                    <w:t>-3</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硫酸盐</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1</w:t>
                  </w:r>
                  <w:r>
                    <w:rPr>
                      <w:rFonts w:hint="eastAsia"/>
                      <w:color w:val="000000" w:themeColor="text1"/>
                      <w:kern w:val="0"/>
                      <w:szCs w:val="21"/>
                      <w:lang w:val="en-US" w:eastAsia="zh-CN"/>
                      <w14:textFill>
                        <w14:solidFill>
                          <w14:schemeClr w14:val="tx1"/>
                        </w14:solidFill>
                      </w14:textFill>
                    </w:rPr>
                    <w:t>5</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铜</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2.8</w:t>
                  </w:r>
                  <w:r>
                    <w:rPr>
                      <w:color w:val="000000" w:themeColor="text1"/>
                      <w:kern w:val="0"/>
                      <w:szCs w:val="21"/>
                      <w14:textFill>
                        <w14:solidFill>
                          <w14:schemeClr w14:val="tx1"/>
                        </w14:solidFill>
                      </w14:textFill>
                    </w:rPr>
                    <w:t>×10</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 L</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硫酸盐</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1</w:t>
                  </w:r>
                  <w:r>
                    <w:rPr>
                      <w:rFonts w:hint="eastAsia"/>
                      <w:color w:val="000000" w:themeColor="text1"/>
                      <w:kern w:val="0"/>
                      <w:szCs w:val="21"/>
                      <w:lang w:val="en-US" w:eastAsia="zh-CN"/>
                      <w14:textFill>
                        <w14:solidFill>
                          <w14:schemeClr w14:val="tx1"/>
                        </w14:solidFill>
                      </w14:textFill>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锌</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0.02 L</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氯化物</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5</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锌</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0.02L</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氯化物</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氟化物</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0.1</w:t>
                  </w:r>
                  <w:r>
                    <w:rPr>
                      <w:rFonts w:hint="eastAsia"/>
                      <w:color w:val="000000" w:themeColor="text1"/>
                      <w:kern w:val="0"/>
                      <w:szCs w:val="21"/>
                      <w:lang w:val="en-US" w:eastAsia="zh-CN"/>
                      <w14:textFill>
                        <w14:solidFill>
                          <w14:schemeClr w14:val="tx1"/>
                        </w14:solidFill>
                      </w14:textFill>
                    </w:rPr>
                    <w:t>0</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硝酸盐</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0.72</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氟化物</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eastAsia" w:eastAsia="宋体"/>
                      <w:color w:val="000000" w:themeColor="text1"/>
                      <w:kern w:val="0"/>
                      <w:szCs w:val="21"/>
                      <w:lang w:eastAsia="zh-CN"/>
                      <w14:textFill>
                        <w14:solidFill>
                          <w14:schemeClr w14:val="tx1"/>
                        </w14:solidFill>
                      </w14:textFill>
                    </w:rPr>
                  </w:pPr>
                  <w:r>
                    <w:rPr>
                      <w:color w:val="000000" w:themeColor="text1"/>
                      <w:kern w:val="0"/>
                      <w:szCs w:val="21"/>
                      <w14:textFill>
                        <w14:solidFill>
                          <w14:schemeClr w14:val="tx1"/>
                        </w14:solidFill>
                      </w14:textFill>
                    </w:rPr>
                    <w:t>0.1</w:t>
                  </w:r>
                  <w:r>
                    <w:rPr>
                      <w:rFonts w:hint="eastAsia"/>
                      <w:color w:val="000000" w:themeColor="text1"/>
                      <w:kern w:val="0"/>
                      <w:szCs w:val="21"/>
                      <w:lang w:val="en-US" w:eastAsia="zh-CN"/>
                      <w14:textFill>
                        <w14:solidFill>
                          <w14:schemeClr w14:val="tx1"/>
                        </w14:solidFill>
                      </w14:textFill>
                    </w:rPr>
                    <w:t>1</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硝酸盐</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w:t>
                  </w:r>
                  <w:r>
                    <w:rPr>
                      <w:rFonts w:hint="eastAsia"/>
                      <w:color w:val="000000" w:themeColor="text1"/>
                      <w:kern w:val="0"/>
                      <w:szCs w:val="21"/>
                      <w:lang w:val="en-US" w:eastAsia="zh-CN"/>
                      <w14:textFill>
                        <w14:solidFill>
                          <w14:schemeClr w14:val="tx1"/>
                        </w14:solidFill>
                      </w14:textFill>
                    </w:rPr>
                    <w:t>73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硒</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4×10</w:t>
                  </w:r>
                  <w:r>
                    <w:rPr>
                      <w:color w:val="000000" w:themeColor="text1"/>
                      <w:kern w:val="0"/>
                      <w:szCs w:val="21"/>
                      <w:vertAlign w:val="superscript"/>
                      <w14:textFill>
                        <w14:solidFill>
                          <w14:schemeClr w14:val="tx1"/>
                        </w14:solidFill>
                      </w14:textFill>
                    </w:rPr>
                    <w:t>-4</w:t>
                  </w:r>
                  <w:r>
                    <w:rPr>
                      <w:color w:val="000000" w:themeColor="text1"/>
                      <w:kern w:val="0"/>
                      <w:szCs w:val="21"/>
                      <w14:textFill>
                        <w14:solidFill>
                          <w14:schemeClr w14:val="tx1"/>
                        </w14:solidFill>
                      </w14:textFill>
                    </w:rPr>
                    <w:t> L</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铁</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0.0</w:t>
                  </w:r>
                  <w:r>
                    <w:rPr>
                      <w:rFonts w:hint="eastAsia"/>
                      <w:color w:val="000000" w:themeColor="text1"/>
                      <w:kern w:val="0"/>
                      <w:szCs w:val="21"/>
                      <w:lang w:val="en-US" w:eastAsia="zh-CN"/>
                      <w14:textFill>
                        <w14:solidFill>
                          <w14:schemeClr w14:val="tx1"/>
                        </w14:solidFill>
                      </w14:textFill>
                    </w:rPr>
                    <w:t>3L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硒</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4×10</w:t>
                  </w:r>
                  <w:r>
                    <w:rPr>
                      <w:color w:val="000000" w:themeColor="text1"/>
                      <w:kern w:val="0"/>
                      <w:szCs w:val="21"/>
                      <w:vertAlign w:val="superscript"/>
                      <w14:textFill>
                        <w14:solidFill>
                          <w14:schemeClr w14:val="tx1"/>
                        </w14:solidFill>
                      </w14:textFill>
                    </w:rPr>
                    <w:t>-4</w:t>
                  </w:r>
                  <w:r>
                    <w:rPr>
                      <w:color w:val="000000" w:themeColor="text1"/>
                      <w:kern w:val="0"/>
                      <w:szCs w:val="21"/>
                      <w14:textFill>
                        <w14:solidFill>
                          <w14:schemeClr w14:val="tx1"/>
                        </w14:solidFill>
                      </w14:textFill>
                    </w:rPr>
                    <w:t> L</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铁</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rFonts w:hint="default" w:eastAsia="宋体"/>
                      <w:color w:val="000000" w:themeColor="text1"/>
                      <w:kern w:val="0"/>
                      <w:szCs w:val="21"/>
                      <w:lang w:val="en-US" w:eastAsia="zh-CN"/>
                      <w14:textFill>
                        <w14:solidFill>
                          <w14:schemeClr w14:val="tx1"/>
                        </w14:solidFill>
                      </w14:textFill>
                    </w:rPr>
                  </w:pPr>
                  <w:r>
                    <w:rPr>
                      <w:color w:val="000000" w:themeColor="text1"/>
                      <w:kern w:val="0"/>
                      <w:szCs w:val="21"/>
                      <w14:textFill>
                        <w14:solidFill>
                          <w14:schemeClr w14:val="tx1"/>
                        </w14:solidFill>
                      </w14:textFill>
                    </w:rPr>
                    <w:t>0.0</w:t>
                  </w:r>
                  <w:r>
                    <w:rPr>
                      <w:rFonts w:hint="eastAsia"/>
                      <w:color w:val="000000" w:themeColor="text1"/>
                      <w:kern w:val="0"/>
                      <w:szCs w:val="21"/>
                      <w:lang w:val="en-US" w:eastAsia="zh-CN"/>
                      <w14:textFill>
                        <w14:solidFill>
                          <w14:schemeClr w14:val="tx1"/>
                        </w14:solidFill>
                      </w14:textFill>
                    </w:rPr>
                    <w:t>3L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砷</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3×10</w:t>
                  </w:r>
                  <w:r>
                    <w:rPr>
                      <w:color w:val="000000" w:themeColor="text1"/>
                      <w:kern w:val="0"/>
                      <w:szCs w:val="21"/>
                      <w:vertAlign w:val="superscript"/>
                      <w14:textFill>
                        <w14:solidFill>
                          <w14:schemeClr w14:val="tx1"/>
                        </w14:solidFill>
                      </w14:textFill>
                    </w:rPr>
                    <w:t>-4</w:t>
                  </w:r>
                  <w:r>
                    <w:rPr>
                      <w:color w:val="000000" w:themeColor="text1"/>
                      <w:kern w:val="0"/>
                      <w:szCs w:val="21"/>
                      <w14:textFill>
                        <w14:solidFill>
                          <w14:schemeClr w14:val="tx1"/>
                        </w14:solidFill>
                      </w14:textFill>
                    </w:rPr>
                    <w:t>L</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锰</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0.01L</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砷</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3×10</w:t>
                  </w:r>
                  <w:r>
                    <w:rPr>
                      <w:color w:val="000000" w:themeColor="text1"/>
                      <w:kern w:val="0"/>
                      <w:szCs w:val="21"/>
                      <w:vertAlign w:val="superscript"/>
                      <w14:textFill>
                        <w14:solidFill>
                          <w14:schemeClr w14:val="tx1"/>
                        </w14:solidFill>
                      </w14:textFill>
                    </w:rPr>
                    <w:t>-4</w:t>
                  </w:r>
                  <w:r>
                    <w:rPr>
                      <w:color w:val="000000" w:themeColor="text1"/>
                      <w:kern w:val="0"/>
                      <w:szCs w:val="21"/>
                      <w14:textFill>
                        <w14:solidFill>
                          <w14:schemeClr w14:val="tx1"/>
                        </w14:solidFill>
                      </w14:textFill>
                    </w:rPr>
                    <w:t>L</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锰</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0.01L</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13"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汞</w:t>
                  </w:r>
                </w:p>
              </w:tc>
              <w:tc>
                <w:tcPr>
                  <w:tcW w:w="52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4×10</w:t>
                  </w:r>
                  <w:r>
                    <w:rPr>
                      <w:color w:val="000000" w:themeColor="text1"/>
                      <w:kern w:val="0"/>
                      <w:szCs w:val="21"/>
                      <w:vertAlign w:val="superscript"/>
                      <w14:textFill>
                        <w14:solidFill>
                          <w14:schemeClr w14:val="tx1"/>
                        </w14:solidFill>
                      </w14:textFill>
                    </w:rPr>
                    <w:t>-5</w:t>
                  </w:r>
                  <w:r>
                    <w:rPr>
                      <w:color w:val="000000" w:themeColor="text1"/>
                      <w:kern w:val="0"/>
                      <w:szCs w:val="21"/>
                      <w14:textFill>
                        <w14:solidFill>
                          <w14:schemeClr w14:val="tx1"/>
                        </w14:solidFill>
                      </w14:textFill>
                    </w:rPr>
                    <w:t> L</w:t>
                  </w:r>
                </w:p>
              </w:tc>
              <w:tc>
                <w:tcPr>
                  <w:tcW w:w="64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w:t>
                  </w:r>
                </w:p>
              </w:tc>
              <w:tc>
                <w:tcPr>
                  <w:tcW w:w="61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w:t>
                  </w:r>
                </w:p>
              </w:tc>
              <w:tc>
                <w:tcPr>
                  <w:tcW w:w="59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汞</w:t>
                  </w:r>
                </w:p>
              </w:tc>
              <w:tc>
                <w:tcPr>
                  <w:tcW w:w="557"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4×10</w:t>
                  </w:r>
                  <w:r>
                    <w:rPr>
                      <w:color w:val="000000" w:themeColor="text1"/>
                      <w:kern w:val="0"/>
                      <w:szCs w:val="21"/>
                      <w:vertAlign w:val="superscript"/>
                      <w14:textFill>
                        <w14:solidFill>
                          <w14:schemeClr w14:val="tx1"/>
                        </w14:solidFill>
                      </w14:textFill>
                    </w:rPr>
                    <w:t>-5</w:t>
                  </w:r>
                  <w:r>
                    <w:rPr>
                      <w:color w:val="000000" w:themeColor="text1"/>
                      <w:kern w:val="0"/>
                      <w:szCs w:val="21"/>
                      <w14:textFill>
                        <w14:solidFill>
                          <w14:schemeClr w14:val="tx1"/>
                        </w14:solidFill>
                      </w14:textFill>
                    </w:rPr>
                    <w:t>L</w:t>
                  </w:r>
                </w:p>
              </w:tc>
              <w:tc>
                <w:tcPr>
                  <w:tcW w:w="60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w:t>
                  </w:r>
                </w:p>
              </w:tc>
              <w:tc>
                <w:tcPr>
                  <w:tcW w:w="74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 </w:t>
                  </w:r>
                </w:p>
              </w:tc>
            </w:tr>
          </w:tbl>
          <w:p>
            <w:pPr>
              <w:keepNext/>
              <w:spacing w:line="360" w:lineRule="auto"/>
              <w:ind w:firstLine="480" w:firstLineChars="200"/>
              <w:rPr>
                <w:sz w:val="24"/>
              </w:rPr>
            </w:pPr>
            <w:r>
              <w:rPr>
                <w:rFonts w:hint="eastAsia"/>
                <w:sz w:val="24"/>
              </w:rPr>
              <w:t>评价结论：大渡河峨边县境内主要污染物无超标现象，水质监测中各项指标均符合《地表水环境质量标准》(GB3838-2002)表</w:t>
            </w:r>
            <w:r>
              <w:rPr>
                <w:rFonts w:hint="eastAsia"/>
                <w:sz w:val="24"/>
                <w:lang w:val="en-US" w:eastAsia="zh-CN"/>
              </w:rPr>
              <w:t>I</w:t>
            </w:r>
            <w:r>
              <w:rPr>
                <w:rFonts w:hint="eastAsia"/>
                <w:sz w:val="24"/>
                <w:lang w:eastAsia="zh-CN"/>
              </w:rPr>
              <w:t>中</w:t>
            </w:r>
            <w:r>
              <w:rPr>
                <w:rFonts w:hint="eastAsia"/>
                <w:sz w:val="24"/>
                <w:lang w:val="en-US" w:eastAsia="zh-CN"/>
              </w:rPr>
              <w:t>III</w:t>
            </w:r>
            <w:r>
              <w:rPr>
                <w:rFonts w:hint="eastAsia"/>
                <w:sz w:val="24"/>
              </w:rPr>
              <w:t>类地表水环境质量标准限值的规定。</w:t>
            </w:r>
          </w:p>
          <w:bookmarkEnd w:id="12"/>
          <w:bookmarkEnd w:id="13"/>
          <w:p>
            <w:pPr>
              <w:snapToGrid w:val="0"/>
              <w:spacing w:line="360" w:lineRule="auto"/>
              <w:rPr>
                <w:rFonts w:eastAsiaTheme="minorEastAsia"/>
                <w:b/>
                <w:sz w:val="24"/>
              </w:rPr>
            </w:pPr>
            <w:r>
              <w:rPr>
                <w:rFonts w:hint="eastAsia" w:eastAsiaTheme="minorEastAsia"/>
                <w:b/>
                <w:sz w:val="24"/>
              </w:rPr>
              <w:t>三</w:t>
            </w:r>
            <w:r>
              <w:rPr>
                <w:rFonts w:eastAsiaTheme="minorEastAsia"/>
                <w:b/>
                <w:sz w:val="24"/>
              </w:rPr>
              <w:t>、声环境质量现状</w:t>
            </w:r>
          </w:p>
          <w:p>
            <w:pPr>
              <w:snapToGrid w:val="0"/>
              <w:spacing w:line="360" w:lineRule="auto"/>
              <w:ind w:firstLine="480" w:firstLineChars="200"/>
              <w:rPr>
                <w:sz w:val="24"/>
              </w:rPr>
            </w:pPr>
            <w:r>
              <w:rPr>
                <w:sz w:val="24"/>
              </w:rPr>
              <w:t>为了解项目所在区域的声环境质量现状，</w:t>
            </w:r>
            <w:r>
              <w:rPr>
                <w:rFonts w:hint="eastAsia"/>
                <w:sz w:val="24"/>
              </w:rPr>
              <w:t>本项目特委托</w:t>
            </w:r>
            <w:r>
              <w:rPr>
                <w:rFonts w:hint="eastAsia"/>
                <w:sz w:val="24"/>
                <w:lang w:eastAsia="zh-CN"/>
              </w:rPr>
              <w:t>四川清蓝检测科技有限公司</w:t>
            </w:r>
            <w:r>
              <w:rPr>
                <w:rFonts w:hint="eastAsia"/>
                <w:sz w:val="24"/>
              </w:rPr>
              <w:t>于</w:t>
            </w:r>
            <w:r>
              <w:rPr>
                <w:rFonts w:hint="eastAsia"/>
                <w:color w:val="000000" w:themeColor="text1"/>
                <w:sz w:val="24"/>
                <w14:textFill>
                  <w14:solidFill>
                    <w14:schemeClr w14:val="tx1"/>
                  </w14:solidFill>
                </w14:textFill>
              </w:rPr>
              <w:t>2020年</w:t>
            </w:r>
            <w:r>
              <w:rPr>
                <w:rFonts w:hint="eastAsia"/>
                <w:color w:val="000000" w:themeColor="text1"/>
                <w:sz w:val="24"/>
                <w:lang w:val="en-US" w:eastAsia="zh-CN"/>
                <w14:textFill>
                  <w14:solidFill>
                    <w14:schemeClr w14:val="tx1"/>
                  </w14:solidFill>
                </w14:textFill>
              </w:rPr>
              <w:t>8</w:t>
            </w:r>
            <w:r>
              <w:rPr>
                <w:rFonts w:hint="eastAsia"/>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20</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r>
              <w:rPr>
                <w:rFonts w:hint="eastAsia"/>
                <w:color w:val="000000" w:themeColor="text1"/>
                <w:sz w:val="24"/>
                <w:lang w:val="en-US" w:eastAsia="zh-CN"/>
                <w14:textFill>
                  <w14:solidFill>
                    <w14:schemeClr w14:val="tx1"/>
                  </w14:solidFill>
                </w14:textFill>
              </w:rPr>
              <w:t>1</w:t>
            </w:r>
            <w:r>
              <w:rPr>
                <w:rFonts w:hint="eastAsia"/>
                <w:color w:val="000000" w:themeColor="text1"/>
                <w:sz w:val="24"/>
                <w14:textFill>
                  <w14:solidFill>
                    <w14:schemeClr w14:val="tx1"/>
                  </w14:solidFill>
                </w14:textFill>
              </w:rPr>
              <w:t>日</w:t>
            </w:r>
            <w:r>
              <w:rPr>
                <w:rFonts w:hint="eastAsia"/>
                <w:sz w:val="24"/>
              </w:rPr>
              <w:t>对项目四周厂界及其附近具有代表性的敏感点现状噪声进行了监测，具体见附件。</w:t>
            </w:r>
          </w:p>
          <w:p>
            <w:pPr>
              <w:tabs>
                <w:tab w:val="left" w:pos="2160"/>
              </w:tabs>
              <w:adjustRightInd w:val="0"/>
              <w:snapToGrid w:val="0"/>
              <w:spacing w:line="360" w:lineRule="auto"/>
              <w:ind w:firstLine="482" w:firstLineChars="200"/>
              <w:rPr>
                <w:b/>
                <w:bCs/>
                <w:sz w:val="24"/>
              </w:rPr>
            </w:pPr>
            <w:r>
              <w:rPr>
                <w:b/>
                <w:bCs/>
                <w:sz w:val="24"/>
              </w:rPr>
              <w:t>1、声环境质量监测</w:t>
            </w:r>
          </w:p>
          <w:p>
            <w:pPr>
              <w:spacing w:line="360" w:lineRule="auto"/>
              <w:ind w:firstLine="480" w:firstLineChars="200"/>
              <w:rPr>
                <w:sz w:val="24"/>
              </w:rPr>
            </w:pPr>
            <w:r>
              <w:rPr>
                <w:rFonts w:hint="eastAsia"/>
                <w:sz w:val="24"/>
                <w:lang w:eastAsia="zh-CN"/>
              </w:rPr>
              <w:t>四川清蓝检测科技有限公司</w:t>
            </w:r>
            <w:r>
              <w:rPr>
                <w:sz w:val="24"/>
              </w:rPr>
              <w:t>于</w:t>
            </w:r>
            <w:r>
              <w:rPr>
                <w:color w:val="000000" w:themeColor="text1"/>
                <w:sz w:val="24"/>
                <w14:textFill>
                  <w14:solidFill>
                    <w14:schemeClr w14:val="tx1"/>
                  </w14:solidFill>
                </w14:textFill>
              </w:rPr>
              <w:t>20</w:t>
            </w:r>
            <w:r>
              <w:rPr>
                <w:rFonts w:hint="eastAsia"/>
                <w:color w:val="000000" w:themeColor="text1"/>
                <w:sz w:val="24"/>
                <w14:textFill>
                  <w14:solidFill>
                    <w14:schemeClr w14:val="tx1"/>
                  </w14:solidFill>
                </w14:textFill>
              </w:rPr>
              <w:t>20</w:t>
            </w:r>
            <w:r>
              <w:rPr>
                <w:color w:val="000000" w:themeColor="text1"/>
                <w:sz w:val="24"/>
                <w14:textFill>
                  <w14:solidFill>
                    <w14:schemeClr w14:val="tx1"/>
                  </w14:solidFill>
                </w14:textFill>
              </w:rPr>
              <w:t>年</w:t>
            </w:r>
            <w:r>
              <w:rPr>
                <w:rFonts w:hint="eastAsia"/>
                <w:color w:val="000000" w:themeColor="text1"/>
                <w:sz w:val="24"/>
                <w:lang w:val="en-US" w:eastAsia="zh-CN"/>
                <w14:textFill>
                  <w14:solidFill>
                    <w14:schemeClr w14:val="tx1"/>
                  </w14:solidFill>
                </w14:textFill>
              </w:rPr>
              <w:t>8</w:t>
            </w:r>
            <w:r>
              <w:rPr>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20</w:t>
            </w:r>
            <w:r>
              <w:rPr>
                <w:color w:val="000000" w:themeColor="text1"/>
                <w:sz w:val="24"/>
                <w14:textFill>
                  <w14:solidFill>
                    <w14:schemeClr w14:val="tx1"/>
                  </w14:solidFill>
                </w14:textFill>
              </w:rPr>
              <w:t>日~</w:t>
            </w:r>
            <w:r>
              <w:rPr>
                <w:rFonts w:hint="eastAsia"/>
                <w:color w:val="000000" w:themeColor="text1"/>
                <w:sz w:val="24"/>
                <w:lang w:val="en-US" w:eastAsia="zh-CN"/>
                <w14:textFill>
                  <w14:solidFill>
                    <w14:schemeClr w14:val="tx1"/>
                  </w14:solidFill>
                </w14:textFill>
              </w:rPr>
              <w:t>21</w:t>
            </w:r>
            <w:r>
              <w:rPr>
                <w:color w:val="000000" w:themeColor="text1"/>
                <w:sz w:val="24"/>
                <w14:textFill>
                  <w14:solidFill>
                    <w14:schemeClr w14:val="tx1"/>
                  </w14:solidFill>
                </w14:textFill>
              </w:rPr>
              <w:t>日对</w:t>
            </w:r>
            <w:r>
              <w:rPr>
                <w:sz w:val="24"/>
              </w:rPr>
              <w:t>本项目进行监测。监测项目：等效连续A声级，即Leq。</w:t>
            </w:r>
          </w:p>
          <w:p>
            <w:pPr>
              <w:pStyle w:val="12"/>
              <w:adjustRightInd w:val="0"/>
              <w:ind w:firstLine="0"/>
              <w:jc w:val="center"/>
              <w:rPr>
                <w:b/>
                <w:bCs/>
                <w:sz w:val="21"/>
                <w:szCs w:val="21"/>
              </w:rPr>
            </w:pPr>
            <w:r>
              <w:rPr>
                <w:b/>
                <w:bCs/>
                <w:sz w:val="21"/>
                <w:szCs w:val="21"/>
              </w:rPr>
              <w:t>表3-3  声学环境现状监测点位列表</w:t>
            </w:r>
          </w:p>
          <w:tbl>
            <w:tblPr>
              <w:tblStyle w:val="29"/>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15" w:type="dxa"/>
                <w:left w:w="15" w:type="dxa"/>
                <w:bottom w:w="15" w:type="dxa"/>
                <w:right w:w="15" w:type="dxa"/>
              </w:tblCellMar>
            </w:tblPr>
            <w:tblGrid>
              <w:gridCol w:w="2995"/>
              <w:gridCol w:w="2998"/>
              <w:gridCol w:w="3011"/>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340" w:hRule="atLeast"/>
                <w:tblHeader/>
              </w:trPr>
              <w:tc>
                <w:tcPr>
                  <w:tcW w:w="1663" w:type="pct"/>
                  <w:vAlign w:val="center"/>
                </w:tcPr>
                <w:p>
                  <w:pPr>
                    <w:widowControl/>
                    <w:jc w:val="center"/>
                    <w:textAlignment w:val="center"/>
                    <w:rPr>
                      <w:bCs/>
                      <w:kern w:val="0"/>
                      <w:szCs w:val="21"/>
                      <w:lang w:bidi="ar"/>
                    </w:rPr>
                  </w:pPr>
                  <w:r>
                    <w:rPr>
                      <w:bCs/>
                      <w:kern w:val="0"/>
                      <w:szCs w:val="21"/>
                      <w:lang w:bidi="ar"/>
                    </w:rPr>
                    <w:t>检测项目</w:t>
                  </w:r>
                </w:p>
              </w:tc>
              <w:tc>
                <w:tcPr>
                  <w:tcW w:w="1665" w:type="pct"/>
                  <w:vAlign w:val="center"/>
                </w:tcPr>
                <w:p>
                  <w:pPr>
                    <w:widowControl/>
                    <w:jc w:val="center"/>
                    <w:textAlignment w:val="center"/>
                    <w:rPr>
                      <w:bCs/>
                      <w:szCs w:val="21"/>
                    </w:rPr>
                  </w:pPr>
                  <w:r>
                    <w:rPr>
                      <w:bCs/>
                      <w:kern w:val="0"/>
                      <w:szCs w:val="21"/>
                      <w:lang w:bidi="ar"/>
                    </w:rPr>
                    <w:t>检测点位</w:t>
                  </w:r>
                </w:p>
              </w:tc>
              <w:tc>
                <w:tcPr>
                  <w:tcW w:w="1672" w:type="pct"/>
                  <w:vAlign w:val="center"/>
                </w:tcPr>
                <w:p>
                  <w:pPr>
                    <w:widowControl/>
                    <w:jc w:val="center"/>
                    <w:textAlignment w:val="center"/>
                    <w:rPr>
                      <w:bCs/>
                      <w:szCs w:val="21"/>
                    </w:rPr>
                  </w:pPr>
                  <w:r>
                    <w:rPr>
                      <w:bCs/>
                      <w:kern w:val="0"/>
                      <w:szCs w:val="21"/>
                      <w:lang w:bidi="ar"/>
                    </w:rPr>
                    <w:t>采样频次</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340" w:hRule="atLeast"/>
              </w:trPr>
              <w:tc>
                <w:tcPr>
                  <w:tcW w:w="1663" w:type="pct"/>
                  <w:vMerge w:val="restart"/>
                  <w:vAlign w:val="center"/>
                </w:tcPr>
                <w:p>
                  <w:pPr>
                    <w:widowControl/>
                    <w:jc w:val="center"/>
                    <w:textAlignment w:val="center"/>
                    <w:rPr>
                      <w:szCs w:val="21"/>
                    </w:rPr>
                  </w:pPr>
                  <w:r>
                    <w:rPr>
                      <w:kern w:val="0"/>
                      <w:szCs w:val="21"/>
                      <w:lang w:bidi="ar"/>
                    </w:rPr>
                    <w:t>声环境质量</w:t>
                  </w:r>
                </w:p>
              </w:tc>
              <w:tc>
                <w:tcPr>
                  <w:tcW w:w="1665" w:type="pct"/>
                  <w:vAlign w:val="center"/>
                </w:tcPr>
                <w:p>
                  <w:pPr>
                    <w:snapToGrid w:val="0"/>
                    <w:jc w:val="center"/>
                    <w:rPr>
                      <w:szCs w:val="21"/>
                    </w:rPr>
                  </w:pPr>
                  <w:r>
                    <w:rPr>
                      <w:rFonts w:hint="eastAsia"/>
                      <w:szCs w:val="21"/>
                      <w:lang w:val="en-US" w:eastAsia="zh-CN"/>
                    </w:rPr>
                    <w:t>N1</w:t>
                  </w:r>
                  <w:r>
                    <w:rPr>
                      <w:rFonts w:hint="eastAsia"/>
                      <w:szCs w:val="21"/>
                      <w:lang w:eastAsia="zh-CN"/>
                    </w:rPr>
                    <w:t>东</w:t>
                  </w:r>
                  <w:r>
                    <w:rPr>
                      <w:szCs w:val="21"/>
                    </w:rPr>
                    <w:t>厂界外1m</w:t>
                  </w:r>
                </w:p>
              </w:tc>
              <w:tc>
                <w:tcPr>
                  <w:tcW w:w="1672" w:type="pct"/>
                  <w:vMerge w:val="restart"/>
                  <w:vAlign w:val="center"/>
                </w:tcPr>
                <w:p>
                  <w:pPr>
                    <w:widowControl/>
                    <w:jc w:val="center"/>
                    <w:textAlignment w:val="center"/>
                    <w:rPr>
                      <w:szCs w:val="21"/>
                    </w:rPr>
                  </w:pPr>
                  <w:r>
                    <w:rPr>
                      <w:szCs w:val="21"/>
                    </w:rPr>
                    <w:t>检测周期为2天，昼夜各1次，测各测点处的等效连续A声级</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340" w:hRule="atLeast"/>
              </w:trPr>
              <w:tc>
                <w:tcPr>
                  <w:tcW w:w="1663" w:type="pct"/>
                  <w:vMerge w:val="continue"/>
                  <w:vAlign w:val="center"/>
                </w:tcPr>
                <w:p>
                  <w:pPr>
                    <w:widowControl/>
                    <w:jc w:val="center"/>
                    <w:textAlignment w:val="center"/>
                    <w:rPr>
                      <w:kern w:val="0"/>
                      <w:szCs w:val="21"/>
                      <w:lang w:bidi="ar"/>
                    </w:rPr>
                  </w:pPr>
                </w:p>
              </w:tc>
              <w:tc>
                <w:tcPr>
                  <w:tcW w:w="1665" w:type="pct"/>
                  <w:vAlign w:val="center"/>
                </w:tcPr>
                <w:p>
                  <w:pPr>
                    <w:snapToGrid w:val="0"/>
                    <w:jc w:val="center"/>
                    <w:rPr>
                      <w:szCs w:val="21"/>
                    </w:rPr>
                  </w:pPr>
                  <w:r>
                    <w:rPr>
                      <w:rFonts w:hint="eastAsia"/>
                      <w:szCs w:val="21"/>
                      <w:lang w:val="en-US" w:eastAsia="zh-CN"/>
                    </w:rPr>
                    <w:t>N2</w:t>
                  </w:r>
                  <w:r>
                    <w:rPr>
                      <w:rFonts w:hint="eastAsia"/>
                      <w:szCs w:val="21"/>
                      <w:lang w:eastAsia="zh-CN"/>
                    </w:rPr>
                    <w:t>南</w:t>
                  </w:r>
                  <w:r>
                    <w:rPr>
                      <w:szCs w:val="21"/>
                    </w:rPr>
                    <w:t>厂界外1m</w:t>
                  </w:r>
                </w:p>
              </w:tc>
              <w:tc>
                <w:tcPr>
                  <w:tcW w:w="1672" w:type="pct"/>
                  <w:vMerge w:val="continue"/>
                  <w:vAlign w:val="center"/>
                </w:tcPr>
                <w:p>
                  <w:pPr>
                    <w:widowControl/>
                    <w:jc w:val="center"/>
                    <w:textAlignment w:val="center"/>
                    <w:rPr>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340" w:hRule="atLeast"/>
              </w:trPr>
              <w:tc>
                <w:tcPr>
                  <w:tcW w:w="1663" w:type="pct"/>
                  <w:vMerge w:val="continue"/>
                  <w:vAlign w:val="center"/>
                </w:tcPr>
                <w:p>
                  <w:pPr>
                    <w:widowControl/>
                    <w:jc w:val="center"/>
                    <w:textAlignment w:val="center"/>
                    <w:rPr>
                      <w:kern w:val="0"/>
                      <w:szCs w:val="21"/>
                      <w:lang w:bidi="ar"/>
                    </w:rPr>
                  </w:pPr>
                </w:p>
              </w:tc>
              <w:tc>
                <w:tcPr>
                  <w:tcW w:w="1665" w:type="pct"/>
                  <w:vAlign w:val="center"/>
                </w:tcPr>
                <w:p>
                  <w:pPr>
                    <w:snapToGrid w:val="0"/>
                    <w:jc w:val="center"/>
                    <w:rPr>
                      <w:szCs w:val="21"/>
                    </w:rPr>
                  </w:pPr>
                  <w:r>
                    <w:rPr>
                      <w:rFonts w:hint="eastAsia"/>
                      <w:szCs w:val="21"/>
                      <w:lang w:val="en-US" w:eastAsia="zh-CN"/>
                    </w:rPr>
                    <w:t>N3</w:t>
                  </w:r>
                  <w:r>
                    <w:rPr>
                      <w:rFonts w:hint="eastAsia"/>
                      <w:szCs w:val="21"/>
                      <w:lang w:eastAsia="zh-CN"/>
                    </w:rPr>
                    <w:t>西</w:t>
                  </w:r>
                  <w:r>
                    <w:rPr>
                      <w:szCs w:val="21"/>
                    </w:rPr>
                    <w:t>厂界外1m</w:t>
                  </w:r>
                </w:p>
              </w:tc>
              <w:tc>
                <w:tcPr>
                  <w:tcW w:w="1672" w:type="pct"/>
                  <w:vMerge w:val="continue"/>
                  <w:vAlign w:val="center"/>
                </w:tcPr>
                <w:p>
                  <w:pPr>
                    <w:widowControl/>
                    <w:jc w:val="center"/>
                    <w:textAlignment w:val="center"/>
                    <w:rPr>
                      <w:szCs w:val="21"/>
                    </w:rPr>
                  </w:pP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15" w:type="dxa"/>
                  <w:left w:w="15" w:type="dxa"/>
                  <w:bottom w:w="15" w:type="dxa"/>
                  <w:right w:w="15" w:type="dxa"/>
                </w:tblCellMar>
              </w:tblPrEx>
              <w:trPr>
                <w:trHeight w:val="340" w:hRule="atLeast"/>
              </w:trPr>
              <w:tc>
                <w:tcPr>
                  <w:tcW w:w="1663" w:type="pct"/>
                  <w:vMerge w:val="continue"/>
                  <w:vAlign w:val="center"/>
                </w:tcPr>
                <w:p>
                  <w:pPr>
                    <w:widowControl/>
                    <w:jc w:val="center"/>
                    <w:textAlignment w:val="center"/>
                    <w:rPr>
                      <w:kern w:val="0"/>
                      <w:szCs w:val="21"/>
                      <w:lang w:bidi="ar"/>
                    </w:rPr>
                  </w:pPr>
                </w:p>
              </w:tc>
              <w:tc>
                <w:tcPr>
                  <w:tcW w:w="1665" w:type="pct"/>
                  <w:vAlign w:val="center"/>
                </w:tcPr>
                <w:p>
                  <w:pPr>
                    <w:snapToGrid w:val="0"/>
                    <w:jc w:val="center"/>
                    <w:rPr>
                      <w:szCs w:val="21"/>
                    </w:rPr>
                  </w:pPr>
                  <w:r>
                    <w:rPr>
                      <w:rFonts w:hint="eastAsia"/>
                      <w:szCs w:val="21"/>
                      <w:lang w:val="en-US" w:eastAsia="zh-CN"/>
                    </w:rPr>
                    <w:t>N4</w:t>
                  </w:r>
                  <w:r>
                    <w:rPr>
                      <w:rFonts w:hint="eastAsia"/>
                      <w:szCs w:val="21"/>
                      <w:lang w:eastAsia="zh-CN"/>
                    </w:rPr>
                    <w:t>北</w:t>
                  </w:r>
                  <w:r>
                    <w:rPr>
                      <w:szCs w:val="21"/>
                    </w:rPr>
                    <w:t>厂界外1m</w:t>
                  </w:r>
                </w:p>
              </w:tc>
              <w:tc>
                <w:tcPr>
                  <w:tcW w:w="1672" w:type="pct"/>
                  <w:vMerge w:val="continue"/>
                  <w:vAlign w:val="center"/>
                </w:tcPr>
                <w:p>
                  <w:pPr>
                    <w:widowControl/>
                    <w:jc w:val="center"/>
                    <w:textAlignment w:val="center"/>
                    <w:rPr>
                      <w:szCs w:val="21"/>
                    </w:rPr>
                  </w:pPr>
                </w:p>
              </w:tc>
            </w:tr>
          </w:tbl>
          <w:p>
            <w:pPr>
              <w:spacing w:line="360" w:lineRule="auto"/>
              <w:ind w:firstLine="480" w:firstLineChars="200"/>
              <w:rPr>
                <w:sz w:val="24"/>
              </w:rPr>
            </w:pPr>
            <w:r>
              <w:rPr>
                <w:sz w:val="24"/>
              </w:rPr>
              <w:t>监测时间及频率</w:t>
            </w:r>
            <w:r>
              <w:rPr>
                <w:color w:val="000000" w:themeColor="text1"/>
                <w:sz w:val="24"/>
                <w14:textFill>
                  <w14:solidFill>
                    <w14:schemeClr w14:val="tx1"/>
                  </w14:solidFill>
                </w14:textFill>
              </w:rPr>
              <w:t>：20</w:t>
            </w:r>
            <w:r>
              <w:rPr>
                <w:rFonts w:hint="eastAsia"/>
                <w:color w:val="000000" w:themeColor="text1"/>
                <w:sz w:val="24"/>
                <w14:textFill>
                  <w14:solidFill>
                    <w14:schemeClr w14:val="tx1"/>
                  </w14:solidFill>
                </w14:textFill>
              </w:rPr>
              <w:t>20</w:t>
            </w:r>
            <w:r>
              <w:rPr>
                <w:color w:val="000000" w:themeColor="text1"/>
                <w:sz w:val="24"/>
                <w14:textFill>
                  <w14:solidFill>
                    <w14:schemeClr w14:val="tx1"/>
                  </w14:solidFill>
                </w14:textFill>
              </w:rPr>
              <w:t>年</w:t>
            </w:r>
            <w:r>
              <w:rPr>
                <w:rFonts w:hint="eastAsia"/>
                <w:color w:val="000000" w:themeColor="text1"/>
                <w:sz w:val="24"/>
                <w:lang w:val="en-US" w:eastAsia="zh-CN"/>
                <w14:textFill>
                  <w14:solidFill>
                    <w14:schemeClr w14:val="tx1"/>
                  </w14:solidFill>
                </w14:textFill>
              </w:rPr>
              <w:t>8</w:t>
            </w:r>
            <w:r>
              <w:rPr>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20</w:t>
            </w:r>
            <w:r>
              <w:rPr>
                <w:color w:val="000000" w:themeColor="text1"/>
                <w:sz w:val="24"/>
                <w14:textFill>
                  <w14:solidFill>
                    <w14:schemeClr w14:val="tx1"/>
                  </w14:solidFill>
                </w14:textFill>
              </w:rPr>
              <w:t>日~</w:t>
            </w:r>
            <w:r>
              <w:rPr>
                <w:rFonts w:hint="eastAsia"/>
                <w:color w:val="000000" w:themeColor="text1"/>
                <w:sz w:val="24"/>
                <w:lang w:val="en-US" w:eastAsia="zh-CN"/>
                <w14:textFill>
                  <w14:solidFill>
                    <w14:schemeClr w14:val="tx1"/>
                  </w14:solidFill>
                </w14:textFill>
              </w:rPr>
              <w:t>21</w:t>
            </w:r>
            <w:r>
              <w:rPr>
                <w:color w:val="000000" w:themeColor="text1"/>
                <w:sz w:val="24"/>
                <w14:textFill>
                  <w14:solidFill>
                    <w14:schemeClr w14:val="tx1"/>
                  </w14:solidFill>
                </w14:textFill>
              </w:rPr>
              <w:t>日</w:t>
            </w:r>
            <w:r>
              <w:rPr>
                <w:sz w:val="24"/>
              </w:rPr>
              <w:t>监测2天，昼夜各1次。</w:t>
            </w:r>
          </w:p>
          <w:p>
            <w:pPr>
              <w:spacing w:line="360" w:lineRule="auto"/>
              <w:ind w:firstLine="480" w:firstLineChars="200"/>
              <w:rPr>
                <w:sz w:val="24"/>
              </w:rPr>
            </w:pPr>
            <w:r>
              <w:rPr>
                <w:sz w:val="24"/>
              </w:rPr>
              <w:t>监测方法：按《声环境质量标准》GB3096-2008的规定进行监测。</w:t>
            </w:r>
          </w:p>
          <w:p>
            <w:pPr>
              <w:spacing w:line="360" w:lineRule="auto"/>
              <w:ind w:firstLine="472" w:firstLineChars="196"/>
              <w:rPr>
                <w:b/>
                <w:bCs/>
                <w:sz w:val="24"/>
              </w:rPr>
            </w:pPr>
            <w:r>
              <w:rPr>
                <w:b/>
                <w:bCs/>
                <w:sz w:val="24"/>
              </w:rPr>
              <w:t>2、监测结果</w:t>
            </w:r>
          </w:p>
          <w:p>
            <w:pPr>
              <w:pStyle w:val="12"/>
              <w:adjustRightInd w:val="0"/>
              <w:ind w:firstLine="0"/>
              <w:jc w:val="center"/>
              <w:rPr>
                <w:sz w:val="21"/>
                <w:szCs w:val="21"/>
              </w:rPr>
            </w:pPr>
            <w:r>
              <w:rPr>
                <w:b/>
                <w:bCs/>
                <w:sz w:val="21"/>
                <w:szCs w:val="21"/>
              </w:rPr>
              <w:t>表3-4 环境噪声监测结果表   等效声级：LAeq：dB</w:t>
            </w:r>
          </w:p>
          <w:tbl>
            <w:tblPr>
              <w:tblStyle w:val="29"/>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24"/>
              <w:gridCol w:w="1369"/>
              <w:gridCol w:w="850"/>
              <w:gridCol w:w="1309"/>
              <w:gridCol w:w="1016"/>
              <w:gridCol w:w="2174"/>
              <w:gridCol w:w="1162"/>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24" w:type="pct"/>
                  <w:vMerge w:val="restart"/>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ascii="Times New Roman" w:hAnsi="Times New Roman"/>
                      <w:bCs/>
                      <w:sz w:val="21"/>
                      <w:szCs w:val="21"/>
                      <w:lang w:val="en-US" w:eastAsia="zh-CN"/>
                    </w:rPr>
                    <w:t>检测点位</w:t>
                  </w:r>
                </w:p>
              </w:tc>
              <w:tc>
                <w:tcPr>
                  <w:tcW w:w="2523" w:type="pct"/>
                  <w:gridSpan w:val="4"/>
                  <w:tcBorders>
                    <w:right w:val="single" w:color="auto" w:sz="4" w:space="0"/>
                  </w:tcBorders>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ascii="Times New Roman" w:hAnsi="Times New Roman"/>
                      <w:bCs/>
                      <w:sz w:val="21"/>
                      <w:szCs w:val="21"/>
                      <w:lang w:val="en-US" w:eastAsia="zh-CN"/>
                    </w:rPr>
                    <w:t>检测结果</w:t>
                  </w:r>
                </w:p>
              </w:tc>
              <w:tc>
                <w:tcPr>
                  <w:tcW w:w="1207" w:type="pct"/>
                  <w:tcBorders>
                    <w:left w:val="single" w:color="auto" w:sz="4" w:space="0"/>
                    <w:bottom w:val="single" w:color="auto" w:sz="4" w:space="0"/>
                    <w:right w:val="single" w:color="auto" w:sz="4" w:space="0"/>
                  </w:tcBorders>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执行标准</w:t>
                  </w:r>
                </w:p>
              </w:tc>
              <w:tc>
                <w:tcPr>
                  <w:tcW w:w="645" w:type="pct"/>
                  <w:tcBorders>
                    <w:left w:val="single" w:color="auto" w:sz="4" w:space="0"/>
                  </w:tcBorders>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hint="eastAsia" w:ascii="Times New Roman" w:hAnsi="Times New Roman"/>
                      <w:bCs/>
                      <w:sz w:val="21"/>
                      <w:szCs w:val="21"/>
                      <w:lang w:val="en-US" w:eastAsia="zh-CN"/>
                    </w:rPr>
                    <w:t>达标情况</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24" w:type="pct"/>
                  <w:vMerge w:val="continue"/>
                  <w:vAlign w:val="center"/>
                </w:tcPr>
                <w:p>
                  <w:pPr>
                    <w:pStyle w:val="25"/>
                    <w:adjustRightInd w:val="0"/>
                    <w:spacing w:before="0" w:beforeAutospacing="0" w:after="0" w:afterAutospacing="0"/>
                    <w:jc w:val="center"/>
                    <w:rPr>
                      <w:rFonts w:ascii="Times New Roman" w:hAnsi="Times New Roman"/>
                      <w:sz w:val="21"/>
                      <w:szCs w:val="21"/>
                      <w:lang w:val="en-US" w:eastAsia="zh-CN"/>
                    </w:rPr>
                  </w:pPr>
                </w:p>
              </w:tc>
              <w:tc>
                <w:tcPr>
                  <w:tcW w:w="1232" w:type="pct"/>
                  <w:gridSpan w:val="2"/>
                  <w:vAlign w:val="center"/>
                </w:tcPr>
                <w:p>
                  <w:pPr>
                    <w:pStyle w:val="25"/>
                    <w:adjustRightInd w:val="0"/>
                    <w:spacing w:before="0" w:beforeAutospacing="0" w:after="0" w:afterAutospacing="0"/>
                    <w:jc w:val="center"/>
                    <w:rPr>
                      <w:rFonts w:ascii="Times New Roman" w:hAnsi="Times New Roman"/>
                      <w:bCs/>
                      <w:color w:val="000000" w:themeColor="text1"/>
                      <w:sz w:val="21"/>
                      <w:szCs w:val="21"/>
                      <w:lang w:val="en-US" w:eastAsia="zh-CN"/>
                      <w14:textFill>
                        <w14:solidFill>
                          <w14:schemeClr w14:val="tx1"/>
                        </w14:solidFill>
                      </w14:textFill>
                    </w:rPr>
                  </w:pPr>
                  <w:r>
                    <w:rPr>
                      <w:rFonts w:ascii="Times New Roman" w:hAnsi="Times New Roman"/>
                      <w:bCs/>
                      <w:color w:val="000000" w:themeColor="text1"/>
                      <w:sz w:val="21"/>
                      <w:szCs w:val="21"/>
                      <w:lang w:val="en-US" w:eastAsia="zh-CN"/>
                      <w14:textFill>
                        <w14:solidFill>
                          <w14:schemeClr w14:val="tx1"/>
                        </w14:solidFill>
                      </w14:textFill>
                    </w:rPr>
                    <w:t>2020.</w:t>
                  </w:r>
                  <w:r>
                    <w:rPr>
                      <w:rFonts w:hint="eastAsia" w:ascii="Times New Roman" w:hAnsi="Times New Roman"/>
                      <w:bCs/>
                      <w:color w:val="000000" w:themeColor="text1"/>
                      <w:sz w:val="21"/>
                      <w:szCs w:val="21"/>
                      <w:lang w:val="en-US" w:eastAsia="zh-CN"/>
                      <w14:textFill>
                        <w14:solidFill>
                          <w14:schemeClr w14:val="tx1"/>
                        </w14:solidFill>
                      </w14:textFill>
                    </w:rPr>
                    <w:t>8</w:t>
                  </w:r>
                  <w:r>
                    <w:rPr>
                      <w:rFonts w:ascii="Times New Roman" w:hAnsi="Times New Roman"/>
                      <w:bCs/>
                      <w:color w:val="000000" w:themeColor="text1"/>
                      <w:sz w:val="21"/>
                      <w:szCs w:val="21"/>
                      <w:lang w:val="en-US" w:eastAsia="zh-CN"/>
                      <w14:textFill>
                        <w14:solidFill>
                          <w14:schemeClr w14:val="tx1"/>
                        </w14:solidFill>
                      </w14:textFill>
                    </w:rPr>
                    <w:t>.</w:t>
                  </w:r>
                  <w:r>
                    <w:rPr>
                      <w:rFonts w:hint="eastAsia" w:ascii="Times New Roman" w:hAnsi="Times New Roman"/>
                      <w:bCs/>
                      <w:color w:val="000000" w:themeColor="text1"/>
                      <w:sz w:val="21"/>
                      <w:szCs w:val="21"/>
                      <w:lang w:val="en-US" w:eastAsia="zh-CN"/>
                      <w14:textFill>
                        <w14:solidFill>
                          <w14:schemeClr w14:val="tx1"/>
                        </w14:solidFill>
                      </w14:textFill>
                    </w:rPr>
                    <w:t>20</w:t>
                  </w:r>
                </w:p>
              </w:tc>
              <w:tc>
                <w:tcPr>
                  <w:tcW w:w="1291" w:type="pct"/>
                  <w:gridSpan w:val="2"/>
                  <w:tcBorders>
                    <w:right w:val="single" w:color="auto" w:sz="4" w:space="0"/>
                  </w:tcBorders>
                  <w:vAlign w:val="center"/>
                </w:tcPr>
                <w:p>
                  <w:pPr>
                    <w:pStyle w:val="25"/>
                    <w:adjustRightInd w:val="0"/>
                    <w:spacing w:before="0" w:beforeAutospacing="0" w:after="0" w:afterAutospacing="0"/>
                    <w:jc w:val="center"/>
                    <w:rPr>
                      <w:rFonts w:ascii="Times New Roman" w:hAnsi="Times New Roman"/>
                      <w:bCs/>
                      <w:color w:val="000000" w:themeColor="text1"/>
                      <w:sz w:val="21"/>
                      <w:szCs w:val="21"/>
                      <w:lang w:val="en-US" w:eastAsia="zh-CN"/>
                      <w14:textFill>
                        <w14:solidFill>
                          <w14:schemeClr w14:val="tx1"/>
                        </w14:solidFill>
                      </w14:textFill>
                    </w:rPr>
                  </w:pPr>
                  <w:r>
                    <w:rPr>
                      <w:rFonts w:ascii="Times New Roman" w:hAnsi="Times New Roman"/>
                      <w:bCs/>
                      <w:color w:val="000000" w:themeColor="text1"/>
                      <w:sz w:val="21"/>
                      <w:szCs w:val="21"/>
                      <w:lang w:val="en-US" w:eastAsia="zh-CN"/>
                      <w14:textFill>
                        <w14:solidFill>
                          <w14:schemeClr w14:val="tx1"/>
                        </w14:solidFill>
                      </w14:textFill>
                    </w:rPr>
                    <w:t>2020.</w:t>
                  </w:r>
                  <w:r>
                    <w:rPr>
                      <w:rFonts w:hint="eastAsia" w:ascii="Times New Roman" w:hAnsi="Times New Roman"/>
                      <w:bCs/>
                      <w:color w:val="000000" w:themeColor="text1"/>
                      <w:sz w:val="21"/>
                      <w:szCs w:val="21"/>
                      <w:lang w:val="en-US" w:eastAsia="zh-CN"/>
                      <w14:textFill>
                        <w14:solidFill>
                          <w14:schemeClr w14:val="tx1"/>
                        </w14:solidFill>
                      </w14:textFill>
                    </w:rPr>
                    <w:t>8</w:t>
                  </w:r>
                  <w:r>
                    <w:rPr>
                      <w:rFonts w:ascii="Times New Roman" w:hAnsi="Times New Roman"/>
                      <w:bCs/>
                      <w:color w:val="000000" w:themeColor="text1"/>
                      <w:sz w:val="21"/>
                      <w:szCs w:val="21"/>
                      <w:lang w:val="en-US" w:eastAsia="zh-CN"/>
                      <w14:textFill>
                        <w14:solidFill>
                          <w14:schemeClr w14:val="tx1"/>
                        </w14:solidFill>
                      </w14:textFill>
                    </w:rPr>
                    <w:t>.</w:t>
                  </w:r>
                  <w:r>
                    <w:rPr>
                      <w:rFonts w:hint="eastAsia" w:ascii="Times New Roman" w:hAnsi="Times New Roman"/>
                      <w:bCs/>
                      <w:color w:val="000000" w:themeColor="text1"/>
                      <w:sz w:val="21"/>
                      <w:szCs w:val="21"/>
                      <w:lang w:val="en-US" w:eastAsia="zh-CN"/>
                      <w14:textFill>
                        <w14:solidFill>
                          <w14:schemeClr w14:val="tx1"/>
                        </w14:solidFill>
                      </w14:textFill>
                    </w:rPr>
                    <w:t>21</w:t>
                  </w:r>
                </w:p>
              </w:tc>
              <w:tc>
                <w:tcPr>
                  <w:tcW w:w="1207" w:type="pct"/>
                  <w:vMerge w:val="restart"/>
                  <w:tcBorders>
                    <w:top w:val="single" w:color="auto" w:sz="4" w:space="0"/>
                    <w:left w:val="single" w:color="auto" w:sz="4" w:space="0"/>
                    <w:right w:val="single" w:color="auto" w:sz="4" w:space="0"/>
                  </w:tcBorders>
                  <w:vAlign w:val="center"/>
                </w:tcPr>
                <w:p>
                  <w:pPr>
                    <w:pStyle w:val="25"/>
                    <w:adjustRightInd w:val="0"/>
                    <w:spacing w:before="0" w:beforeAutospacing="0" w:after="0" w:afterAutospacing="0"/>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《声环境质量标准》中2类标准</w:t>
                  </w:r>
                </w:p>
                <w:p>
                  <w:pPr>
                    <w:pStyle w:val="25"/>
                    <w:adjustRightInd w:val="0"/>
                    <w:spacing w:before="0" w:beforeAutospacing="0" w:after="0" w:afterAutospacing="0"/>
                    <w:jc w:val="center"/>
                    <w:rPr>
                      <w:rFonts w:hint="eastAsia" w:ascii="Times New Roman" w:hAnsi="Times New Roman"/>
                      <w:bCs/>
                      <w:sz w:val="21"/>
                      <w:szCs w:val="21"/>
                      <w:lang w:val="en-US" w:eastAsia="zh-CN"/>
                    </w:rPr>
                  </w:pPr>
                  <w:r>
                    <w:rPr>
                      <w:rFonts w:hint="eastAsia" w:ascii="Times New Roman" w:hAnsi="Times New Roman"/>
                      <w:bCs/>
                      <w:sz w:val="21"/>
                      <w:szCs w:val="21"/>
                      <w:lang w:val="en-US" w:eastAsia="zh-CN"/>
                    </w:rPr>
                    <w:t>昼间≤60dB（A)</w:t>
                  </w:r>
                  <w:r>
                    <w:rPr>
                      <w:rFonts w:hint="eastAsia" w:ascii="Times New Roman" w:hAnsi="Times New Roman"/>
                      <w:bCs/>
                      <w:sz w:val="21"/>
                      <w:szCs w:val="21"/>
                      <w:lang w:val="en-US" w:eastAsia="zh-CN"/>
                    </w:rPr>
                    <w:cr/>
                  </w:r>
                  <w:r>
                    <w:rPr>
                      <w:rFonts w:hint="eastAsia" w:ascii="Times New Roman" w:hAnsi="Times New Roman"/>
                      <w:bCs/>
                      <w:sz w:val="21"/>
                      <w:szCs w:val="21"/>
                      <w:lang w:val="en-US" w:eastAsia="zh-CN"/>
                    </w:rPr>
                    <w:t>，夜间≤50dB（A)</w:t>
                  </w:r>
                </w:p>
                <w:p>
                  <w:pPr>
                    <w:pStyle w:val="25"/>
                    <w:adjustRightInd w:val="0"/>
                    <w:spacing w:before="0" w:beforeAutospacing="0" w:after="0" w:afterAutospacing="0"/>
                    <w:jc w:val="center"/>
                    <w:rPr>
                      <w:rFonts w:hint="default" w:ascii="Times New Roman" w:hAnsi="Times New Roman"/>
                      <w:bCs/>
                      <w:sz w:val="21"/>
                      <w:szCs w:val="21"/>
                      <w:lang w:val="en-US" w:eastAsia="zh-CN"/>
                    </w:rPr>
                  </w:pPr>
                  <w:r>
                    <w:rPr>
                      <w:rFonts w:hint="eastAsia" w:ascii="Times New Roman" w:hAnsi="Times New Roman"/>
                      <w:bCs/>
                      <w:sz w:val="21"/>
                      <w:szCs w:val="21"/>
                      <w:lang w:val="en-US" w:eastAsia="zh-CN"/>
                    </w:rPr>
                    <w:t>4a类标准≤70（A)，≤55（A）</w:t>
                  </w:r>
                </w:p>
              </w:tc>
              <w:tc>
                <w:tcPr>
                  <w:tcW w:w="645" w:type="pct"/>
                  <w:tcBorders>
                    <w:left w:val="single" w:color="auto" w:sz="4" w:space="0"/>
                  </w:tcBorders>
                  <w:vAlign w:val="center"/>
                </w:tcPr>
                <w:p>
                  <w:pPr>
                    <w:pStyle w:val="25"/>
                    <w:adjustRightInd w:val="0"/>
                    <w:spacing w:before="0" w:beforeAutospacing="0" w:after="0" w:afterAutospacing="0"/>
                    <w:jc w:val="center"/>
                    <w:rPr>
                      <w:rFonts w:hint="default" w:ascii="Times New Roman" w:hAnsi="Times New Roman"/>
                      <w:bCs/>
                      <w:color w:val="000000" w:themeColor="text1"/>
                      <w:sz w:val="21"/>
                      <w:szCs w:val="21"/>
                      <w:lang w:val="en-US"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24" w:type="pct"/>
                  <w:vMerge w:val="continue"/>
                  <w:vAlign w:val="center"/>
                </w:tcPr>
                <w:p>
                  <w:pPr>
                    <w:pStyle w:val="25"/>
                    <w:adjustRightInd w:val="0"/>
                    <w:spacing w:before="0" w:beforeAutospacing="0" w:after="0" w:afterAutospacing="0"/>
                    <w:jc w:val="center"/>
                    <w:rPr>
                      <w:rFonts w:ascii="Times New Roman" w:hAnsi="Times New Roman"/>
                      <w:bCs/>
                      <w:sz w:val="21"/>
                      <w:szCs w:val="21"/>
                      <w:lang w:val="en-US" w:eastAsia="zh-CN"/>
                    </w:rPr>
                  </w:pPr>
                </w:p>
              </w:tc>
              <w:tc>
                <w:tcPr>
                  <w:tcW w:w="760" w:type="pct"/>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ascii="Times New Roman" w:hAnsi="Times New Roman"/>
                      <w:bCs/>
                      <w:sz w:val="21"/>
                      <w:szCs w:val="21"/>
                      <w:lang w:val="en-US" w:eastAsia="zh-CN"/>
                    </w:rPr>
                    <w:t>昼间</w:t>
                  </w:r>
                </w:p>
              </w:tc>
              <w:tc>
                <w:tcPr>
                  <w:tcW w:w="471" w:type="pct"/>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ascii="Times New Roman" w:hAnsi="Times New Roman"/>
                      <w:bCs/>
                      <w:sz w:val="21"/>
                      <w:szCs w:val="21"/>
                      <w:lang w:val="en-US" w:eastAsia="zh-CN"/>
                    </w:rPr>
                    <w:t>夜间</w:t>
                  </w:r>
                </w:p>
              </w:tc>
              <w:tc>
                <w:tcPr>
                  <w:tcW w:w="727" w:type="pct"/>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ascii="Times New Roman" w:hAnsi="Times New Roman"/>
                      <w:bCs/>
                      <w:sz w:val="21"/>
                      <w:szCs w:val="21"/>
                      <w:lang w:val="en-US" w:eastAsia="zh-CN"/>
                    </w:rPr>
                    <w:t>昼间</w:t>
                  </w:r>
                </w:p>
              </w:tc>
              <w:tc>
                <w:tcPr>
                  <w:tcW w:w="563" w:type="pct"/>
                  <w:tcBorders>
                    <w:right w:val="single" w:color="auto" w:sz="4" w:space="0"/>
                  </w:tcBorders>
                  <w:vAlign w:val="center"/>
                </w:tcPr>
                <w:p>
                  <w:pPr>
                    <w:pStyle w:val="25"/>
                    <w:adjustRightInd w:val="0"/>
                    <w:spacing w:before="0" w:beforeAutospacing="0" w:after="0" w:afterAutospacing="0"/>
                    <w:jc w:val="center"/>
                    <w:rPr>
                      <w:rFonts w:ascii="Times New Roman" w:hAnsi="Times New Roman"/>
                      <w:bCs/>
                      <w:sz w:val="21"/>
                      <w:szCs w:val="21"/>
                      <w:lang w:val="en-US" w:eastAsia="zh-CN"/>
                    </w:rPr>
                  </w:pPr>
                  <w:r>
                    <w:rPr>
                      <w:rFonts w:ascii="Times New Roman" w:hAnsi="Times New Roman"/>
                      <w:bCs/>
                      <w:sz w:val="21"/>
                      <w:szCs w:val="21"/>
                      <w:lang w:val="en-US" w:eastAsia="zh-CN"/>
                    </w:rPr>
                    <w:t>夜间</w:t>
                  </w:r>
                </w:p>
              </w:tc>
              <w:tc>
                <w:tcPr>
                  <w:tcW w:w="1207" w:type="pct"/>
                  <w:vMerge w:val="continue"/>
                  <w:tcBorders>
                    <w:left w:val="single" w:color="auto" w:sz="4" w:space="0"/>
                    <w:right w:val="single" w:color="auto" w:sz="4" w:space="0"/>
                  </w:tcBorders>
                  <w:vAlign w:val="center"/>
                </w:tcPr>
                <w:p>
                  <w:pPr>
                    <w:pStyle w:val="25"/>
                    <w:adjustRightInd w:val="0"/>
                    <w:spacing w:before="0" w:beforeAutospacing="0" w:after="0" w:afterAutospacing="0"/>
                    <w:jc w:val="center"/>
                    <w:rPr>
                      <w:rFonts w:hint="default" w:ascii="Times New Roman" w:hAnsi="Times New Roman"/>
                      <w:bCs/>
                      <w:sz w:val="21"/>
                      <w:szCs w:val="21"/>
                      <w:lang w:val="en-US" w:eastAsia="zh-CN"/>
                    </w:rPr>
                  </w:pPr>
                </w:p>
              </w:tc>
              <w:tc>
                <w:tcPr>
                  <w:tcW w:w="645" w:type="pct"/>
                  <w:tcBorders>
                    <w:left w:val="single" w:color="auto" w:sz="4" w:space="0"/>
                  </w:tcBorders>
                  <w:vAlign w:val="center"/>
                </w:tcPr>
                <w:p>
                  <w:pPr>
                    <w:pStyle w:val="25"/>
                    <w:adjustRightInd w:val="0"/>
                    <w:spacing w:before="0" w:beforeAutospacing="0" w:after="0" w:afterAutospacing="0"/>
                    <w:jc w:val="center"/>
                    <w:rPr>
                      <w:rFonts w:hint="default" w:ascii="Times New Roman" w:hAnsi="Times New Roman"/>
                      <w:bCs/>
                      <w:sz w:val="21"/>
                      <w:szCs w:val="21"/>
                      <w:lang w:val="en-US" w:eastAsia="zh-CN"/>
                    </w:rPr>
                  </w:pPr>
                  <w:r>
                    <w:rPr>
                      <w:rFonts w:hint="eastAsia" w:ascii="Times New Roman" w:hAnsi="Times New Roman"/>
                      <w:bCs/>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24" w:type="pct"/>
                  <w:vAlign w:val="center"/>
                </w:tcPr>
                <w:p>
                  <w:pPr>
                    <w:snapToGrid w:val="0"/>
                    <w:jc w:val="center"/>
                    <w:rPr>
                      <w:szCs w:val="21"/>
                    </w:rPr>
                  </w:pPr>
                  <w:r>
                    <w:rPr>
                      <w:rFonts w:hint="eastAsia"/>
                      <w:szCs w:val="21"/>
                      <w:lang w:val="en-US" w:eastAsia="zh-CN"/>
                    </w:rPr>
                    <w:t>N1</w:t>
                  </w:r>
                </w:p>
              </w:tc>
              <w:tc>
                <w:tcPr>
                  <w:tcW w:w="760" w:type="pct"/>
                  <w:vAlign w:val="center"/>
                </w:tcPr>
                <w:p>
                  <w:pPr>
                    <w:jc w:val="center"/>
                    <w:rPr>
                      <w:rFonts w:hint="default" w:eastAsia="宋体"/>
                      <w:szCs w:val="21"/>
                      <w:lang w:val="en-US" w:eastAsia="zh-CN"/>
                    </w:rPr>
                  </w:pPr>
                  <w:r>
                    <w:rPr>
                      <w:rFonts w:hint="eastAsia"/>
                      <w:szCs w:val="21"/>
                      <w:lang w:val="en-US" w:eastAsia="zh-CN"/>
                    </w:rPr>
                    <w:t>67</w:t>
                  </w:r>
                </w:p>
              </w:tc>
              <w:tc>
                <w:tcPr>
                  <w:tcW w:w="471" w:type="pct"/>
                  <w:vAlign w:val="center"/>
                </w:tcPr>
                <w:p>
                  <w:pPr>
                    <w:jc w:val="center"/>
                    <w:rPr>
                      <w:rFonts w:hint="default" w:eastAsia="宋体"/>
                      <w:szCs w:val="21"/>
                      <w:lang w:val="en-US" w:eastAsia="zh-CN"/>
                    </w:rPr>
                  </w:pPr>
                  <w:r>
                    <w:rPr>
                      <w:rFonts w:hint="eastAsia"/>
                      <w:szCs w:val="21"/>
                      <w:lang w:val="en-US" w:eastAsia="zh-CN"/>
                    </w:rPr>
                    <w:t>53</w:t>
                  </w:r>
                </w:p>
              </w:tc>
              <w:tc>
                <w:tcPr>
                  <w:tcW w:w="727" w:type="pct"/>
                  <w:vAlign w:val="center"/>
                </w:tcPr>
                <w:p>
                  <w:pPr>
                    <w:jc w:val="center"/>
                    <w:rPr>
                      <w:rFonts w:hint="default" w:eastAsia="宋体"/>
                      <w:szCs w:val="21"/>
                      <w:lang w:val="en-US" w:eastAsia="zh-CN"/>
                    </w:rPr>
                  </w:pPr>
                  <w:r>
                    <w:rPr>
                      <w:rFonts w:hint="eastAsia"/>
                      <w:szCs w:val="21"/>
                      <w:lang w:val="en-US" w:eastAsia="zh-CN"/>
                    </w:rPr>
                    <w:t>67</w:t>
                  </w:r>
                </w:p>
              </w:tc>
              <w:tc>
                <w:tcPr>
                  <w:tcW w:w="563" w:type="pct"/>
                  <w:tcBorders>
                    <w:right w:val="single" w:color="auto" w:sz="4" w:space="0"/>
                  </w:tcBorders>
                  <w:vAlign w:val="center"/>
                </w:tcPr>
                <w:p>
                  <w:pPr>
                    <w:jc w:val="center"/>
                    <w:rPr>
                      <w:rFonts w:hint="default" w:eastAsia="宋体"/>
                      <w:szCs w:val="21"/>
                      <w:lang w:val="en-US" w:eastAsia="zh-CN"/>
                    </w:rPr>
                  </w:pPr>
                  <w:r>
                    <w:rPr>
                      <w:rFonts w:hint="eastAsia"/>
                      <w:szCs w:val="21"/>
                      <w:lang w:val="en-US" w:eastAsia="zh-CN"/>
                    </w:rPr>
                    <w:t>53</w:t>
                  </w:r>
                </w:p>
              </w:tc>
              <w:tc>
                <w:tcPr>
                  <w:tcW w:w="1207" w:type="pct"/>
                  <w:vMerge w:val="continue"/>
                  <w:tcBorders>
                    <w:left w:val="single" w:color="auto" w:sz="4" w:space="0"/>
                    <w:right w:val="single" w:color="auto" w:sz="4" w:space="0"/>
                  </w:tcBorders>
                  <w:vAlign w:val="center"/>
                </w:tcPr>
                <w:p>
                  <w:pPr>
                    <w:jc w:val="center"/>
                    <w:rPr>
                      <w:rFonts w:hint="eastAsia"/>
                      <w:szCs w:val="21"/>
                      <w:lang w:val="en-US" w:eastAsia="zh-CN"/>
                    </w:rPr>
                  </w:pPr>
                </w:p>
              </w:tc>
              <w:tc>
                <w:tcPr>
                  <w:tcW w:w="645" w:type="pct"/>
                  <w:tcBorders>
                    <w:left w:val="single" w:color="auto" w:sz="4" w:space="0"/>
                  </w:tcBorders>
                  <w:vAlign w:val="center"/>
                </w:tcPr>
                <w:p>
                  <w:pPr>
                    <w:jc w:val="center"/>
                    <w:rPr>
                      <w:rFonts w:hint="eastAsia"/>
                      <w:szCs w:val="21"/>
                      <w:lang w:val="en-US" w:eastAsia="zh-CN"/>
                    </w:rPr>
                  </w:pPr>
                  <w:r>
                    <w:rPr>
                      <w:rFonts w:hint="eastAsia"/>
                      <w:szCs w:val="21"/>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24" w:type="pct"/>
                  <w:vAlign w:val="center"/>
                </w:tcPr>
                <w:p>
                  <w:pPr>
                    <w:snapToGrid w:val="0"/>
                    <w:jc w:val="center"/>
                    <w:rPr>
                      <w:szCs w:val="21"/>
                    </w:rPr>
                  </w:pPr>
                  <w:r>
                    <w:rPr>
                      <w:rFonts w:hint="eastAsia"/>
                      <w:szCs w:val="21"/>
                      <w:lang w:val="en-US" w:eastAsia="zh-CN"/>
                    </w:rPr>
                    <w:t>N2</w:t>
                  </w:r>
                </w:p>
              </w:tc>
              <w:tc>
                <w:tcPr>
                  <w:tcW w:w="760" w:type="pct"/>
                  <w:vAlign w:val="center"/>
                </w:tcPr>
                <w:p>
                  <w:pPr>
                    <w:jc w:val="center"/>
                    <w:rPr>
                      <w:rFonts w:hint="default" w:eastAsia="宋体"/>
                      <w:szCs w:val="21"/>
                      <w:lang w:val="en-US" w:eastAsia="zh-CN"/>
                    </w:rPr>
                  </w:pPr>
                  <w:r>
                    <w:rPr>
                      <w:rFonts w:hint="eastAsia"/>
                      <w:szCs w:val="21"/>
                      <w:lang w:val="en-US" w:eastAsia="zh-CN"/>
                    </w:rPr>
                    <w:t>62</w:t>
                  </w:r>
                </w:p>
              </w:tc>
              <w:tc>
                <w:tcPr>
                  <w:tcW w:w="471" w:type="pct"/>
                  <w:vAlign w:val="center"/>
                </w:tcPr>
                <w:p>
                  <w:pPr>
                    <w:jc w:val="center"/>
                    <w:rPr>
                      <w:rFonts w:hint="default" w:eastAsia="宋体"/>
                      <w:szCs w:val="21"/>
                      <w:lang w:val="en-US" w:eastAsia="zh-CN"/>
                    </w:rPr>
                  </w:pPr>
                  <w:r>
                    <w:rPr>
                      <w:rFonts w:hint="eastAsia"/>
                      <w:szCs w:val="21"/>
                      <w:lang w:val="en-US" w:eastAsia="zh-CN"/>
                    </w:rPr>
                    <w:t>50</w:t>
                  </w:r>
                </w:p>
              </w:tc>
              <w:tc>
                <w:tcPr>
                  <w:tcW w:w="727" w:type="pct"/>
                  <w:vAlign w:val="center"/>
                </w:tcPr>
                <w:p>
                  <w:pPr>
                    <w:jc w:val="center"/>
                    <w:rPr>
                      <w:rFonts w:hint="default" w:eastAsia="宋体"/>
                      <w:szCs w:val="21"/>
                      <w:lang w:val="en-US" w:eastAsia="zh-CN"/>
                    </w:rPr>
                  </w:pPr>
                  <w:r>
                    <w:rPr>
                      <w:rFonts w:hint="eastAsia"/>
                      <w:szCs w:val="21"/>
                      <w:lang w:val="en-US" w:eastAsia="zh-CN"/>
                    </w:rPr>
                    <w:t>62</w:t>
                  </w:r>
                </w:p>
              </w:tc>
              <w:tc>
                <w:tcPr>
                  <w:tcW w:w="563" w:type="pct"/>
                  <w:tcBorders>
                    <w:right w:val="single" w:color="auto" w:sz="4" w:space="0"/>
                  </w:tcBorders>
                  <w:vAlign w:val="center"/>
                </w:tcPr>
                <w:p>
                  <w:pPr>
                    <w:jc w:val="center"/>
                    <w:rPr>
                      <w:rFonts w:hint="default" w:eastAsia="宋体"/>
                      <w:szCs w:val="21"/>
                      <w:lang w:val="en-US" w:eastAsia="zh-CN"/>
                    </w:rPr>
                  </w:pPr>
                  <w:r>
                    <w:rPr>
                      <w:rFonts w:hint="eastAsia"/>
                      <w:szCs w:val="21"/>
                      <w:lang w:val="en-US" w:eastAsia="zh-CN"/>
                    </w:rPr>
                    <w:t>52</w:t>
                  </w:r>
                </w:p>
              </w:tc>
              <w:tc>
                <w:tcPr>
                  <w:tcW w:w="1207" w:type="pct"/>
                  <w:vMerge w:val="continue"/>
                  <w:tcBorders>
                    <w:left w:val="single" w:color="auto" w:sz="4" w:space="0"/>
                    <w:right w:val="single" w:color="auto" w:sz="4" w:space="0"/>
                  </w:tcBorders>
                  <w:vAlign w:val="center"/>
                </w:tcPr>
                <w:p>
                  <w:pPr>
                    <w:jc w:val="center"/>
                    <w:rPr>
                      <w:rFonts w:hint="eastAsia"/>
                      <w:szCs w:val="21"/>
                      <w:lang w:val="en-US" w:eastAsia="zh-CN"/>
                    </w:rPr>
                  </w:pPr>
                </w:p>
              </w:tc>
              <w:tc>
                <w:tcPr>
                  <w:tcW w:w="645" w:type="pct"/>
                  <w:tcBorders>
                    <w:left w:val="single" w:color="auto" w:sz="4" w:space="0"/>
                  </w:tcBorders>
                  <w:vAlign w:val="center"/>
                </w:tcPr>
                <w:p>
                  <w:pPr>
                    <w:jc w:val="center"/>
                    <w:rPr>
                      <w:rFonts w:hint="eastAsia"/>
                      <w:szCs w:val="21"/>
                      <w:lang w:val="en-US" w:eastAsia="zh-CN"/>
                    </w:rPr>
                  </w:pPr>
                  <w:r>
                    <w:rPr>
                      <w:rFonts w:hint="eastAsia"/>
                      <w:szCs w:val="21"/>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24" w:type="pct"/>
                  <w:vAlign w:val="center"/>
                </w:tcPr>
                <w:p>
                  <w:pPr>
                    <w:snapToGrid w:val="0"/>
                    <w:jc w:val="center"/>
                    <w:rPr>
                      <w:szCs w:val="21"/>
                    </w:rPr>
                  </w:pPr>
                  <w:r>
                    <w:rPr>
                      <w:rFonts w:hint="eastAsia"/>
                      <w:szCs w:val="21"/>
                      <w:lang w:val="en-US" w:eastAsia="zh-CN"/>
                    </w:rPr>
                    <w:t>N3</w:t>
                  </w:r>
                </w:p>
              </w:tc>
              <w:tc>
                <w:tcPr>
                  <w:tcW w:w="760" w:type="pct"/>
                  <w:vAlign w:val="center"/>
                </w:tcPr>
                <w:p>
                  <w:pPr>
                    <w:jc w:val="center"/>
                    <w:rPr>
                      <w:rFonts w:hint="eastAsia" w:eastAsia="宋体"/>
                      <w:szCs w:val="21"/>
                      <w:lang w:eastAsia="zh-CN"/>
                    </w:rPr>
                  </w:pPr>
                  <w:r>
                    <w:rPr>
                      <w:rFonts w:hint="eastAsia"/>
                      <w:szCs w:val="21"/>
                    </w:rPr>
                    <w:t>5</w:t>
                  </w:r>
                  <w:r>
                    <w:rPr>
                      <w:rFonts w:hint="eastAsia"/>
                      <w:szCs w:val="21"/>
                      <w:lang w:val="en-US" w:eastAsia="zh-CN"/>
                    </w:rPr>
                    <w:t>6</w:t>
                  </w:r>
                </w:p>
              </w:tc>
              <w:tc>
                <w:tcPr>
                  <w:tcW w:w="471" w:type="pct"/>
                  <w:vAlign w:val="center"/>
                </w:tcPr>
                <w:p>
                  <w:pPr>
                    <w:jc w:val="center"/>
                    <w:rPr>
                      <w:rFonts w:hint="default" w:eastAsia="宋体"/>
                      <w:szCs w:val="21"/>
                      <w:lang w:val="en-US" w:eastAsia="zh-CN"/>
                    </w:rPr>
                  </w:pPr>
                  <w:r>
                    <w:rPr>
                      <w:rFonts w:hint="eastAsia"/>
                      <w:szCs w:val="21"/>
                      <w:lang w:val="en-US" w:eastAsia="zh-CN"/>
                    </w:rPr>
                    <w:t>47</w:t>
                  </w:r>
                </w:p>
              </w:tc>
              <w:tc>
                <w:tcPr>
                  <w:tcW w:w="727" w:type="pct"/>
                  <w:vAlign w:val="center"/>
                </w:tcPr>
                <w:p>
                  <w:pPr>
                    <w:jc w:val="center"/>
                    <w:rPr>
                      <w:rFonts w:hint="eastAsia" w:eastAsia="宋体"/>
                      <w:szCs w:val="21"/>
                      <w:lang w:eastAsia="zh-CN"/>
                    </w:rPr>
                  </w:pPr>
                  <w:r>
                    <w:rPr>
                      <w:rFonts w:hint="eastAsia"/>
                      <w:szCs w:val="21"/>
                    </w:rPr>
                    <w:t>5</w:t>
                  </w:r>
                  <w:r>
                    <w:rPr>
                      <w:rFonts w:hint="eastAsia"/>
                      <w:szCs w:val="21"/>
                      <w:lang w:val="en-US" w:eastAsia="zh-CN"/>
                    </w:rPr>
                    <w:t>6</w:t>
                  </w:r>
                </w:p>
              </w:tc>
              <w:tc>
                <w:tcPr>
                  <w:tcW w:w="563" w:type="pct"/>
                  <w:tcBorders>
                    <w:right w:val="single" w:color="auto" w:sz="4" w:space="0"/>
                  </w:tcBorders>
                  <w:vAlign w:val="center"/>
                </w:tcPr>
                <w:p>
                  <w:pPr>
                    <w:jc w:val="center"/>
                    <w:rPr>
                      <w:rFonts w:hint="default" w:eastAsia="宋体"/>
                      <w:szCs w:val="21"/>
                      <w:lang w:val="en-US" w:eastAsia="zh-CN"/>
                    </w:rPr>
                  </w:pPr>
                  <w:r>
                    <w:rPr>
                      <w:rFonts w:hint="eastAsia"/>
                      <w:szCs w:val="21"/>
                      <w:lang w:val="en-US" w:eastAsia="zh-CN"/>
                    </w:rPr>
                    <w:t>48</w:t>
                  </w:r>
                </w:p>
              </w:tc>
              <w:tc>
                <w:tcPr>
                  <w:tcW w:w="1207" w:type="pct"/>
                  <w:vMerge w:val="continue"/>
                  <w:tcBorders>
                    <w:left w:val="single" w:color="auto" w:sz="4" w:space="0"/>
                    <w:right w:val="single" w:color="auto" w:sz="4" w:space="0"/>
                  </w:tcBorders>
                  <w:vAlign w:val="center"/>
                </w:tcPr>
                <w:p>
                  <w:pPr>
                    <w:jc w:val="center"/>
                    <w:rPr>
                      <w:rFonts w:hint="eastAsia"/>
                      <w:szCs w:val="21"/>
                      <w:lang w:val="en-US" w:eastAsia="zh-CN"/>
                    </w:rPr>
                  </w:pPr>
                </w:p>
              </w:tc>
              <w:tc>
                <w:tcPr>
                  <w:tcW w:w="645" w:type="pct"/>
                  <w:tcBorders>
                    <w:left w:val="single" w:color="auto" w:sz="4" w:space="0"/>
                  </w:tcBorders>
                  <w:vAlign w:val="center"/>
                </w:tcPr>
                <w:p>
                  <w:pPr>
                    <w:jc w:val="center"/>
                    <w:rPr>
                      <w:rFonts w:hint="eastAsia"/>
                      <w:szCs w:val="21"/>
                      <w:lang w:val="en-US" w:eastAsia="zh-CN"/>
                    </w:rPr>
                  </w:pPr>
                  <w:r>
                    <w:rPr>
                      <w:rFonts w:hint="eastAsia"/>
                      <w:szCs w:val="21"/>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24" w:type="pct"/>
                  <w:vAlign w:val="center"/>
                </w:tcPr>
                <w:p>
                  <w:pPr>
                    <w:snapToGrid w:val="0"/>
                    <w:jc w:val="center"/>
                    <w:rPr>
                      <w:szCs w:val="21"/>
                    </w:rPr>
                  </w:pPr>
                  <w:r>
                    <w:rPr>
                      <w:rFonts w:hint="eastAsia"/>
                      <w:szCs w:val="21"/>
                      <w:lang w:val="en-US" w:eastAsia="zh-CN"/>
                    </w:rPr>
                    <w:t>N4</w:t>
                  </w:r>
                </w:p>
              </w:tc>
              <w:tc>
                <w:tcPr>
                  <w:tcW w:w="760" w:type="pct"/>
                  <w:vAlign w:val="center"/>
                </w:tcPr>
                <w:p>
                  <w:pPr>
                    <w:jc w:val="center"/>
                    <w:rPr>
                      <w:rFonts w:hint="default" w:eastAsia="宋体"/>
                      <w:szCs w:val="21"/>
                      <w:lang w:val="en-US" w:eastAsia="zh-CN"/>
                    </w:rPr>
                  </w:pPr>
                  <w:r>
                    <w:rPr>
                      <w:rFonts w:hint="eastAsia"/>
                      <w:szCs w:val="21"/>
                      <w:lang w:val="en-US" w:eastAsia="zh-CN"/>
                    </w:rPr>
                    <w:t>63</w:t>
                  </w:r>
                </w:p>
              </w:tc>
              <w:tc>
                <w:tcPr>
                  <w:tcW w:w="471" w:type="pct"/>
                  <w:vAlign w:val="center"/>
                </w:tcPr>
                <w:p>
                  <w:pPr>
                    <w:jc w:val="center"/>
                    <w:rPr>
                      <w:rFonts w:hint="default" w:eastAsia="宋体"/>
                      <w:szCs w:val="21"/>
                      <w:lang w:val="en-US" w:eastAsia="zh-CN"/>
                    </w:rPr>
                  </w:pPr>
                  <w:r>
                    <w:rPr>
                      <w:rFonts w:hint="eastAsia"/>
                      <w:szCs w:val="21"/>
                      <w:lang w:val="en-US" w:eastAsia="zh-CN"/>
                    </w:rPr>
                    <w:t>51</w:t>
                  </w:r>
                </w:p>
              </w:tc>
              <w:tc>
                <w:tcPr>
                  <w:tcW w:w="727" w:type="pct"/>
                  <w:vAlign w:val="center"/>
                </w:tcPr>
                <w:p>
                  <w:pPr>
                    <w:jc w:val="center"/>
                    <w:rPr>
                      <w:rFonts w:hint="default" w:eastAsia="宋体"/>
                      <w:szCs w:val="21"/>
                      <w:lang w:val="en-US" w:eastAsia="zh-CN"/>
                    </w:rPr>
                  </w:pPr>
                  <w:r>
                    <w:rPr>
                      <w:rFonts w:hint="eastAsia"/>
                      <w:szCs w:val="21"/>
                      <w:lang w:val="en-US" w:eastAsia="zh-CN"/>
                    </w:rPr>
                    <w:t>63</w:t>
                  </w:r>
                </w:p>
              </w:tc>
              <w:tc>
                <w:tcPr>
                  <w:tcW w:w="563" w:type="pct"/>
                  <w:tcBorders>
                    <w:right w:val="single" w:color="auto" w:sz="4" w:space="0"/>
                  </w:tcBorders>
                  <w:vAlign w:val="center"/>
                </w:tcPr>
                <w:p>
                  <w:pPr>
                    <w:jc w:val="center"/>
                    <w:rPr>
                      <w:rFonts w:hint="default" w:eastAsia="宋体"/>
                      <w:szCs w:val="21"/>
                      <w:lang w:val="en-US" w:eastAsia="zh-CN"/>
                    </w:rPr>
                  </w:pPr>
                  <w:r>
                    <w:rPr>
                      <w:rFonts w:hint="eastAsia"/>
                      <w:szCs w:val="21"/>
                      <w:lang w:val="en-US" w:eastAsia="zh-CN"/>
                    </w:rPr>
                    <w:t>52</w:t>
                  </w:r>
                </w:p>
              </w:tc>
              <w:tc>
                <w:tcPr>
                  <w:tcW w:w="1207" w:type="pct"/>
                  <w:vMerge w:val="continue"/>
                  <w:tcBorders>
                    <w:left w:val="single" w:color="auto" w:sz="4" w:space="0"/>
                    <w:right w:val="single" w:color="auto" w:sz="4" w:space="0"/>
                  </w:tcBorders>
                  <w:vAlign w:val="center"/>
                </w:tcPr>
                <w:p>
                  <w:pPr>
                    <w:jc w:val="center"/>
                    <w:rPr>
                      <w:rFonts w:hint="eastAsia"/>
                      <w:szCs w:val="21"/>
                      <w:lang w:val="en-US" w:eastAsia="zh-CN"/>
                    </w:rPr>
                  </w:pPr>
                </w:p>
              </w:tc>
              <w:tc>
                <w:tcPr>
                  <w:tcW w:w="645" w:type="pct"/>
                  <w:tcBorders>
                    <w:left w:val="single" w:color="auto" w:sz="4" w:space="0"/>
                  </w:tcBorders>
                  <w:vAlign w:val="center"/>
                </w:tcPr>
                <w:p>
                  <w:pPr>
                    <w:jc w:val="center"/>
                    <w:rPr>
                      <w:rFonts w:hint="eastAsia"/>
                      <w:szCs w:val="21"/>
                      <w:lang w:val="en-US" w:eastAsia="zh-CN"/>
                    </w:rPr>
                  </w:pPr>
                  <w:r>
                    <w:rPr>
                      <w:rFonts w:hint="eastAsia"/>
                      <w:szCs w:val="21"/>
                      <w:lang w:val="en-US" w:eastAsia="zh-CN"/>
                    </w:rPr>
                    <w:t>达标</w:t>
                  </w:r>
                </w:p>
              </w:tc>
            </w:tr>
          </w:tbl>
          <w:p>
            <w:pPr>
              <w:tabs>
                <w:tab w:val="left" w:pos="2160"/>
              </w:tabs>
              <w:adjustRightInd w:val="0"/>
              <w:snapToGrid w:val="0"/>
              <w:spacing w:line="360" w:lineRule="auto"/>
              <w:ind w:firstLine="482" w:firstLineChars="200"/>
              <w:rPr>
                <w:rFonts w:eastAsiaTheme="minorEastAsia"/>
                <w:b/>
                <w:bCs/>
                <w:sz w:val="24"/>
              </w:rPr>
            </w:pPr>
            <w:r>
              <w:rPr>
                <w:rFonts w:eastAsiaTheme="minorEastAsia"/>
                <w:b/>
                <w:bCs/>
                <w:sz w:val="24"/>
              </w:rPr>
              <w:t>3、评价标准</w:t>
            </w:r>
          </w:p>
          <w:p>
            <w:pPr>
              <w:spacing w:line="360" w:lineRule="auto"/>
              <w:ind w:firstLine="480" w:firstLineChars="200"/>
              <w:contextualSpacing/>
              <w:rPr>
                <w:rFonts w:eastAsiaTheme="minorEastAsia"/>
                <w:sz w:val="24"/>
              </w:rPr>
            </w:pPr>
            <w:r>
              <w:rPr>
                <w:rFonts w:eastAsiaTheme="minorEastAsia"/>
                <w:sz w:val="24"/>
              </w:rPr>
              <w:t>《声环境质量标准》GB3096-2008中2类</w:t>
            </w:r>
            <w:r>
              <w:rPr>
                <w:rFonts w:hint="eastAsia" w:eastAsiaTheme="minorEastAsia"/>
                <w:sz w:val="24"/>
                <w:lang w:eastAsia="zh-CN"/>
              </w:rPr>
              <w:t>和</w:t>
            </w:r>
            <w:r>
              <w:rPr>
                <w:rFonts w:hint="eastAsia" w:eastAsiaTheme="minorEastAsia"/>
                <w:sz w:val="24"/>
                <w:lang w:val="en-US" w:eastAsia="zh-CN"/>
              </w:rPr>
              <w:t>4a类</w:t>
            </w:r>
            <w:r>
              <w:rPr>
                <w:rFonts w:eastAsiaTheme="minorEastAsia"/>
                <w:sz w:val="24"/>
              </w:rPr>
              <w:t>标准。</w:t>
            </w:r>
          </w:p>
          <w:p>
            <w:pPr>
              <w:tabs>
                <w:tab w:val="left" w:pos="2160"/>
              </w:tabs>
              <w:adjustRightInd w:val="0"/>
              <w:snapToGrid w:val="0"/>
              <w:spacing w:line="360" w:lineRule="auto"/>
              <w:ind w:firstLine="482" w:firstLineChars="200"/>
              <w:rPr>
                <w:rFonts w:eastAsiaTheme="minorEastAsia"/>
                <w:b/>
                <w:bCs/>
                <w:sz w:val="24"/>
              </w:rPr>
            </w:pPr>
            <w:r>
              <w:rPr>
                <w:rFonts w:eastAsiaTheme="minorEastAsia"/>
                <w:b/>
                <w:bCs/>
                <w:sz w:val="24"/>
              </w:rPr>
              <w:t>4、评价结果</w:t>
            </w:r>
          </w:p>
          <w:p>
            <w:pPr>
              <w:spacing w:line="360" w:lineRule="auto"/>
              <w:ind w:firstLine="480" w:firstLineChars="200"/>
              <w:rPr>
                <w:rFonts w:eastAsiaTheme="minorEastAsia"/>
                <w:sz w:val="24"/>
              </w:rPr>
            </w:pPr>
            <w:r>
              <w:rPr>
                <w:rFonts w:eastAsiaTheme="minorEastAsia"/>
                <w:sz w:val="24"/>
              </w:rPr>
              <w:t>从表3-</w:t>
            </w:r>
            <w:r>
              <w:rPr>
                <w:rFonts w:hint="eastAsia" w:eastAsiaTheme="minorEastAsia"/>
                <w:sz w:val="24"/>
              </w:rPr>
              <w:t>4</w:t>
            </w:r>
            <w:r>
              <w:rPr>
                <w:rFonts w:eastAsiaTheme="minorEastAsia"/>
                <w:sz w:val="24"/>
              </w:rPr>
              <w:t>现状评价结果可知，项目所在地昼夜声环境现状较好，监测点能够满足《声环境质量标准》GB3096-2008中2类标准限值（昼间60dB（A），夜间50dB（A））</w:t>
            </w:r>
            <w:r>
              <w:rPr>
                <w:rFonts w:hint="eastAsia" w:eastAsiaTheme="minorEastAsia"/>
                <w:sz w:val="24"/>
                <w:lang w:eastAsia="zh-CN"/>
              </w:rPr>
              <w:t>和</w:t>
            </w:r>
            <w:r>
              <w:rPr>
                <w:rFonts w:hint="eastAsia" w:eastAsiaTheme="minorEastAsia"/>
                <w:sz w:val="24"/>
                <w:lang w:val="en-US" w:eastAsia="zh-CN"/>
              </w:rPr>
              <w:t>4a类标准限值（昼间70dB（A)，夜间55dB（A））</w:t>
            </w:r>
            <w:r>
              <w:rPr>
                <w:rFonts w:eastAsiaTheme="minorEastAsia"/>
                <w:sz w:val="24"/>
              </w:rPr>
              <w:t>的要求，区域声学环境质量良好。</w:t>
            </w:r>
          </w:p>
          <w:p>
            <w:pPr>
              <w:widowControl/>
              <w:spacing w:line="360" w:lineRule="auto"/>
              <w:rPr>
                <w:rFonts w:eastAsiaTheme="minorEastAsia"/>
                <w:b/>
                <w:color w:val="000000" w:themeColor="text1"/>
                <w:sz w:val="24"/>
                <w14:textFill>
                  <w14:solidFill>
                    <w14:schemeClr w14:val="tx1"/>
                  </w14:solidFill>
                </w14:textFill>
              </w:rPr>
            </w:pPr>
            <w:r>
              <w:rPr>
                <w:rFonts w:hint="eastAsia" w:eastAsiaTheme="minorEastAsia"/>
                <w:b/>
                <w:color w:val="000000" w:themeColor="text1"/>
                <w:sz w:val="24"/>
                <w:lang w:eastAsia="zh-CN"/>
                <w14:textFill>
                  <w14:solidFill>
                    <w14:schemeClr w14:val="tx1"/>
                  </w14:solidFill>
                </w14:textFill>
              </w:rPr>
              <w:t>四</w:t>
            </w:r>
            <w:r>
              <w:rPr>
                <w:rFonts w:eastAsiaTheme="minorEastAsia"/>
                <w:b/>
                <w:color w:val="000000" w:themeColor="text1"/>
                <w:sz w:val="24"/>
                <w14:textFill>
                  <w14:solidFill>
                    <w14:schemeClr w14:val="tx1"/>
                  </w14:solidFill>
                </w14:textFill>
              </w:rPr>
              <w:t>、生态环境质量现状</w:t>
            </w:r>
          </w:p>
          <w:p>
            <w:pPr>
              <w:spacing w:line="360" w:lineRule="auto"/>
              <w:ind w:firstLine="480" w:firstLineChars="200"/>
              <w:rPr>
                <w:rFonts w:eastAsiaTheme="minorEastAsia"/>
                <w:color w:val="000000" w:themeColor="text1"/>
                <w:kern w:val="0"/>
                <w:sz w:val="24"/>
                <w14:textFill>
                  <w14:solidFill>
                    <w14:schemeClr w14:val="tx1"/>
                  </w14:solidFill>
                </w14:textFill>
              </w:rPr>
            </w:pPr>
            <w:r>
              <w:rPr>
                <w:rFonts w:hint="eastAsia" w:eastAsiaTheme="minorEastAsia"/>
                <w:color w:val="000000" w:themeColor="text1"/>
                <w:kern w:val="0"/>
                <w:sz w:val="24"/>
                <w14:textFill>
                  <w14:solidFill>
                    <w14:schemeClr w14:val="tx1"/>
                  </w14:solidFill>
                </w14:textFill>
              </w:rPr>
              <w:t>项目拟建址位于峨边彝族自治县新场乡，属于《四川省主体功能区规划》中大小凉山水土保持和生物多样性生态功能区。根据现场踏勘，区域内不存在珍稀动植物，无自然保护区、风景名胜区、森林公园、文物古迹等环境敏感区。</w:t>
            </w:r>
          </w:p>
          <w:p>
            <w:pPr>
              <w:spacing w:line="360" w:lineRule="auto"/>
              <w:ind w:firstLine="480" w:firstLineChars="200"/>
              <w:rPr>
                <w:rFonts w:eastAsiaTheme="minorEastAsia"/>
                <w:color w:val="000000" w:themeColor="text1"/>
                <w:kern w:val="0"/>
                <w:sz w:val="24"/>
                <w14:textFill>
                  <w14:solidFill>
                    <w14:schemeClr w14:val="tx1"/>
                  </w14:solidFill>
                </w14:textFill>
              </w:rPr>
            </w:pPr>
            <w:r>
              <w:rPr>
                <w:rFonts w:hint="eastAsia" w:eastAsiaTheme="minorEastAsia"/>
                <w:color w:val="000000" w:themeColor="text1"/>
                <w:kern w:val="0"/>
                <w:sz w:val="24"/>
                <w14:textFill>
                  <w14:solidFill>
                    <w14:schemeClr w14:val="tx1"/>
                  </w14:solidFill>
                </w14:textFill>
              </w:rPr>
              <w:t>1、植被现状</w:t>
            </w:r>
          </w:p>
          <w:p>
            <w:pPr>
              <w:spacing w:line="360" w:lineRule="auto"/>
              <w:ind w:firstLine="480" w:firstLineChars="200"/>
              <w:rPr>
                <w:rFonts w:eastAsiaTheme="minorEastAsia"/>
                <w:color w:val="000000" w:themeColor="text1"/>
                <w:kern w:val="0"/>
                <w:sz w:val="24"/>
                <w14:textFill>
                  <w14:solidFill>
                    <w14:schemeClr w14:val="tx1"/>
                  </w14:solidFill>
                </w14:textFill>
              </w:rPr>
            </w:pPr>
            <w:r>
              <w:rPr>
                <w:rFonts w:hint="eastAsia" w:eastAsiaTheme="minorEastAsia"/>
                <w:color w:val="000000" w:themeColor="text1"/>
                <w:kern w:val="0"/>
                <w:sz w:val="24"/>
                <w14:textFill>
                  <w14:solidFill>
                    <w14:schemeClr w14:val="tx1"/>
                  </w14:solidFill>
                </w14:textFill>
              </w:rPr>
              <w:t>项目区具有气候温和、四季分明、无霜期长、雨热同季的特点，属亚热带湿润季风气候。区内植被条件较好，植被覆盖率约为50.6%。</w:t>
            </w:r>
          </w:p>
          <w:p>
            <w:pPr>
              <w:spacing w:line="360" w:lineRule="auto"/>
              <w:ind w:firstLine="480" w:firstLineChars="200"/>
              <w:rPr>
                <w:rFonts w:eastAsiaTheme="minorEastAsia"/>
                <w:color w:val="000000" w:themeColor="text1"/>
                <w:kern w:val="0"/>
                <w:sz w:val="24"/>
                <w14:textFill>
                  <w14:solidFill>
                    <w14:schemeClr w14:val="tx1"/>
                  </w14:solidFill>
                </w14:textFill>
              </w:rPr>
            </w:pPr>
            <w:r>
              <w:rPr>
                <w:rFonts w:hint="eastAsia" w:eastAsiaTheme="minorEastAsia"/>
                <w:color w:val="000000" w:themeColor="text1"/>
                <w:kern w:val="0"/>
                <w:sz w:val="24"/>
                <w14:textFill>
                  <w14:solidFill>
                    <w14:schemeClr w14:val="tx1"/>
                  </w14:solidFill>
                </w14:textFill>
              </w:rPr>
              <w:t>项目区内主要栽种人工栽植人工林以杉树为主，郁闭度为14.2%，为疏林地；灌木丛有窄叶珍珠、胡颓子、金丝桃、马桑、黄荆等，草本主要有蕨类、火绒草、草莓、金茅、白三叶草等，覆盖率达36.4%左右。</w:t>
            </w:r>
          </w:p>
          <w:p>
            <w:pPr>
              <w:spacing w:line="360" w:lineRule="auto"/>
              <w:ind w:firstLine="480" w:firstLineChars="200"/>
              <w:rPr>
                <w:rFonts w:eastAsiaTheme="minorEastAsia"/>
                <w:color w:val="000000" w:themeColor="text1"/>
                <w:kern w:val="0"/>
                <w:sz w:val="24"/>
                <w14:textFill>
                  <w14:solidFill>
                    <w14:schemeClr w14:val="tx1"/>
                  </w14:solidFill>
                </w14:textFill>
              </w:rPr>
            </w:pPr>
            <w:r>
              <w:rPr>
                <w:rFonts w:hint="eastAsia" w:eastAsiaTheme="minorEastAsia"/>
                <w:color w:val="000000" w:themeColor="text1"/>
                <w:kern w:val="0"/>
                <w:sz w:val="24"/>
                <w14:textFill>
                  <w14:solidFill>
                    <w14:schemeClr w14:val="tx1"/>
                  </w14:solidFill>
                </w14:textFill>
              </w:rPr>
              <w:t>项目区天然森林植被遭受一定的破坏，目前为次生天然林，主要以青杠、杉树、松树为主，郁闭度0.21；林下植被冷蕨类、铁芒箕、丝茅草、苔藓等，覆盖率达50%左右。</w:t>
            </w:r>
          </w:p>
          <w:p>
            <w:pPr>
              <w:spacing w:line="360" w:lineRule="auto"/>
              <w:ind w:firstLine="480" w:firstLineChars="200"/>
              <w:rPr>
                <w:rFonts w:eastAsiaTheme="minorEastAsia"/>
                <w:color w:val="000000" w:themeColor="text1"/>
                <w:kern w:val="0"/>
                <w:sz w:val="24"/>
                <w14:textFill>
                  <w14:solidFill>
                    <w14:schemeClr w14:val="tx1"/>
                  </w14:solidFill>
                </w14:textFill>
              </w:rPr>
            </w:pPr>
            <w:r>
              <w:rPr>
                <w:rFonts w:hint="eastAsia" w:eastAsiaTheme="minorEastAsia"/>
                <w:color w:val="000000" w:themeColor="text1"/>
                <w:kern w:val="0"/>
                <w:sz w:val="24"/>
                <w14:textFill>
                  <w14:solidFill>
                    <w14:schemeClr w14:val="tx1"/>
                  </w14:solidFill>
                </w14:textFill>
              </w:rPr>
              <w:t>2、陆生动物</w:t>
            </w:r>
          </w:p>
          <w:p>
            <w:pPr>
              <w:spacing w:line="360" w:lineRule="auto"/>
              <w:ind w:firstLine="480" w:firstLineChars="200"/>
              <w:rPr>
                <w:rFonts w:eastAsiaTheme="minorEastAsia"/>
                <w:color w:val="000000" w:themeColor="text1"/>
                <w:kern w:val="0"/>
                <w:sz w:val="24"/>
                <w14:textFill>
                  <w14:solidFill>
                    <w14:schemeClr w14:val="tx1"/>
                  </w14:solidFill>
                </w14:textFill>
              </w:rPr>
            </w:pPr>
            <w:r>
              <w:rPr>
                <w:rFonts w:hint="eastAsia" w:eastAsiaTheme="minorEastAsia"/>
                <w:color w:val="000000" w:themeColor="text1"/>
                <w:kern w:val="0"/>
                <w:sz w:val="24"/>
                <w14:textFill>
                  <w14:solidFill>
                    <w14:schemeClr w14:val="tx1"/>
                  </w14:solidFill>
                </w14:textFill>
              </w:rPr>
              <w:t>根据现场踏勘及查阅相关资料，区域内无大型兽类，中、小型动物如黄鼬、鼬獾、猪獾等有一定数量分布。鸟类的种类在本区多达200余种，绝大多数以农、林、蔬菜害虫为食，鸠类数量较多。两栖爬行动物中蟾蜍类、蛙类、蛇类有一定数量。</w:t>
            </w:r>
          </w:p>
          <w:p>
            <w:pPr>
              <w:spacing w:line="360" w:lineRule="auto"/>
              <w:ind w:firstLine="480" w:firstLineChars="200"/>
              <w:rPr>
                <w:rFonts w:eastAsiaTheme="minorEastAsia"/>
                <w:snapToGrid w:val="0"/>
                <w:kern w:val="0"/>
                <w:sz w:val="24"/>
              </w:rPr>
            </w:pPr>
            <w:r>
              <w:rPr>
                <w:rFonts w:hint="eastAsia" w:eastAsiaTheme="minorEastAsia"/>
                <w:color w:val="000000" w:themeColor="text1"/>
                <w:kern w:val="0"/>
                <w:sz w:val="24"/>
                <w14:textFill>
                  <w14:solidFill>
                    <w14:schemeClr w14:val="tx1"/>
                  </w14:solidFill>
                </w14:textFill>
              </w:rPr>
              <w:t>根据现场调查及查阅相关资料，区域范围无保护性动植物分布。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 w:hRule="atLeast"/>
        </w:trPr>
        <w:tc>
          <w:tcPr>
            <w:tcW w:w="9220" w:type="dxa"/>
            <w:tcBorders>
              <w:bottom w:val="single" w:color="auto" w:sz="4" w:space="0"/>
            </w:tcBorders>
            <w:vAlign w:val="top"/>
          </w:tcPr>
          <w:p>
            <w:pPr>
              <w:widowControl/>
              <w:spacing w:line="360" w:lineRule="auto"/>
              <w:rPr>
                <w:rFonts w:eastAsiaTheme="minorEastAsia"/>
                <w:b/>
                <w:sz w:val="28"/>
                <w:szCs w:val="28"/>
              </w:rPr>
            </w:pPr>
            <w:r>
              <w:rPr>
                <w:rFonts w:eastAsiaTheme="minorEastAsia"/>
                <w:b/>
                <w:color w:val="000000"/>
                <w:sz w:val="28"/>
                <w:szCs w:val="28"/>
              </w:rPr>
              <w:t>主要环境保护目标（列出名单及保护级别）</w:t>
            </w:r>
            <w:r>
              <w:rPr>
                <w:rFonts w:eastAsiaTheme="minorEastAsia"/>
              </w:rPr>
              <w:t xml:space="preserve"> </w:t>
            </w:r>
          </w:p>
          <w:p>
            <w:pPr>
              <w:tabs>
                <w:tab w:val="left" w:pos="1305"/>
              </w:tabs>
              <w:spacing w:line="360" w:lineRule="auto"/>
              <w:ind w:firstLine="480" w:firstLineChars="200"/>
              <w:rPr>
                <w:rFonts w:eastAsiaTheme="minorEastAsia"/>
                <w:sz w:val="24"/>
              </w:rPr>
            </w:pPr>
            <w:r>
              <w:rPr>
                <w:rFonts w:hint="eastAsia" w:eastAsiaTheme="minorEastAsia"/>
                <w:sz w:val="24"/>
              </w:rPr>
              <w:t>本项目拟建址位于峨边彝族自治县新场乡，根据现场踏勘，项目</w:t>
            </w:r>
            <w:r>
              <w:rPr>
                <w:rFonts w:hint="eastAsia" w:eastAsiaTheme="minorEastAsia"/>
                <w:sz w:val="24"/>
                <w:lang w:eastAsia="zh-CN"/>
              </w:rPr>
              <w:t>建址</w:t>
            </w:r>
            <w:r>
              <w:rPr>
                <w:rFonts w:hint="eastAsia" w:eastAsiaTheme="minorEastAsia"/>
                <w:sz w:val="24"/>
              </w:rPr>
              <w:t>外环境关系如下：</w:t>
            </w:r>
          </w:p>
          <w:p>
            <w:pPr>
              <w:tabs>
                <w:tab w:val="left" w:pos="1305"/>
              </w:tabs>
              <w:spacing w:line="360" w:lineRule="auto"/>
              <w:ind w:firstLine="480" w:firstLineChars="200"/>
              <w:rPr>
                <w:rFonts w:hint="eastAsia" w:eastAsiaTheme="minorEastAsia"/>
                <w:sz w:val="24"/>
                <w:lang w:eastAsia="zh-CN"/>
              </w:rPr>
            </w:pPr>
            <w:r>
              <w:rPr>
                <w:rFonts w:hint="eastAsia" w:eastAsiaTheme="minorEastAsia"/>
                <w:sz w:val="24"/>
                <w:lang w:eastAsia="zh-CN"/>
              </w:rPr>
              <w:t>项目东南侧</w:t>
            </w:r>
            <w:r>
              <w:rPr>
                <w:rFonts w:hint="eastAsia" w:eastAsiaTheme="minorEastAsia"/>
                <w:sz w:val="24"/>
                <w:lang w:val="en-US" w:eastAsia="zh-CN"/>
              </w:rPr>
              <w:t>40m处</w:t>
            </w:r>
            <w:r>
              <w:rPr>
                <w:rFonts w:hint="eastAsia" w:eastAsiaTheme="minorEastAsia"/>
                <w:sz w:val="24"/>
                <w:lang w:eastAsia="zh-CN"/>
              </w:rPr>
              <w:t>紧邻一处加水生活用房；</w:t>
            </w:r>
          </w:p>
          <w:p>
            <w:pPr>
              <w:tabs>
                <w:tab w:val="left" w:pos="1305"/>
              </w:tabs>
              <w:spacing w:line="360" w:lineRule="auto"/>
              <w:ind w:firstLine="480" w:firstLineChars="200"/>
              <w:rPr>
                <w:rFonts w:eastAsiaTheme="minorEastAsia"/>
                <w:sz w:val="24"/>
              </w:rPr>
            </w:pPr>
            <w:r>
              <w:rPr>
                <w:rFonts w:hint="eastAsia" w:eastAsiaTheme="minorEastAsia"/>
                <w:sz w:val="24"/>
                <w:lang w:eastAsia="zh-CN"/>
              </w:rPr>
              <w:t>项目</w:t>
            </w:r>
            <w:r>
              <w:rPr>
                <w:rFonts w:hint="eastAsia" w:eastAsiaTheme="minorEastAsia"/>
                <w:sz w:val="24"/>
              </w:rPr>
              <w:t>北部</w:t>
            </w:r>
            <w:r>
              <w:rPr>
                <w:rFonts w:hint="eastAsia" w:eastAsiaTheme="minorEastAsia"/>
                <w:sz w:val="24"/>
                <w:lang w:eastAsia="zh-CN"/>
              </w:rPr>
              <w:t>大约</w:t>
            </w:r>
            <w:r>
              <w:rPr>
                <w:rFonts w:hint="eastAsia" w:eastAsiaTheme="minorEastAsia"/>
                <w:sz w:val="24"/>
                <w:lang w:val="en-US" w:eastAsia="zh-CN"/>
              </w:rPr>
              <w:t>270</w:t>
            </w:r>
            <w:r>
              <w:rPr>
                <w:rFonts w:hint="eastAsia" w:eastAsiaTheme="minorEastAsia"/>
                <w:sz w:val="24"/>
              </w:rPr>
              <w:t>m</w:t>
            </w:r>
            <w:r>
              <w:rPr>
                <w:rFonts w:hint="eastAsia" w:eastAsiaTheme="minorEastAsia"/>
                <w:sz w:val="24"/>
                <w:lang w:val="en-US" w:eastAsia="zh-CN"/>
              </w:rPr>
              <w:t>~500m范围内</w:t>
            </w:r>
            <w:r>
              <w:rPr>
                <w:rFonts w:hint="eastAsia" w:eastAsiaTheme="minorEastAsia"/>
                <w:sz w:val="24"/>
              </w:rPr>
              <w:t>分布有散居住户（约</w:t>
            </w:r>
            <w:r>
              <w:rPr>
                <w:rFonts w:hint="eastAsia" w:eastAsiaTheme="minorEastAsia"/>
                <w:sz w:val="24"/>
                <w:lang w:val="en-US" w:eastAsia="zh-CN"/>
              </w:rPr>
              <w:t>30</w:t>
            </w:r>
            <w:r>
              <w:rPr>
                <w:rFonts w:hint="eastAsia" w:eastAsiaTheme="minorEastAsia"/>
                <w:sz w:val="24"/>
              </w:rPr>
              <w:t>户、</w:t>
            </w:r>
            <w:r>
              <w:rPr>
                <w:rFonts w:hint="eastAsia" w:eastAsiaTheme="minorEastAsia"/>
                <w:sz w:val="24"/>
                <w:lang w:val="en-US" w:eastAsia="zh-CN"/>
              </w:rPr>
              <w:t>90</w:t>
            </w:r>
            <w:r>
              <w:rPr>
                <w:rFonts w:hint="eastAsia" w:eastAsiaTheme="minorEastAsia"/>
                <w:sz w:val="24"/>
              </w:rPr>
              <w:t>人），高差为</w:t>
            </w:r>
            <w:r>
              <w:rPr>
                <w:rFonts w:hint="eastAsia" w:eastAsiaTheme="minorEastAsia"/>
                <w:sz w:val="24"/>
                <w:lang w:val="en-US" w:eastAsia="zh-CN"/>
              </w:rPr>
              <w:t>+62</w:t>
            </w:r>
            <w:r>
              <w:rPr>
                <w:rFonts w:hint="eastAsia" w:eastAsiaTheme="minorEastAsia"/>
                <w:sz w:val="24"/>
              </w:rPr>
              <w:t>m</w:t>
            </w:r>
            <w:r>
              <w:rPr>
                <w:rFonts w:hint="eastAsia" w:eastAsiaTheme="minorEastAsia"/>
                <w:sz w:val="24"/>
                <w:lang w:eastAsia="zh-CN"/>
              </w:rPr>
              <w:t>有山坡阻挡，不可直视</w:t>
            </w:r>
            <w:r>
              <w:rPr>
                <w:rFonts w:hint="eastAsia" w:eastAsiaTheme="minorEastAsia"/>
                <w:sz w:val="24"/>
              </w:rPr>
              <w:t>；</w:t>
            </w:r>
          </w:p>
          <w:p>
            <w:pPr>
              <w:tabs>
                <w:tab w:val="left" w:pos="1305"/>
              </w:tabs>
              <w:spacing w:line="360" w:lineRule="auto"/>
              <w:ind w:firstLine="480" w:firstLineChars="200"/>
              <w:rPr>
                <w:rFonts w:hint="eastAsia" w:eastAsiaTheme="minorEastAsia"/>
                <w:sz w:val="24"/>
                <w:lang w:val="en-US" w:eastAsia="zh-CN"/>
              </w:rPr>
            </w:pPr>
            <w:r>
              <w:rPr>
                <w:rFonts w:hint="eastAsia" w:eastAsiaTheme="minorEastAsia"/>
                <w:sz w:val="24"/>
                <w:lang w:eastAsia="zh-CN"/>
              </w:rPr>
              <w:t>项目正东方向</w:t>
            </w:r>
            <w:r>
              <w:rPr>
                <w:rFonts w:hint="eastAsia" w:eastAsiaTheme="minorEastAsia"/>
                <w:sz w:val="24"/>
                <w:lang w:val="en-US" w:eastAsia="zh-CN"/>
              </w:rPr>
              <w:t>490m处为大渡河流域，高差-156m，其水体功能主要为泄洪、灌溉、生活水源、工业水源；正东方向368m处为峨边西南水泥，高差-140m；正东方向301m处为</w:t>
            </w:r>
            <w:r>
              <w:rPr>
                <w:rFonts w:hint="eastAsia" w:eastAsiaTheme="minorEastAsia"/>
                <w:color w:val="auto"/>
                <w:sz w:val="24"/>
                <w:lang w:val="en-US" w:eastAsia="zh-CN"/>
              </w:rPr>
              <w:t>成昆铁路线</w:t>
            </w:r>
            <w:r>
              <w:rPr>
                <w:rFonts w:hint="eastAsia" w:eastAsiaTheme="minorEastAsia"/>
                <w:sz w:val="24"/>
                <w:lang w:val="en-US" w:eastAsia="zh-CN"/>
              </w:rPr>
              <w:t>，高差为-136m；项目东南方向230m处为一在建的高速公路，高差为-115m；</w:t>
            </w:r>
          </w:p>
          <w:p>
            <w:pPr>
              <w:tabs>
                <w:tab w:val="left" w:pos="1305"/>
              </w:tabs>
              <w:spacing w:line="360" w:lineRule="auto"/>
              <w:ind w:firstLine="480" w:firstLineChars="200"/>
              <w:rPr>
                <w:rStyle w:val="191"/>
                <w:rFonts w:hint="default"/>
                <w:lang w:val="en-US" w:eastAsia="zh-CN"/>
              </w:rPr>
            </w:pPr>
            <w:r>
              <w:rPr>
                <w:rFonts w:hint="eastAsia" w:eastAsiaTheme="minorEastAsia"/>
                <w:sz w:val="24"/>
                <w:lang w:val="en-US" w:eastAsia="zh-CN"/>
              </w:rPr>
              <w:t>项目东南方向380m处分布有散居住户（约10户、30人），高差为-129m；项目东侧270m处分布有散居住户（约4户，12人），高差为-130m；</w:t>
            </w:r>
            <w:r>
              <w:rPr>
                <w:rStyle w:val="191"/>
                <w:rFonts w:hint="eastAsia"/>
                <w:lang w:val="en-US" w:eastAsia="zh-CN"/>
              </w:rPr>
              <w:t>项目南侧240m处分布有散居住户（约1户、3人），高差为-90m；项目南侧79m处为一寺庙（无人）。</w:t>
            </w:r>
          </w:p>
          <w:p>
            <w:pPr>
              <w:tabs>
                <w:tab w:val="left" w:pos="1305"/>
              </w:tabs>
              <w:spacing w:line="360" w:lineRule="auto"/>
              <w:ind w:firstLine="480" w:firstLineChars="200"/>
              <w:rPr>
                <w:rFonts w:eastAsiaTheme="minorEastAsia"/>
                <w:sz w:val="24"/>
              </w:rPr>
            </w:pPr>
            <w:r>
              <w:rPr>
                <w:rFonts w:hint="eastAsia" w:eastAsiaTheme="minorEastAsia"/>
                <w:sz w:val="24"/>
              </w:rPr>
              <w:t>项目拟建区域内不涉及通信管线、军事设施、古代文物，不涉及自然保护区、风景名胜区、饮用水水源保护区、原始天然林等环境敏感区域。根据本项目特点，结合外环境特征确定环境保护目标如下：</w:t>
            </w:r>
          </w:p>
          <w:p>
            <w:pPr>
              <w:pStyle w:val="94"/>
              <w:jc w:val="center"/>
              <w:rPr>
                <w:rFonts w:ascii="Times New Roman" w:eastAsiaTheme="minorEastAsia"/>
                <w:b/>
                <w:sz w:val="21"/>
                <w:szCs w:val="21"/>
              </w:rPr>
            </w:pPr>
          </w:p>
          <w:p>
            <w:pPr>
              <w:pStyle w:val="94"/>
              <w:jc w:val="center"/>
              <w:rPr>
                <w:rFonts w:ascii="Times New Roman" w:eastAsiaTheme="minorEastAsia"/>
                <w:b/>
                <w:sz w:val="21"/>
                <w:szCs w:val="21"/>
              </w:rPr>
            </w:pPr>
            <w:r>
              <w:rPr>
                <w:rFonts w:ascii="Times New Roman" w:eastAsiaTheme="minorEastAsia"/>
                <w:b/>
                <w:sz w:val="21"/>
                <w:szCs w:val="21"/>
              </w:rPr>
              <w:t xml:space="preserve">表3-5 </w:t>
            </w:r>
            <w:r>
              <w:rPr>
                <w:rFonts w:hint="eastAsia" w:ascii="Times New Roman" w:eastAsiaTheme="minorEastAsia"/>
                <w:b/>
                <w:sz w:val="21"/>
                <w:szCs w:val="21"/>
              </w:rPr>
              <w:t xml:space="preserve"> 项目</w:t>
            </w:r>
            <w:r>
              <w:rPr>
                <w:rFonts w:ascii="Times New Roman" w:eastAsiaTheme="minorEastAsia"/>
                <w:b/>
                <w:sz w:val="21"/>
                <w:szCs w:val="21"/>
              </w:rPr>
              <w:t>主要环境保护目标</w:t>
            </w:r>
          </w:p>
          <w:tbl>
            <w:tblPr>
              <w:tblStyle w:val="2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120"/>
              <w:gridCol w:w="1402"/>
              <w:gridCol w:w="702"/>
              <w:gridCol w:w="1130"/>
              <w:gridCol w:w="1127"/>
              <w:gridCol w:w="280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13" w:type="dxa"/>
                  <w:shd w:val="clear" w:color="auto" w:fill="auto"/>
                  <w:vAlign w:val="center"/>
                </w:tcPr>
                <w:p>
                  <w:pPr>
                    <w:pStyle w:val="94"/>
                    <w:jc w:val="center"/>
                    <w:rPr>
                      <w:rFonts w:ascii="Times New Roman" w:eastAsiaTheme="minorEastAsia"/>
                      <w:b/>
                      <w:sz w:val="21"/>
                      <w:szCs w:val="21"/>
                    </w:rPr>
                  </w:pPr>
                  <w:r>
                    <w:rPr>
                      <w:rFonts w:ascii="Times New Roman" w:eastAsiaTheme="minorEastAsia"/>
                      <w:b/>
                      <w:sz w:val="21"/>
                      <w:szCs w:val="21"/>
                    </w:rPr>
                    <w:t>环境要素</w:t>
                  </w:r>
                </w:p>
              </w:tc>
              <w:tc>
                <w:tcPr>
                  <w:tcW w:w="1120" w:type="dxa"/>
                  <w:shd w:val="clear" w:color="auto" w:fill="auto"/>
                  <w:vAlign w:val="center"/>
                </w:tcPr>
                <w:p>
                  <w:pPr>
                    <w:pStyle w:val="94"/>
                    <w:jc w:val="center"/>
                    <w:rPr>
                      <w:rFonts w:ascii="Times New Roman" w:eastAsiaTheme="minorEastAsia"/>
                      <w:b/>
                      <w:sz w:val="21"/>
                      <w:szCs w:val="21"/>
                    </w:rPr>
                  </w:pPr>
                  <w:r>
                    <w:rPr>
                      <w:rFonts w:ascii="Times New Roman" w:eastAsiaTheme="minorEastAsia"/>
                      <w:b/>
                      <w:sz w:val="21"/>
                      <w:szCs w:val="21"/>
                    </w:rPr>
                    <w:t>保护目标</w:t>
                  </w:r>
                </w:p>
              </w:tc>
              <w:tc>
                <w:tcPr>
                  <w:tcW w:w="1402" w:type="dxa"/>
                  <w:shd w:val="clear" w:color="auto" w:fill="auto"/>
                  <w:vAlign w:val="center"/>
                </w:tcPr>
                <w:p>
                  <w:pPr>
                    <w:pStyle w:val="94"/>
                    <w:jc w:val="center"/>
                    <w:rPr>
                      <w:rFonts w:ascii="Times New Roman" w:eastAsiaTheme="minorEastAsia"/>
                      <w:b/>
                      <w:sz w:val="21"/>
                      <w:szCs w:val="21"/>
                    </w:rPr>
                  </w:pPr>
                  <w:r>
                    <w:rPr>
                      <w:rFonts w:hint="eastAsia" w:ascii="Times New Roman" w:eastAsiaTheme="minorEastAsia"/>
                      <w:b/>
                      <w:sz w:val="21"/>
                      <w:szCs w:val="21"/>
                    </w:rPr>
                    <w:t>规模</w:t>
                  </w:r>
                </w:p>
              </w:tc>
              <w:tc>
                <w:tcPr>
                  <w:tcW w:w="702" w:type="dxa"/>
                  <w:vAlign w:val="center"/>
                </w:tcPr>
                <w:p>
                  <w:pPr>
                    <w:pStyle w:val="94"/>
                    <w:jc w:val="center"/>
                    <w:rPr>
                      <w:rFonts w:ascii="Times New Roman" w:eastAsiaTheme="minorEastAsia"/>
                      <w:b/>
                      <w:sz w:val="21"/>
                      <w:szCs w:val="21"/>
                    </w:rPr>
                  </w:pPr>
                  <w:r>
                    <w:rPr>
                      <w:rFonts w:hint="eastAsia" w:ascii="Times New Roman" w:eastAsiaTheme="minorEastAsia"/>
                      <w:b/>
                      <w:sz w:val="21"/>
                      <w:szCs w:val="21"/>
                    </w:rPr>
                    <w:t>位置</w:t>
                  </w:r>
                </w:p>
              </w:tc>
              <w:tc>
                <w:tcPr>
                  <w:tcW w:w="1130" w:type="dxa"/>
                  <w:vAlign w:val="center"/>
                </w:tcPr>
                <w:p>
                  <w:pPr>
                    <w:pStyle w:val="94"/>
                    <w:jc w:val="center"/>
                    <w:rPr>
                      <w:rFonts w:ascii="Times New Roman" w:eastAsiaTheme="minorEastAsia"/>
                      <w:b/>
                      <w:sz w:val="21"/>
                      <w:szCs w:val="21"/>
                    </w:rPr>
                  </w:pPr>
                  <w:r>
                    <w:rPr>
                      <w:rFonts w:hint="eastAsia" w:ascii="Times New Roman" w:eastAsiaTheme="minorEastAsia"/>
                      <w:b/>
                      <w:sz w:val="21"/>
                      <w:szCs w:val="21"/>
                    </w:rPr>
                    <w:t>距离（m）</w:t>
                  </w:r>
                </w:p>
              </w:tc>
              <w:tc>
                <w:tcPr>
                  <w:tcW w:w="1127" w:type="dxa"/>
                  <w:shd w:val="clear" w:color="auto" w:fill="auto"/>
                  <w:vAlign w:val="center"/>
                </w:tcPr>
                <w:p>
                  <w:pPr>
                    <w:pStyle w:val="94"/>
                    <w:jc w:val="center"/>
                    <w:rPr>
                      <w:rFonts w:ascii="Times New Roman" w:eastAsiaTheme="minorEastAsia"/>
                      <w:b/>
                      <w:sz w:val="21"/>
                      <w:szCs w:val="21"/>
                    </w:rPr>
                  </w:pPr>
                  <w:r>
                    <w:rPr>
                      <w:rFonts w:hint="eastAsia" w:ascii="Times New Roman" w:eastAsiaTheme="minorEastAsia"/>
                      <w:b/>
                      <w:sz w:val="21"/>
                      <w:szCs w:val="21"/>
                    </w:rPr>
                    <w:t>高差（m）</w:t>
                  </w:r>
                </w:p>
              </w:tc>
              <w:tc>
                <w:tcPr>
                  <w:tcW w:w="2802" w:type="dxa"/>
                  <w:shd w:val="clear" w:color="auto" w:fill="auto"/>
                  <w:vAlign w:val="center"/>
                </w:tcPr>
                <w:p>
                  <w:pPr>
                    <w:pStyle w:val="94"/>
                    <w:jc w:val="center"/>
                    <w:rPr>
                      <w:rFonts w:ascii="Times New Roman" w:eastAsiaTheme="minorEastAsia"/>
                      <w:b/>
                      <w:sz w:val="21"/>
                      <w:szCs w:val="21"/>
                    </w:rPr>
                  </w:pPr>
                  <w:r>
                    <w:rPr>
                      <w:rFonts w:ascii="Times New Roman" w:eastAsiaTheme="minorEastAsia"/>
                      <w:b/>
                      <w:sz w:val="21"/>
                      <w:szCs w:val="21"/>
                    </w:rPr>
                    <w:t>保护级别</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13" w:type="dxa"/>
                  <w:shd w:val="clear" w:color="auto" w:fill="auto"/>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地表水</w:t>
                  </w:r>
                </w:p>
              </w:tc>
              <w:tc>
                <w:tcPr>
                  <w:tcW w:w="1120"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rPr>
                    <w:t>大渡河</w:t>
                  </w:r>
                </w:p>
              </w:tc>
              <w:tc>
                <w:tcPr>
                  <w:tcW w:w="1402"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rPr>
                    <w:t>大河</w:t>
                  </w:r>
                </w:p>
              </w:tc>
              <w:tc>
                <w:tcPr>
                  <w:tcW w:w="702" w:type="dxa"/>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东</w:t>
                  </w:r>
                </w:p>
              </w:tc>
              <w:tc>
                <w:tcPr>
                  <w:tcW w:w="1130" w:type="dxa"/>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490</w:t>
                  </w:r>
                </w:p>
              </w:tc>
              <w:tc>
                <w:tcPr>
                  <w:tcW w:w="1127"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rPr>
                    <w:t>-</w:t>
                  </w:r>
                  <w:r>
                    <w:rPr>
                      <w:rFonts w:hint="eastAsia" w:ascii="Times New Roman" w:eastAsiaTheme="minorEastAsia"/>
                      <w:sz w:val="21"/>
                      <w:szCs w:val="21"/>
                      <w:lang w:val="en-US" w:eastAsia="zh-CN"/>
                    </w:rPr>
                    <w:t>156</w:t>
                  </w:r>
                </w:p>
              </w:tc>
              <w:tc>
                <w:tcPr>
                  <w:tcW w:w="2802" w:type="dxa"/>
                  <w:shd w:val="clear" w:color="auto" w:fill="auto"/>
                  <w:vAlign w:val="center"/>
                </w:tcPr>
                <w:p>
                  <w:pPr>
                    <w:pStyle w:val="94"/>
                    <w:jc w:val="center"/>
                    <w:rPr>
                      <w:rFonts w:ascii="Times New Roman" w:eastAsiaTheme="minorEastAsia"/>
                      <w:sz w:val="21"/>
                      <w:szCs w:val="21"/>
                    </w:rPr>
                  </w:pPr>
                  <w:r>
                    <w:rPr>
                      <w:rFonts w:ascii="Times New Roman" w:eastAsiaTheme="minorEastAsia"/>
                      <w:sz w:val="21"/>
                      <w:szCs w:val="21"/>
                    </w:rPr>
                    <w:t>满足《地表水环境质量标准》（GB3838-2002）</w:t>
                  </w:r>
                  <w:r>
                    <w:rPr>
                      <w:rFonts w:hint="eastAsia" w:ascii="Times New Roman" w:eastAsiaTheme="minorEastAsia"/>
                      <w:sz w:val="21"/>
                      <w:szCs w:val="21"/>
                    </w:rPr>
                    <w:t>Ⅲ</w:t>
                  </w:r>
                  <w:r>
                    <w:rPr>
                      <w:rFonts w:ascii="Times New Roman" w:eastAsiaTheme="minorEastAsia"/>
                      <w:sz w:val="21"/>
                      <w:szCs w:val="21"/>
                    </w:rPr>
                    <w:t>类标准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3" w:type="dxa"/>
                  <w:vMerge w:val="restart"/>
                  <w:shd w:val="clear" w:color="auto" w:fill="auto"/>
                  <w:vAlign w:val="center"/>
                </w:tcPr>
                <w:p>
                  <w:pPr>
                    <w:pStyle w:val="94"/>
                    <w:jc w:val="center"/>
                    <w:rPr>
                      <w:rFonts w:ascii="Times New Roman" w:eastAsiaTheme="minorEastAsia"/>
                      <w:sz w:val="21"/>
                      <w:szCs w:val="21"/>
                    </w:rPr>
                  </w:pPr>
                  <w:r>
                    <w:rPr>
                      <w:rFonts w:ascii="Times New Roman" w:eastAsiaTheme="minorEastAsia"/>
                      <w:sz w:val="21"/>
                      <w:szCs w:val="21"/>
                    </w:rPr>
                    <w:t>环境</w:t>
                  </w:r>
                  <w:r>
                    <w:rPr>
                      <w:rFonts w:hint="eastAsia" w:ascii="Times New Roman" w:eastAsiaTheme="minorEastAsia"/>
                      <w:sz w:val="21"/>
                      <w:szCs w:val="21"/>
                    </w:rPr>
                    <w:t>空气</w:t>
                  </w:r>
                </w:p>
              </w:tc>
              <w:tc>
                <w:tcPr>
                  <w:tcW w:w="1120"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rPr>
                    <w:t>散居住户</w:t>
                  </w:r>
                </w:p>
              </w:tc>
              <w:tc>
                <w:tcPr>
                  <w:tcW w:w="1402"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lang w:val="en-US" w:eastAsia="zh-CN"/>
                    </w:rPr>
                    <w:t>30</w:t>
                  </w:r>
                  <w:r>
                    <w:rPr>
                      <w:rFonts w:hint="eastAsia" w:ascii="Times New Roman" w:eastAsiaTheme="minorEastAsia"/>
                      <w:sz w:val="21"/>
                      <w:szCs w:val="21"/>
                    </w:rPr>
                    <w:t>户，</w:t>
                  </w:r>
                  <w:r>
                    <w:rPr>
                      <w:rFonts w:hint="eastAsia" w:ascii="Times New Roman" w:eastAsiaTheme="minorEastAsia"/>
                      <w:sz w:val="21"/>
                      <w:szCs w:val="21"/>
                      <w:lang w:val="en-US" w:eastAsia="zh-CN"/>
                    </w:rPr>
                    <w:t>90</w:t>
                  </w:r>
                  <w:r>
                    <w:rPr>
                      <w:rFonts w:hint="eastAsia" w:ascii="Times New Roman" w:eastAsiaTheme="minorEastAsia"/>
                      <w:sz w:val="21"/>
                      <w:szCs w:val="21"/>
                    </w:rPr>
                    <w:t>人</w:t>
                  </w:r>
                </w:p>
              </w:tc>
              <w:tc>
                <w:tcPr>
                  <w:tcW w:w="702" w:type="dxa"/>
                  <w:vAlign w:val="center"/>
                </w:tcPr>
                <w:p>
                  <w:pPr>
                    <w:pStyle w:val="94"/>
                    <w:jc w:val="center"/>
                    <w:rPr>
                      <w:rFonts w:ascii="Times New Roman" w:eastAsiaTheme="minorEastAsia"/>
                      <w:sz w:val="21"/>
                      <w:szCs w:val="21"/>
                    </w:rPr>
                  </w:pPr>
                  <w:r>
                    <w:rPr>
                      <w:rFonts w:hint="eastAsia" w:ascii="Times New Roman" w:eastAsiaTheme="minorEastAsia"/>
                      <w:sz w:val="21"/>
                      <w:szCs w:val="21"/>
                    </w:rPr>
                    <w:t>北</w:t>
                  </w:r>
                </w:p>
              </w:tc>
              <w:tc>
                <w:tcPr>
                  <w:tcW w:w="1130" w:type="dxa"/>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270~500</w:t>
                  </w:r>
                </w:p>
              </w:tc>
              <w:tc>
                <w:tcPr>
                  <w:tcW w:w="1127"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+62</w:t>
                  </w:r>
                </w:p>
              </w:tc>
              <w:tc>
                <w:tcPr>
                  <w:tcW w:w="2802" w:type="dxa"/>
                  <w:vMerge w:val="restart"/>
                  <w:shd w:val="clear" w:color="auto" w:fill="auto"/>
                  <w:vAlign w:val="center"/>
                </w:tcPr>
                <w:p>
                  <w:pPr>
                    <w:pStyle w:val="94"/>
                    <w:jc w:val="center"/>
                    <w:rPr>
                      <w:rFonts w:ascii="Times New Roman" w:eastAsiaTheme="minorEastAsia"/>
                      <w:sz w:val="21"/>
                      <w:szCs w:val="21"/>
                    </w:rPr>
                  </w:pPr>
                  <w:r>
                    <w:rPr>
                      <w:rFonts w:ascii="Times New Roman" w:eastAsiaTheme="minorEastAsia"/>
                      <w:sz w:val="21"/>
                      <w:szCs w:val="21"/>
                    </w:rPr>
                    <w:t>满足《环境空气质量标准》（GB3095-2012）二级标准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713" w:type="dxa"/>
                  <w:vMerge w:val="continue"/>
                  <w:shd w:val="clear" w:color="auto" w:fill="auto"/>
                  <w:vAlign w:val="center"/>
                </w:tcPr>
                <w:p>
                  <w:pPr>
                    <w:pStyle w:val="94"/>
                    <w:jc w:val="center"/>
                    <w:rPr>
                      <w:rFonts w:ascii="Times New Roman" w:eastAsiaTheme="minorEastAsia"/>
                      <w:sz w:val="21"/>
                      <w:szCs w:val="21"/>
                    </w:rPr>
                  </w:pPr>
                </w:p>
              </w:tc>
              <w:tc>
                <w:tcPr>
                  <w:tcW w:w="1120"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rPr>
                    <w:t>散居住户</w:t>
                  </w:r>
                </w:p>
              </w:tc>
              <w:tc>
                <w:tcPr>
                  <w:tcW w:w="1402"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lang w:val="en-US" w:eastAsia="zh-CN"/>
                    </w:rPr>
                    <w:t>10</w:t>
                  </w:r>
                  <w:r>
                    <w:rPr>
                      <w:rFonts w:hint="eastAsia" w:ascii="Times New Roman" w:eastAsiaTheme="minorEastAsia"/>
                      <w:sz w:val="21"/>
                      <w:szCs w:val="21"/>
                    </w:rPr>
                    <w:t>户，</w:t>
                  </w:r>
                  <w:r>
                    <w:rPr>
                      <w:rFonts w:hint="eastAsia" w:ascii="Times New Roman" w:eastAsiaTheme="minorEastAsia"/>
                      <w:sz w:val="21"/>
                      <w:szCs w:val="21"/>
                      <w:lang w:val="en-US" w:eastAsia="zh-CN"/>
                    </w:rPr>
                    <w:t>30</w:t>
                  </w:r>
                  <w:r>
                    <w:rPr>
                      <w:rFonts w:hint="eastAsia" w:ascii="Times New Roman" w:eastAsiaTheme="minorEastAsia"/>
                      <w:sz w:val="21"/>
                      <w:szCs w:val="21"/>
                    </w:rPr>
                    <w:t>人</w:t>
                  </w:r>
                </w:p>
              </w:tc>
              <w:tc>
                <w:tcPr>
                  <w:tcW w:w="702" w:type="dxa"/>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rPr>
                    <w:t>东</w:t>
                  </w:r>
                  <w:r>
                    <w:rPr>
                      <w:rFonts w:hint="eastAsia" w:ascii="Times New Roman" w:eastAsiaTheme="minorEastAsia"/>
                      <w:sz w:val="21"/>
                      <w:szCs w:val="21"/>
                      <w:lang w:eastAsia="zh-CN"/>
                    </w:rPr>
                    <w:t>南</w:t>
                  </w:r>
                </w:p>
              </w:tc>
              <w:tc>
                <w:tcPr>
                  <w:tcW w:w="1130" w:type="dxa"/>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380</w:t>
                  </w:r>
                </w:p>
              </w:tc>
              <w:tc>
                <w:tcPr>
                  <w:tcW w:w="1127"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-129</w:t>
                  </w:r>
                </w:p>
              </w:tc>
              <w:tc>
                <w:tcPr>
                  <w:tcW w:w="2802" w:type="dxa"/>
                  <w:vMerge w:val="continue"/>
                  <w:shd w:val="clear" w:color="auto" w:fill="auto"/>
                  <w:vAlign w:val="center"/>
                </w:tcPr>
                <w:p>
                  <w:pPr>
                    <w:pStyle w:val="94"/>
                    <w:jc w:val="center"/>
                    <w:rPr>
                      <w:rFonts w:ascii="Times New Roman"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3" w:type="dxa"/>
                  <w:vMerge w:val="continue"/>
                  <w:shd w:val="clear" w:color="auto" w:fill="auto"/>
                  <w:vAlign w:val="center"/>
                </w:tcPr>
                <w:p>
                  <w:pPr>
                    <w:pStyle w:val="94"/>
                    <w:jc w:val="center"/>
                    <w:rPr>
                      <w:rFonts w:ascii="Times New Roman" w:eastAsiaTheme="minorEastAsia"/>
                      <w:sz w:val="21"/>
                      <w:szCs w:val="21"/>
                    </w:rPr>
                  </w:pPr>
                </w:p>
              </w:tc>
              <w:tc>
                <w:tcPr>
                  <w:tcW w:w="1120" w:type="dxa"/>
                  <w:shd w:val="clear" w:color="auto" w:fill="auto"/>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散居住户</w:t>
                  </w:r>
                </w:p>
              </w:tc>
              <w:tc>
                <w:tcPr>
                  <w:tcW w:w="1402"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1户，3人</w:t>
                  </w:r>
                </w:p>
              </w:tc>
              <w:tc>
                <w:tcPr>
                  <w:tcW w:w="702" w:type="dxa"/>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南</w:t>
                  </w:r>
                </w:p>
              </w:tc>
              <w:tc>
                <w:tcPr>
                  <w:tcW w:w="1130" w:type="dxa"/>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240</w:t>
                  </w:r>
                </w:p>
              </w:tc>
              <w:tc>
                <w:tcPr>
                  <w:tcW w:w="1127"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-90</w:t>
                  </w:r>
                </w:p>
              </w:tc>
              <w:tc>
                <w:tcPr>
                  <w:tcW w:w="2802" w:type="dxa"/>
                  <w:vMerge w:val="continue"/>
                  <w:shd w:val="clear" w:color="auto" w:fill="auto"/>
                  <w:vAlign w:val="center"/>
                </w:tcPr>
                <w:p>
                  <w:pPr>
                    <w:pStyle w:val="94"/>
                    <w:jc w:val="center"/>
                    <w:rPr>
                      <w:rFonts w:ascii="Times New Roman"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713" w:type="dxa"/>
                  <w:vMerge w:val="continue"/>
                  <w:shd w:val="clear" w:color="auto" w:fill="auto"/>
                  <w:vAlign w:val="center"/>
                </w:tcPr>
                <w:p>
                  <w:pPr>
                    <w:pStyle w:val="94"/>
                    <w:jc w:val="center"/>
                    <w:rPr>
                      <w:rFonts w:ascii="Times New Roman" w:eastAsiaTheme="minorEastAsia"/>
                      <w:sz w:val="21"/>
                      <w:szCs w:val="21"/>
                    </w:rPr>
                  </w:pPr>
                </w:p>
              </w:tc>
              <w:tc>
                <w:tcPr>
                  <w:tcW w:w="1120" w:type="dxa"/>
                  <w:shd w:val="clear" w:color="auto" w:fill="auto"/>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散居住户</w:t>
                  </w:r>
                </w:p>
              </w:tc>
              <w:tc>
                <w:tcPr>
                  <w:tcW w:w="1402"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4户，12人</w:t>
                  </w:r>
                </w:p>
              </w:tc>
              <w:tc>
                <w:tcPr>
                  <w:tcW w:w="702" w:type="dxa"/>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东</w:t>
                  </w:r>
                </w:p>
              </w:tc>
              <w:tc>
                <w:tcPr>
                  <w:tcW w:w="1130" w:type="dxa"/>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270</w:t>
                  </w:r>
                </w:p>
              </w:tc>
              <w:tc>
                <w:tcPr>
                  <w:tcW w:w="1127"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-130</w:t>
                  </w:r>
                </w:p>
              </w:tc>
              <w:tc>
                <w:tcPr>
                  <w:tcW w:w="2802" w:type="dxa"/>
                  <w:vMerge w:val="continue"/>
                  <w:shd w:val="clear" w:color="auto" w:fill="auto"/>
                  <w:vAlign w:val="center"/>
                </w:tcPr>
                <w:p>
                  <w:pPr>
                    <w:pStyle w:val="94"/>
                    <w:jc w:val="center"/>
                    <w:rPr>
                      <w:rFonts w:ascii="Times New Roman"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13" w:type="dxa"/>
                  <w:vMerge w:val="continue"/>
                  <w:shd w:val="clear" w:color="auto" w:fill="auto"/>
                  <w:vAlign w:val="center"/>
                </w:tcPr>
                <w:p>
                  <w:pPr>
                    <w:pStyle w:val="94"/>
                    <w:jc w:val="center"/>
                    <w:rPr>
                      <w:rFonts w:ascii="Times New Roman" w:eastAsiaTheme="minorEastAsia"/>
                      <w:sz w:val="21"/>
                      <w:szCs w:val="21"/>
                    </w:rPr>
                  </w:pPr>
                </w:p>
              </w:tc>
              <w:tc>
                <w:tcPr>
                  <w:tcW w:w="1120" w:type="dxa"/>
                  <w:shd w:val="clear" w:color="auto" w:fill="auto"/>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加水生活用房</w:t>
                  </w:r>
                </w:p>
              </w:tc>
              <w:tc>
                <w:tcPr>
                  <w:tcW w:w="1402"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3人</w:t>
                  </w:r>
                </w:p>
              </w:tc>
              <w:tc>
                <w:tcPr>
                  <w:tcW w:w="702" w:type="dxa"/>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东南</w:t>
                  </w:r>
                </w:p>
              </w:tc>
              <w:tc>
                <w:tcPr>
                  <w:tcW w:w="1130" w:type="dxa"/>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40</w:t>
                  </w:r>
                </w:p>
              </w:tc>
              <w:tc>
                <w:tcPr>
                  <w:tcW w:w="1127" w:type="dxa"/>
                  <w:shd w:val="clear" w:color="auto" w:fill="auto"/>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w:t>
                  </w:r>
                </w:p>
              </w:tc>
              <w:tc>
                <w:tcPr>
                  <w:tcW w:w="2802" w:type="dxa"/>
                  <w:vMerge w:val="continue"/>
                  <w:shd w:val="clear" w:color="auto" w:fill="auto"/>
                  <w:vAlign w:val="center"/>
                </w:tcPr>
                <w:p>
                  <w:pPr>
                    <w:pStyle w:val="94"/>
                    <w:jc w:val="center"/>
                    <w:rPr>
                      <w:rFonts w:ascii="Times New Roman"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713"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rPr>
                    <w:t>噪声环境</w:t>
                  </w:r>
                </w:p>
              </w:tc>
              <w:tc>
                <w:tcPr>
                  <w:tcW w:w="1120" w:type="dxa"/>
                  <w:shd w:val="clear" w:color="auto" w:fill="auto"/>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加水生活用房</w:t>
                  </w:r>
                </w:p>
              </w:tc>
              <w:tc>
                <w:tcPr>
                  <w:tcW w:w="1402"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lang w:val="en-US" w:eastAsia="zh-CN"/>
                    </w:rPr>
                    <w:t>3</w:t>
                  </w:r>
                  <w:r>
                    <w:rPr>
                      <w:rFonts w:hint="eastAsia" w:ascii="Times New Roman" w:eastAsiaTheme="minorEastAsia"/>
                      <w:sz w:val="21"/>
                      <w:szCs w:val="21"/>
                    </w:rPr>
                    <w:t>人</w:t>
                  </w:r>
                </w:p>
              </w:tc>
              <w:tc>
                <w:tcPr>
                  <w:tcW w:w="702" w:type="dxa"/>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eastAsia="zh-CN"/>
                    </w:rPr>
                    <w:t>东南</w:t>
                  </w:r>
                </w:p>
              </w:tc>
              <w:tc>
                <w:tcPr>
                  <w:tcW w:w="1130" w:type="dxa"/>
                  <w:vAlign w:val="center"/>
                </w:tcPr>
                <w:p>
                  <w:pPr>
                    <w:pStyle w:val="94"/>
                    <w:jc w:val="center"/>
                    <w:rPr>
                      <w:rFonts w:hint="default" w:ascii="Times New Roman" w:eastAsiaTheme="minorEastAsia"/>
                      <w:sz w:val="21"/>
                      <w:szCs w:val="21"/>
                      <w:lang w:val="en-US" w:eastAsia="zh-CN"/>
                    </w:rPr>
                  </w:pPr>
                  <w:r>
                    <w:rPr>
                      <w:rFonts w:hint="eastAsia" w:ascii="Times New Roman" w:eastAsiaTheme="minorEastAsia"/>
                      <w:sz w:val="21"/>
                      <w:szCs w:val="21"/>
                      <w:lang w:val="en-US" w:eastAsia="zh-CN"/>
                    </w:rPr>
                    <w:t>40</w:t>
                  </w:r>
                </w:p>
              </w:tc>
              <w:tc>
                <w:tcPr>
                  <w:tcW w:w="1127" w:type="dxa"/>
                  <w:shd w:val="clear" w:color="auto" w:fill="auto"/>
                  <w:vAlign w:val="center"/>
                </w:tcPr>
                <w:p>
                  <w:pPr>
                    <w:pStyle w:val="94"/>
                    <w:jc w:val="center"/>
                    <w:rPr>
                      <w:rFonts w:hint="eastAsia" w:ascii="Times New Roman" w:eastAsiaTheme="minorEastAsia"/>
                      <w:sz w:val="21"/>
                      <w:szCs w:val="21"/>
                      <w:lang w:eastAsia="zh-CN"/>
                    </w:rPr>
                  </w:pPr>
                  <w:r>
                    <w:rPr>
                      <w:rFonts w:hint="eastAsia" w:ascii="Times New Roman" w:eastAsiaTheme="minorEastAsia"/>
                      <w:sz w:val="21"/>
                      <w:szCs w:val="21"/>
                      <w:lang w:val="en-US" w:eastAsia="zh-CN"/>
                    </w:rPr>
                    <w:t>/</w:t>
                  </w:r>
                </w:p>
              </w:tc>
              <w:tc>
                <w:tcPr>
                  <w:tcW w:w="2802" w:type="dxa"/>
                  <w:shd w:val="clear" w:color="auto" w:fill="auto"/>
                  <w:vAlign w:val="center"/>
                </w:tcPr>
                <w:p>
                  <w:pPr>
                    <w:pStyle w:val="94"/>
                    <w:jc w:val="center"/>
                    <w:rPr>
                      <w:rFonts w:ascii="Times New Roman" w:eastAsiaTheme="minorEastAsia"/>
                      <w:sz w:val="21"/>
                      <w:szCs w:val="21"/>
                    </w:rPr>
                  </w:pPr>
                  <w:r>
                    <w:rPr>
                      <w:rFonts w:hint="eastAsia" w:ascii="Times New Roman" w:eastAsiaTheme="minorEastAsia"/>
                      <w:sz w:val="21"/>
                      <w:szCs w:val="21"/>
                    </w:rPr>
                    <w:t>满足《声环境质量标准》（GB3096-2008）中</w:t>
                  </w:r>
                  <w:r>
                    <w:rPr>
                      <w:rFonts w:hint="eastAsia" w:ascii="Times New Roman" w:eastAsiaTheme="minorEastAsia"/>
                      <w:sz w:val="21"/>
                      <w:szCs w:val="21"/>
                      <w:lang w:val="en-US" w:eastAsia="zh-CN"/>
                    </w:rPr>
                    <w:t>4a</w:t>
                  </w:r>
                  <w:r>
                    <w:rPr>
                      <w:rFonts w:hint="eastAsia" w:ascii="Times New Roman" w:eastAsiaTheme="minorEastAsia"/>
                      <w:sz w:val="21"/>
                      <w:szCs w:val="21"/>
                    </w:rPr>
                    <w:t>类标准</w:t>
                  </w:r>
                </w:p>
              </w:tc>
            </w:tr>
          </w:tbl>
          <w:p>
            <w:pPr>
              <w:spacing w:line="500" w:lineRule="exact"/>
              <w:rPr>
                <w:rStyle w:val="64"/>
                <w:rFonts w:ascii="Times New Roman" w:hAnsi="Times New Roman" w:eastAsiaTheme="minorEastAsia"/>
                <w:sz w:val="30"/>
                <w:szCs w:val="30"/>
              </w:rPr>
            </w:pPr>
          </w:p>
        </w:tc>
      </w:tr>
    </w:tbl>
    <w:p>
      <w:pPr>
        <w:pStyle w:val="193"/>
        <w:bidi w:val="0"/>
        <w:sectPr>
          <w:footerReference r:id="rId10" w:type="first"/>
          <w:pgSz w:w="11906" w:h="16838"/>
          <w:pgMar w:top="1418" w:right="1418" w:bottom="1588" w:left="1418" w:header="851" w:footer="992" w:gutter="0"/>
          <w:pgNumType w:fmt="numberInDash"/>
          <w:cols w:space="720" w:num="1"/>
          <w:titlePg/>
          <w:docGrid w:type="lines" w:linePitch="312" w:charSpace="0"/>
        </w:sectPr>
      </w:pPr>
    </w:p>
    <w:p>
      <w:pPr>
        <w:pStyle w:val="4"/>
        <w:spacing w:before="0" w:after="0" w:line="240" w:lineRule="auto"/>
        <w:rPr>
          <w:rFonts w:ascii="Times New Roman" w:hAnsi="Times New Roman" w:eastAsiaTheme="minorEastAsia"/>
        </w:rPr>
      </w:pPr>
      <w:bookmarkStart w:id="14" w:name="_Toc165893208"/>
      <w:r>
        <w:rPr>
          <w:rFonts w:ascii="Times New Roman" w:hAnsi="Times New Roman" w:eastAsiaTheme="minorEastAsia"/>
        </w:rPr>
        <w:t>评价适用标准</w:t>
      </w:r>
      <w:bookmarkEnd w:id="14"/>
      <w:r>
        <w:rPr>
          <w:rFonts w:ascii="Times New Roman" w:hAnsi="Times New Roman" w:eastAsiaTheme="minorEastAsia"/>
        </w:rPr>
        <w:t xml:space="preserve">                                    （表四）</w:t>
      </w:r>
    </w:p>
    <w:tbl>
      <w:tblPr>
        <w:tblStyle w:val="29"/>
        <w:tblW w:w="9356"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8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655" w:type="dxa"/>
            <w:tcMar>
              <w:top w:w="0" w:type="dxa"/>
              <w:left w:w="57" w:type="dxa"/>
              <w:bottom w:w="0" w:type="dxa"/>
              <w:right w:w="57" w:type="dxa"/>
            </w:tcMar>
            <w:vAlign w:val="center"/>
          </w:tcPr>
          <w:p>
            <w:pPr>
              <w:snapToGrid w:val="0"/>
              <w:spacing w:line="408" w:lineRule="auto"/>
              <w:jc w:val="center"/>
              <w:rPr>
                <w:rFonts w:eastAsiaTheme="minorEastAsia"/>
                <w:b/>
                <w:color w:val="000000"/>
                <w:sz w:val="24"/>
              </w:rPr>
            </w:pPr>
            <w:r>
              <w:rPr>
                <w:rFonts w:eastAsiaTheme="minorEastAsia"/>
                <w:b/>
                <w:color w:val="000000"/>
                <w:sz w:val="24"/>
              </w:rPr>
              <w:t>环</w:t>
            </w:r>
          </w:p>
          <w:p>
            <w:pPr>
              <w:snapToGrid w:val="0"/>
              <w:spacing w:line="408" w:lineRule="auto"/>
              <w:jc w:val="center"/>
              <w:rPr>
                <w:rFonts w:eastAsiaTheme="minorEastAsia"/>
                <w:b/>
                <w:color w:val="000000"/>
                <w:sz w:val="24"/>
              </w:rPr>
            </w:pPr>
            <w:r>
              <w:rPr>
                <w:rFonts w:eastAsiaTheme="minorEastAsia"/>
                <w:b/>
                <w:color w:val="000000"/>
                <w:sz w:val="24"/>
              </w:rPr>
              <w:t>境</w:t>
            </w:r>
          </w:p>
          <w:p>
            <w:pPr>
              <w:snapToGrid w:val="0"/>
              <w:spacing w:line="408" w:lineRule="auto"/>
              <w:jc w:val="center"/>
              <w:rPr>
                <w:rFonts w:eastAsiaTheme="minorEastAsia"/>
                <w:b/>
                <w:color w:val="000000"/>
                <w:sz w:val="24"/>
              </w:rPr>
            </w:pPr>
            <w:r>
              <w:rPr>
                <w:rFonts w:eastAsiaTheme="minorEastAsia"/>
                <w:b/>
                <w:color w:val="000000"/>
                <w:sz w:val="24"/>
              </w:rPr>
              <w:t>质</w:t>
            </w:r>
          </w:p>
          <w:p>
            <w:pPr>
              <w:snapToGrid w:val="0"/>
              <w:spacing w:line="408" w:lineRule="auto"/>
              <w:jc w:val="center"/>
              <w:rPr>
                <w:rFonts w:eastAsiaTheme="minorEastAsia"/>
                <w:b/>
                <w:color w:val="000000"/>
                <w:sz w:val="24"/>
              </w:rPr>
            </w:pPr>
            <w:r>
              <w:rPr>
                <w:rFonts w:eastAsiaTheme="minorEastAsia"/>
                <w:b/>
                <w:color w:val="000000"/>
                <w:sz w:val="24"/>
              </w:rPr>
              <w:t>量</w:t>
            </w:r>
          </w:p>
          <w:p>
            <w:pPr>
              <w:snapToGrid w:val="0"/>
              <w:spacing w:line="408" w:lineRule="auto"/>
              <w:jc w:val="center"/>
              <w:rPr>
                <w:rFonts w:eastAsiaTheme="minorEastAsia"/>
                <w:b/>
                <w:color w:val="000000"/>
                <w:sz w:val="24"/>
              </w:rPr>
            </w:pPr>
            <w:r>
              <w:rPr>
                <w:rFonts w:eastAsiaTheme="minorEastAsia"/>
                <w:b/>
                <w:color w:val="000000"/>
                <w:sz w:val="24"/>
              </w:rPr>
              <w:t>标</w:t>
            </w:r>
          </w:p>
          <w:p>
            <w:pPr>
              <w:jc w:val="center"/>
              <w:rPr>
                <w:rFonts w:eastAsiaTheme="minorEastAsia"/>
                <w:color w:val="000000"/>
                <w:sz w:val="30"/>
                <w:szCs w:val="30"/>
              </w:rPr>
            </w:pPr>
            <w:r>
              <w:rPr>
                <w:rFonts w:eastAsiaTheme="minorEastAsia"/>
                <w:b/>
                <w:color w:val="000000"/>
                <w:sz w:val="24"/>
              </w:rPr>
              <w:t>准</w:t>
            </w:r>
          </w:p>
        </w:tc>
        <w:tc>
          <w:tcPr>
            <w:tcW w:w="8701" w:type="dxa"/>
            <w:tcMar>
              <w:top w:w="0" w:type="dxa"/>
              <w:left w:w="57" w:type="dxa"/>
              <w:bottom w:w="0" w:type="dxa"/>
              <w:right w:w="57" w:type="dxa"/>
            </w:tcMar>
          </w:tcPr>
          <w:p>
            <w:pPr>
              <w:snapToGrid w:val="0"/>
              <w:spacing w:line="360" w:lineRule="auto"/>
              <w:rPr>
                <w:rFonts w:eastAsiaTheme="minorEastAsia"/>
                <w:b/>
                <w:color w:val="000000"/>
                <w:sz w:val="24"/>
              </w:rPr>
            </w:pPr>
            <w:r>
              <w:rPr>
                <w:rFonts w:eastAsiaTheme="minorEastAsia"/>
                <w:b/>
                <w:color w:val="000000"/>
                <w:sz w:val="24"/>
              </w:rPr>
              <w:t>1、环境空气质量</w:t>
            </w:r>
          </w:p>
          <w:p>
            <w:pPr>
              <w:snapToGrid w:val="0"/>
              <w:spacing w:line="360" w:lineRule="auto"/>
              <w:ind w:firstLine="480" w:firstLineChars="200"/>
              <w:rPr>
                <w:rFonts w:eastAsiaTheme="minorEastAsia"/>
                <w:color w:val="000000"/>
                <w:sz w:val="24"/>
              </w:rPr>
            </w:pPr>
            <w:r>
              <w:rPr>
                <w:rFonts w:eastAsiaTheme="minorEastAsia"/>
                <w:color w:val="000000"/>
                <w:sz w:val="24"/>
              </w:rPr>
              <w:t>执行国家《环境空气质量标准》（GB3095-2012）中二级标准限值要求。标准值见表4-1。</w:t>
            </w:r>
          </w:p>
          <w:p>
            <w:pPr>
              <w:snapToGrid w:val="0"/>
              <w:jc w:val="center"/>
              <w:rPr>
                <w:rFonts w:eastAsiaTheme="minorEastAsia"/>
                <w:color w:val="000000"/>
                <w:szCs w:val="21"/>
              </w:rPr>
            </w:pPr>
            <w:r>
              <w:rPr>
                <w:rFonts w:eastAsiaTheme="minorEastAsia"/>
                <w:b/>
                <w:color w:val="000000"/>
                <w:kern w:val="0"/>
                <w:szCs w:val="21"/>
              </w:rPr>
              <w:t>表4-1  各项污染物的浓度限值  单位：</w:t>
            </w:r>
            <w:r>
              <w:rPr>
                <w:rFonts w:eastAsiaTheme="minorEastAsia"/>
                <w:b/>
                <w:color w:val="000000"/>
                <w:szCs w:val="21"/>
                <w:shd w:val="clear" w:color="auto" w:fill="FFFFFF"/>
              </w:rPr>
              <w:t>m</w:t>
            </w:r>
            <w:r>
              <w:rPr>
                <w:rFonts w:eastAsiaTheme="minorEastAsia"/>
                <w:b/>
                <w:color w:val="000000"/>
                <w:kern w:val="0"/>
                <w:szCs w:val="21"/>
              </w:rPr>
              <w:t>g/m</w:t>
            </w:r>
            <w:r>
              <w:rPr>
                <w:rFonts w:eastAsiaTheme="minorEastAsia"/>
                <w:b/>
                <w:color w:val="000000"/>
                <w:kern w:val="0"/>
                <w:szCs w:val="21"/>
                <w:vertAlign w:val="superscript"/>
              </w:rPr>
              <w:t>3</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310"/>
              <w:gridCol w:w="1244"/>
              <w:gridCol w:w="882"/>
              <w:gridCol w:w="813"/>
              <w:gridCol w:w="952"/>
              <w:gridCol w:w="1141"/>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1356" w:type="pct"/>
                  <w:gridSpan w:val="2"/>
                  <w:vAlign w:val="center"/>
                </w:tcPr>
                <w:p>
                  <w:pPr>
                    <w:snapToGrid w:val="0"/>
                    <w:spacing w:line="360" w:lineRule="exact"/>
                    <w:jc w:val="center"/>
                    <w:rPr>
                      <w:color w:val="000000"/>
                      <w:sz w:val="20"/>
                      <w:szCs w:val="20"/>
                    </w:rPr>
                  </w:pPr>
                  <w:r>
                    <w:rPr>
                      <w:rFonts w:hint="eastAsia"/>
                      <w:color w:val="000000"/>
                      <w:sz w:val="20"/>
                      <w:szCs w:val="20"/>
                    </w:rPr>
                    <w:t>执行标准</w:t>
                  </w:r>
                </w:p>
              </w:tc>
              <w:tc>
                <w:tcPr>
                  <w:tcW w:w="3643" w:type="pct"/>
                  <w:gridSpan w:val="6"/>
                  <w:vAlign w:val="center"/>
                </w:tcPr>
                <w:p>
                  <w:pPr>
                    <w:snapToGrid w:val="0"/>
                    <w:spacing w:line="360" w:lineRule="exact"/>
                    <w:jc w:val="center"/>
                    <w:rPr>
                      <w:color w:val="000000"/>
                      <w:sz w:val="20"/>
                      <w:szCs w:val="20"/>
                    </w:rPr>
                  </w:pPr>
                  <w:r>
                    <w:rPr>
                      <w:color w:val="000000"/>
                      <w:sz w:val="20"/>
                      <w:szCs w:val="20"/>
                    </w:rPr>
                    <w:t>《环境空气质量标准》</w:t>
                  </w:r>
                </w:p>
                <w:p>
                  <w:pPr>
                    <w:snapToGrid w:val="0"/>
                    <w:spacing w:line="360" w:lineRule="exact"/>
                    <w:jc w:val="center"/>
                    <w:rPr>
                      <w:rFonts w:hint="default" w:eastAsia="宋体"/>
                      <w:color w:val="000000"/>
                      <w:sz w:val="20"/>
                      <w:szCs w:val="20"/>
                      <w:lang w:val="en-US" w:eastAsia="zh-CN"/>
                    </w:rPr>
                  </w:pPr>
                  <w:r>
                    <w:rPr>
                      <w:color w:val="000000"/>
                      <w:sz w:val="20"/>
                      <w:szCs w:val="20"/>
                    </w:rPr>
                    <w:t>GB3095-2012</w:t>
                  </w:r>
                  <w:r>
                    <w:rPr>
                      <w:rFonts w:hint="eastAsia"/>
                      <w:color w:val="000000"/>
                      <w:sz w:val="20"/>
                      <w:szCs w:val="20"/>
                    </w:rPr>
                    <w:t>）</w:t>
                  </w:r>
                  <w:bookmarkStart w:id="29" w:name="_GoBack"/>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1356" w:type="pct"/>
                  <w:gridSpan w:val="2"/>
                  <w:vAlign w:val="center"/>
                </w:tcPr>
                <w:p>
                  <w:pPr>
                    <w:snapToGrid w:val="0"/>
                    <w:spacing w:line="360" w:lineRule="exact"/>
                    <w:jc w:val="center"/>
                    <w:rPr>
                      <w:color w:val="000000"/>
                      <w:sz w:val="20"/>
                      <w:szCs w:val="20"/>
                    </w:rPr>
                  </w:pPr>
                  <w:r>
                    <w:rPr>
                      <w:color w:val="000000"/>
                      <w:sz w:val="20"/>
                      <w:szCs w:val="20"/>
                    </w:rPr>
                    <w:t>污染物名称</w:t>
                  </w:r>
                </w:p>
              </w:tc>
              <w:tc>
                <w:tcPr>
                  <w:tcW w:w="725" w:type="pct"/>
                  <w:vAlign w:val="center"/>
                </w:tcPr>
                <w:p>
                  <w:pPr>
                    <w:snapToGrid w:val="0"/>
                    <w:spacing w:line="360" w:lineRule="exact"/>
                    <w:jc w:val="center"/>
                    <w:rPr>
                      <w:color w:val="000000"/>
                      <w:sz w:val="20"/>
                      <w:szCs w:val="20"/>
                    </w:rPr>
                  </w:pPr>
                  <w:r>
                    <w:rPr>
                      <w:color w:val="000000"/>
                      <w:sz w:val="20"/>
                      <w:szCs w:val="20"/>
                    </w:rPr>
                    <w:t>SO</w:t>
                  </w:r>
                  <w:r>
                    <w:rPr>
                      <w:color w:val="000000"/>
                      <w:sz w:val="20"/>
                      <w:szCs w:val="20"/>
                      <w:vertAlign w:val="subscript"/>
                    </w:rPr>
                    <w:t>2</w:t>
                  </w:r>
                </w:p>
              </w:tc>
              <w:tc>
                <w:tcPr>
                  <w:tcW w:w="514" w:type="pct"/>
                  <w:vAlign w:val="center"/>
                </w:tcPr>
                <w:p>
                  <w:pPr>
                    <w:snapToGrid w:val="0"/>
                    <w:spacing w:line="360" w:lineRule="exact"/>
                    <w:jc w:val="center"/>
                    <w:rPr>
                      <w:color w:val="000000"/>
                      <w:sz w:val="20"/>
                      <w:szCs w:val="20"/>
                    </w:rPr>
                  </w:pPr>
                  <w:r>
                    <w:rPr>
                      <w:color w:val="000000"/>
                      <w:sz w:val="20"/>
                      <w:szCs w:val="20"/>
                    </w:rPr>
                    <w:t>NO</w:t>
                  </w:r>
                  <w:r>
                    <w:rPr>
                      <w:color w:val="000000"/>
                      <w:sz w:val="20"/>
                      <w:szCs w:val="20"/>
                      <w:vertAlign w:val="subscript"/>
                    </w:rPr>
                    <w:t>2</w:t>
                  </w:r>
                </w:p>
              </w:tc>
              <w:tc>
                <w:tcPr>
                  <w:tcW w:w="474" w:type="pct"/>
                  <w:vAlign w:val="center"/>
                </w:tcPr>
                <w:p>
                  <w:pPr>
                    <w:snapToGrid w:val="0"/>
                    <w:spacing w:line="360" w:lineRule="exact"/>
                    <w:jc w:val="center"/>
                    <w:rPr>
                      <w:color w:val="000000"/>
                      <w:sz w:val="20"/>
                      <w:szCs w:val="20"/>
                    </w:rPr>
                  </w:pPr>
                  <w:r>
                    <w:rPr>
                      <w:rFonts w:hint="eastAsia"/>
                      <w:color w:val="000000"/>
                      <w:sz w:val="20"/>
                      <w:szCs w:val="20"/>
                    </w:rPr>
                    <w:t>CO</w:t>
                  </w:r>
                </w:p>
              </w:tc>
              <w:tc>
                <w:tcPr>
                  <w:tcW w:w="555" w:type="pct"/>
                  <w:vAlign w:val="center"/>
                </w:tcPr>
                <w:p>
                  <w:pPr>
                    <w:snapToGrid w:val="0"/>
                    <w:spacing w:line="360" w:lineRule="exact"/>
                    <w:jc w:val="center"/>
                    <w:rPr>
                      <w:color w:val="000000"/>
                      <w:sz w:val="20"/>
                      <w:szCs w:val="20"/>
                    </w:rPr>
                  </w:pPr>
                  <w:r>
                    <w:rPr>
                      <w:rFonts w:hint="eastAsia"/>
                      <w:color w:val="000000"/>
                      <w:sz w:val="20"/>
                      <w:szCs w:val="20"/>
                    </w:rPr>
                    <w:t>O</w:t>
                  </w:r>
                  <w:r>
                    <w:rPr>
                      <w:rFonts w:hint="eastAsia"/>
                      <w:color w:val="000000"/>
                      <w:sz w:val="20"/>
                      <w:szCs w:val="20"/>
                      <w:vertAlign w:val="subscript"/>
                    </w:rPr>
                    <w:t>3</w:t>
                  </w:r>
                </w:p>
              </w:tc>
              <w:tc>
                <w:tcPr>
                  <w:tcW w:w="665" w:type="pct"/>
                  <w:vAlign w:val="center"/>
                </w:tcPr>
                <w:p>
                  <w:pPr>
                    <w:snapToGrid w:val="0"/>
                    <w:spacing w:line="360" w:lineRule="exact"/>
                    <w:jc w:val="center"/>
                    <w:rPr>
                      <w:color w:val="000000"/>
                      <w:sz w:val="20"/>
                      <w:szCs w:val="20"/>
                    </w:rPr>
                  </w:pPr>
                  <w:r>
                    <w:rPr>
                      <w:color w:val="000000"/>
                      <w:sz w:val="20"/>
                      <w:szCs w:val="20"/>
                    </w:rPr>
                    <w:t>PM</w:t>
                  </w:r>
                  <w:r>
                    <w:rPr>
                      <w:rFonts w:hint="eastAsia"/>
                      <w:color w:val="000000"/>
                      <w:sz w:val="20"/>
                      <w:szCs w:val="20"/>
                      <w:vertAlign w:val="subscript"/>
                    </w:rPr>
                    <w:t>10</w:t>
                  </w:r>
                </w:p>
              </w:tc>
              <w:tc>
                <w:tcPr>
                  <w:tcW w:w="707" w:type="pct"/>
                  <w:vAlign w:val="center"/>
                </w:tcPr>
                <w:p>
                  <w:pPr>
                    <w:snapToGrid w:val="0"/>
                    <w:spacing w:line="360" w:lineRule="exact"/>
                    <w:jc w:val="center"/>
                    <w:rPr>
                      <w:color w:val="000000"/>
                      <w:sz w:val="20"/>
                      <w:szCs w:val="20"/>
                    </w:rPr>
                  </w:pPr>
                  <w:r>
                    <w:rPr>
                      <w:rFonts w:hint="eastAsia"/>
                      <w:color w:val="000000"/>
                      <w:sz w:val="20"/>
                      <w:szCs w:val="20"/>
                    </w:rPr>
                    <w:t>PM</w:t>
                  </w:r>
                  <w:r>
                    <w:rPr>
                      <w:rFonts w:hint="eastAsia"/>
                      <w:color w:val="000000"/>
                      <w:sz w:val="20"/>
                      <w:szCs w:val="20"/>
                      <w:vertAlign w:val="subscript"/>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592" w:type="pct"/>
                  <w:vMerge w:val="restart"/>
                  <w:vAlign w:val="center"/>
                </w:tcPr>
                <w:p>
                  <w:pPr>
                    <w:snapToGrid w:val="0"/>
                    <w:spacing w:line="360" w:lineRule="exact"/>
                    <w:jc w:val="center"/>
                    <w:rPr>
                      <w:color w:val="000000"/>
                      <w:sz w:val="20"/>
                      <w:szCs w:val="20"/>
                    </w:rPr>
                  </w:pPr>
                  <w:r>
                    <w:rPr>
                      <w:color w:val="000000"/>
                      <w:sz w:val="20"/>
                      <w:szCs w:val="20"/>
                    </w:rPr>
                    <w:t>取值时间</w:t>
                  </w:r>
                </w:p>
              </w:tc>
              <w:tc>
                <w:tcPr>
                  <w:tcW w:w="763" w:type="pct"/>
                  <w:vAlign w:val="center"/>
                </w:tcPr>
                <w:p>
                  <w:pPr>
                    <w:snapToGrid w:val="0"/>
                    <w:spacing w:line="360" w:lineRule="exact"/>
                    <w:jc w:val="center"/>
                    <w:rPr>
                      <w:color w:val="000000"/>
                      <w:sz w:val="20"/>
                      <w:szCs w:val="20"/>
                    </w:rPr>
                  </w:pPr>
                  <w:r>
                    <w:rPr>
                      <w:color w:val="000000"/>
                      <w:sz w:val="20"/>
                      <w:szCs w:val="20"/>
                    </w:rPr>
                    <w:t>年平均值</w:t>
                  </w:r>
                </w:p>
              </w:tc>
              <w:tc>
                <w:tcPr>
                  <w:tcW w:w="725" w:type="pct"/>
                  <w:vAlign w:val="center"/>
                </w:tcPr>
                <w:p>
                  <w:pPr>
                    <w:snapToGrid w:val="0"/>
                    <w:spacing w:line="360" w:lineRule="exact"/>
                    <w:jc w:val="center"/>
                    <w:rPr>
                      <w:color w:val="000000"/>
                      <w:sz w:val="20"/>
                      <w:szCs w:val="20"/>
                    </w:rPr>
                  </w:pPr>
                  <w:r>
                    <w:rPr>
                      <w:rFonts w:hint="eastAsia"/>
                      <w:color w:val="000000"/>
                      <w:sz w:val="20"/>
                      <w:szCs w:val="20"/>
                    </w:rPr>
                    <w:t>0.0</w:t>
                  </w:r>
                  <w:r>
                    <w:rPr>
                      <w:color w:val="000000"/>
                      <w:sz w:val="20"/>
                      <w:szCs w:val="20"/>
                    </w:rPr>
                    <w:t>6</w:t>
                  </w:r>
                </w:p>
              </w:tc>
              <w:tc>
                <w:tcPr>
                  <w:tcW w:w="514" w:type="pct"/>
                  <w:vAlign w:val="center"/>
                </w:tcPr>
                <w:p>
                  <w:pPr>
                    <w:snapToGrid w:val="0"/>
                    <w:spacing w:line="360" w:lineRule="exact"/>
                    <w:jc w:val="center"/>
                    <w:rPr>
                      <w:color w:val="000000"/>
                      <w:sz w:val="20"/>
                      <w:szCs w:val="20"/>
                    </w:rPr>
                  </w:pPr>
                  <w:r>
                    <w:rPr>
                      <w:rFonts w:hint="eastAsia"/>
                      <w:color w:val="000000"/>
                      <w:sz w:val="20"/>
                      <w:szCs w:val="20"/>
                    </w:rPr>
                    <w:t>0.0</w:t>
                  </w:r>
                  <w:r>
                    <w:rPr>
                      <w:color w:val="000000"/>
                      <w:sz w:val="20"/>
                      <w:szCs w:val="20"/>
                    </w:rPr>
                    <w:t>4</w:t>
                  </w:r>
                </w:p>
              </w:tc>
              <w:tc>
                <w:tcPr>
                  <w:tcW w:w="474" w:type="pct"/>
                  <w:vAlign w:val="center"/>
                </w:tcPr>
                <w:p>
                  <w:pPr>
                    <w:snapToGrid w:val="0"/>
                    <w:spacing w:line="360" w:lineRule="exact"/>
                    <w:jc w:val="center"/>
                    <w:rPr>
                      <w:color w:val="000000"/>
                      <w:sz w:val="20"/>
                      <w:szCs w:val="20"/>
                    </w:rPr>
                  </w:pPr>
                  <w:r>
                    <w:rPr>
                      <w:rFonts w:hint="eastAsia"/>
                      <w:color w:val="000000"/>
                      <w:sz w:val="20"/>
                      <w:szCs w:val="20"/>
                    </w:rPr>
                    <w:t>/</w:t>
                  </w:r>
                </w:p>
              </w:tc>
              <w:tc>
                <w:tcPr>
                  <w:tcW w:w="555" w:type="pct"/>
                  <w:vAlign w:val="center"/>
                </w:tcPr>
                <w:p>
                  <w:pPr>
                    <w:snapToGrid w:val="0"/>
                    <w:spacing w:line="360" w:lineRule="exact"/>
                    <w:jc w:val="center"/>
                    <w:rPr>
                      <w:color w:val="000000"/>
                      <w:sz w:val="20"/>
                      <w:szCs w:val="20"/>
                    </w:rPr>
                  </w:pPr>
                  <w:r>
                    <w:rPr>
                      <w:rFonts w:hint="eastAsia"/>
                      <w:color w:val="000000"/>
                      <w:sz w:val="20"/>
                      <w:szCs w:val="20"/>
                    </w:rPr>
                    <w:t>/</w:t>
                  </w:r>
                </w:p>
              </w:tc>
              <w:tc>
                <w:tcPr>
                  <w:tcW w:w="665" w:type="pct"/>
                  <w:vAlign w:val="center"/>
                </w:tcPr>
                <w:p>
                  <w:pPr>
                    <w:snapToGrid w:val="0"/>
                    <w:spacing w:line="360" w:lineRule="exact"/>
                    <w:jc w:val="center"/>
                    <w:rPr>
                      <w:color w:val="000000"/>
                      <w:sz w:val="20"/>
                      <w:szCs w:val="20"/>
                    </w:rPr>
                  </w:pPr>
                  <w:r>
                    <w:rPr>
                      <w:rFonts w:hint="eastAsia"/>
                      <w:color w:val="000000"/>
                      <w:sz w:val="20"/>
                      <w:szCs w:val="20"/>
                    </w:rPr>
                    <w:t>0.07</w:t>
                  </w:r>
                </w:p>
              </w:tc>
              <w:tc>
                <w:tcPr>
                  <w:tcW w:w="707" w:type="pct"/>
                  <w:vAlign w:val="center"/>
                </w:tcPr>
                <w:p>
                  <w:pPr>
                    <w:snapToGrid w:val="0"/>
                    <w:spacing w:line="360" w:lineRule="exact"/>
                    <w:jc w:val="center"/>
                    <w:rPr>
                      <w:color w:val="000000"/>
                      <w:sz w:val="20"/>
                      <w:szCs w:val="20"/>
                    </w:rPr>
                  </w:pPr>
                  <w:r>
                    <w:rPr>
                      <w:rFonts w:hint="eastAsia"/>
                      <w:color w:val="000000"/>
                      <w:sz w:val="20"/>
                      <w:szCs w:val="20"/>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 w:hRule="atLeast"/>
                <w:jc w:val="center"/>
              </w:trPr>
              <w:tc>
                <w:tcPr>
                  <w:tcW w:w="592" w:type="pct"/>
                  <w:vMerge w:val="continue"/>
                  <w:vAlign w:val="center"/>
                </w:tcPr>
                <w:p>
                  <w:pPr>
                    <w:snapToGrid w:val="0"/>
                    <w:spacing w:line="360" w:lineRule="exact"/>
                    <w:jc w:val="center"/>
                    <w:rPr>
                      <w:color w:val="000000"/>
                      <w:sz w:val="20"/>
                      <w:szCs w:val="20"/>
                    </w:rPr>
                  </w:pPr>
                </w:p>
              </w:tc>
              <w:tc>
                <w:tcPr>
                  <w:tcW w:w="763" w:type="pct"/>
                  <w:vAlign w:val="center"/>
                </w:tcPr>
                <w:p>
                  <w:pPr>
                    <w:snapToGrid w:val="0"/>
                    <w:spacing w:line="360" w:lineRule="exact"/>
                    <w:jc w:val="center"/>
                    <w:rPr>
                      <w:color w:val="000000"/>
                      <w:sz w:val="20"/>
                      <w:szCs w:val="20"/>
                    </w:rPr>
                  </w:pPr>
                  <w:r>
                    <w:rPr>
                      <w:color w:val="000000"/>
                      <w:sz w:val="20"/>
                      <w:szCs w:val="20"/>
                    </w:rPr>
                    <w:t>日平均值</w:t>
                  </w:r>
                </w:p>
              </w:tc>
              <w:tc>
                <w:tcPr>
                  <w:tcW w:w="725" w:type="pct"/>
                  <w:vAlign w:val="center"/>
                </w:tcPr>
                <w:p>
                  <w:pPr>
                    <w:snapToGrid w:val="0"/>
                    <w:spacing w:line="360" w:lineRule="exact"/>
                    <w:jc w:val="center"/>
                    <w:rPr>
                      <w:color w:val="000000"/>
                      <w:sz w:val="20"/>
                      <w:szCs w:val="20"/>
                    </w:rPr>
                  </w:pPr>
                  <w:r>
                    <w:rPr>
                      <w:rFonts w:hint="eastAsia"/>
                      <w:color w:val="000000"/>
                      <w:sz w:val="20"/>
                      <w:szCs w:val="20"/>
                    </w:rPr>
                    <w:t>0.</w:t>
                  </w:r>
                  <w:r>
                    <w:rPr>
                      <w:color w:val="000000"/>
                      <w:sz w:val="20"/>
                      <w:szCs w:val="20"/>
                    </w:rPr>
                    <w:t>15</w:t>
                  </w:r>
                </w:p>
              </w:tc>
              <w:tc>
                <w:tcPr>
                  <w:tcW w:w="514" w:type="pct"/>
                  <w:vAlign w:val="center"/>
                </w:tcPr>
                <w:p>
                  <w:pPr>
                    <w:snapToGrid w:val="0"/>
                    <w:spacing w:line="360" w:lineRule="exact"/>
                    <w:jc w:val="center"/>
                    <w:rPr>
                      <w:color w:val="000000"/>
                      <w:sz w:val="20"/>
                      <w:szCs w:val="20"/>
                    </w:rPr>
                  </w:pPr>
                  <w:r>
                    <w:rPr>
                      <w:rFonts w:hint="eastAsia"/>
                      <w:color w:val="000000"/>
                      <w:sz w:val="20"/>
                      <w:szCs w:val="20"/>
                    </w:rPr>
                    <w:t>0.0</w:t>
                  </w:r>
                  <w:r>
                    <w:rPr>
                      <w:color w:val="000000"/>
                      <w:sz w:val="20"/>
                      <w:szCs w:val="20"/>
                    </w:rPr>
                    <w:t>8</w:t>
                  </w:r>
                </w:p>
              </w:tc>
              <w:tc>
                <w:tcPr>
                  <w:tcW w:w="474" w:type="pct"/>
                  <w:vAlign w:val="center"/>
                </w:tcPr>
                <w:p>
                  <w:pPr>
                    <w:snapToGrid w:val="0"/>
                    <w:spacing w:line="360" w:lineRule="exact"/>
                    <w:jc w:val="center"/>
                    <w:rPr>
                      <w:color w:val="000000"/>
                      <w:sz w:val="20"/>
                      <w:szCs w:val="20"/>
                    </w:rPr>
                  </w:pPr>
                  <w:r>
                    <w:rPr>
                      <w:rFonts w:hint="eastAsia"/>
                      <w:color w:val="000000"/>
                      <w:sz w:val="20"/>
                      <w:szCs w:val="20"/>
                    </w:rPr>
                    <w:t>4</w:t>
                  </w:r>
                </w:p>
              </w:tc>
              <w:tc>
                <w:tcPr>
                  <w:tcW w:w="555" w:type="pct"/>
                  <w:vAlign w:val="center"/>
                </w:tcPr>
                <w:p>
                  <w:pPr>
                    <w:snapToGrid w:val="0"/>
                    <w:spacing w:line="360" w:lineRule="exact"/>
                    <w:jc w:val="center"/>
                    <w:rPr>
                      <w:color w:val="000000"/>
                      <w:sz w:val="20"/>
                      <w:szCs w:val="20"/>
                    </w:rPr>
                  </w:pPr>
                  <w:r>
                    <w:rPr>
                      <w:rFonts w:hint="eastAsia"/>
                      <w:color w:val="000000"/>
                      <w:sz w:val="20"/>
                      <w:szCs w:val="20"/>
                    </w:rPr>
                    <w:t>0.16</w:t>
                  </w:r>
                </w:p>
              </w:tc>
              <w:tc>
                <w:tcPr>
                  <w:tcW w:w="665" w:type="pct"/>
                  <w:vAlign w:val="center"/>
                </w:tcPr>
                <w:p>
                  <w:pPr>
                    <w:snapToGrid w:val="0"/>
                    <w:spacing w:line="360" w:lineRule="exact"/>
                    <w:jc w:val="center"/>
                    <w:rPr>
                      <w:color w:val="000000"/>
                      <w:sz w:val="20"/>
                      <w:szCs w:val="20"/>
                    </w:rPr>
                  </w:pPr>
                  <w:r>
                    <w:rPr>
                      <w:rFonts w:hint="eastAsia"/>
                      <w:color w:val="000000"/>
                      <w:spacing w:val="-8"/>
                      <w:sz w:val="20"/>
                      <w:szCs w:val="20"/>
                    </w:rPr>
                    <w:t>0.15</w:t>
                  </w:r>
                </w:p>
              </w:tc>
              <w:tc>
                <w:tcPr>
                  <w:tcW w:w="707" w:type="pct"/>
                  <w:vAlign w:val="center"/>
                </w:tcPr>
                <w:p>
                  <w:pPr>
                    <w:snapToGrid w:val="0"/>
                    <w:spacing w:line="360" w:lineRule="exact"/>
                    <w:jc w:val="center"/>
                    <w:rPr>
                      <w:color w:val="000000"/>
                      <w:sz w:val="20"/>
                      <w:szCs w:val="20"/>
                    </w:rPr>
                  </w:pPr>
                  <w:r>
                    <w:rPr>
                      <w:rFonts w:hint="eastAsia"/>
                      <w:color w:val="000000"/>
                      <w:sz w:val="20"/>
                      <w:szCs w:val="20"/>
                    </w:rPr>
                    <w:t>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592" w:type="pct"/>
                  <w:vMerge w:val="continue"/>
                  <w:vAlign w:val="center"/>
                </w:tcPr>
                <w:p>
                  <w:pPr>
                    <w:snapToGrid w:val="0"/>
                    <w:spacing w:line="360" w:lineRule="exact"/>
                    <w:jc w:val="center"/>
                    <w:rPr>
                      <w:color w:val="000000"/>
                      <w:sz w:val="20"/>
                      <w:szCs w:val="20"/>
                    </w:rPr>
                  </w:pPr>
                </w:p>
              </w:tc>
              <w:tc>
                <w:tcPr>
                  <w:tcW w:w="763" w:type="pct"/>
                  <w:vAlign w:val="center"/>
                </w:tcPr>
                <w:p>
                  <w:pPr>
                    <w:snapToGrid w:val="0"/>
                    <w:spacing w:line="360" w:lineRule="exact"/>
                    <w:jc w:val="center"/>
                    <w:rPr>
                      <w:color w:val="000000"/>
                      <w:sz w:val="20"/>
                      <w:szCs w:val="20"/>
                    </w:rPr>
                  </w:pPr>
                  <w:r>
                    <w:rPr>
                      <w:color w:val="000000"/>
                      <w:sz w:val="20"/>
                      <w:szCs w:val="20"/>
                    </w:rPr>
                    <w:t>1小时</w:t>
                  </w:r>
                </w:p>
                <w:p>
                  <w:pPr>
                    <w:snapToGrid w:val="0"/>
                    <w:spacing w:line="360" w:lineRule="exact"/>
                    <w:jc w:val="center"/>
                    <w:rPr>
                      <w:color w:val="000000"/>
                      <w:sz w:val="20"/>
                      <w:szCs w:val="20"/>
                    </w:rPr>
                  </w:pPr>
                  <w:r>
                    <w:rPr>
                      <w:color w:val="000000"/>
                      <w:sz w:val="20"/>
                      <w:szCs w:val="20"/>
                    </w:rPr>
                    <w:t>平均值</w:t>
                  </w:r>
                </w:p>
              </w:tc>
              <w:tc>
                <w:tcPr>
                  <w:tcW w:w="725" w:type="pct"/>
                  <w:vAlign w:val="center"/>
                </w:tcPr>
                <w:p>
                  <w:pPr>
                    <w:snapToGrid w:val="0"/>
                    <w:spacing w:line="360" w:lineRule="exact"/>
                    <w:jc w:val="center"/>
                    <w:rPr>
                      <w:color w:val="000000"/>
                      <w:sz w:val="20"/>
                      <w:szCs w:val="20"/>
                    </w:rPr>
                  </w:pPr>
                  <w:r>
                    <w:rPr>
                      <w:rFonts w:hint="eastAsia"/>
                      <w:color w:val="000000"/>
                      <w:sz w:val="20"/>
                      <w:szCs w:val="20"/>
                    </w:rPr>
                    <w:t>0.</w:t>
                  </w:r>
                  <w:r>
                    <w:rPr>
                      <w:color w:val="000000"/>
                      <w:sz w:val="20"/>
                      <w:szCs w:val="20"/>
                    </w:rPr>
                    <w:t>50</w:t>
                  </w:r>
                </w:p>
              </w:tc>
              <w:tc>
                <w:tcPr>
                  <w:tcW w:w="514" w:type="pct"/>
                  <w:vAlign w:val="center"/>
                </w:tcPr>
                <w:p>
                  <w:pPr>
                    <w:snapToGrid w:val="0"/>
                    <w:spacing w:line="360" w:lineRule="exact"/>
                    <w:jc w:val="center"/>
                    <w:rPr>
                      <w:color w:val="000000"/>
                      <w:sz w:val="20"/>
                      <w:szCs w:val="20"/>
                    </w:rPr>
                  </w:pPr>
                  <w:r>
                    <w:rPr>
                      <w:rFonts w:hint="eastAsia"/>
                      <w:color w:val="000000"/>
                      <w:sz w:val="20"/>
                      <w:szCs w:val="20"/>
                    </w:rPr>
                    <w:t>0.</w:t>
                  </w:r>
                  <w:r>
                    <w:rPr>
                      <w:color w:val="000000"/>
                      <w:sz w:val="20"/>
                      <w:szCs w:val="20"/>
                    </w:rPr>
                    <w:t>20</w:t>
                  </w:r>
                </w:p>
              </w:tc>
              <w:tc>
                <w:tcPr>
                  <w:tcW w:w="474" w:type="pct"/>
                  <w:vAlign w:val="center"/>
                </w:tcPr>
                <w:p>
                  <w:pPr>
                    <w:snapToGrid w:val="0"/>
                    <w:spacing w:line="360" w:lineRule="exact"/>
                    <w:jc w:val="center"/>
                    <w:rPr>
                      <w:color w:val="000000"/>
                      <w:sz w:val="20"/>
                      <w:szCs w:val="20"/>
                    </w:rPr>
                  </w:pPr>
                  <w:r>
                    <w:rPr>
                      <w:rFonts w:hint="eastAsia"/>
                      <w:color w:val="000000"/>
                      <w:sz w:val="20"/>
                      <w:szCs w:val="20"/>
                    </w:rPr>
                    <w:t>10</w:t>
                  </w:r>
                </w:p>
              </w:tc>
              <w:tc>
                <w:tcPr>
                  <w:tcW w:w="555" w:type="pct"/>
                  <w:vAlign w:val="center"/>
                </w:tcPr>
                <w:p>
                  <w:pPr>
                    <w:snapToGrid w:val="0"/>
                    <w:spacing w:line="360" w:lineRule="exact"/>
                    <w:jc w:val="center"/>
                    <w:rPr>
                      <w:color w:val="000000"/>
                      <w:sz w:val="20"/>
                      <w:szCs w:val="20"/>
                    </w:rPr>
                  </w:pPr>
                  <w:r>
                    <w:rPr>
                      <w:rFonts w:hint="eastAsia"/>
                      <w:color w:val="000000"/>
                      <w:sz w:val="20"/>
                      <w:szCs w:val="20"/>
                    </w:rPr>
                    <w:t>0.2</w:t>
                  </w:r>
                </w:p>
              </w:tc>
              <w:tc>
                <w:tcPr>
                  <w:tcW w:w="665" w:type="pct"/>
                  <w:vAlign w:val="center"/>
                </w:tcPr>
                <w:p>
                  <w:pPr>
                    <w:snapToGrid w:val="0"/>
                    <w:spacing w:line="360" w:lineRule="exact"/>
                    <w:jc w:val="center"/>
                    <w:rPr>
                      <w:color w:val="000000"/>
                      <w:sz w:val="20"/>
                      <w:szCs w:val="20"/>
                    </w:rPr>
                  </w:pPr>
                  <w:r>
                    <w:rPr>
                      <w:color w:val="000000"/>
                      <w:sz w:val="20"/>
                      <w:szCs w:val="20"/>
                    </w:rPr>
                    <w:t>/</w:t>
                  </w:r>
                </w:p>
              </w:tc>
              <w:tc>
                <w:tcPr>
                  <w:tcW w:w="707" w:type="pct"/>
                  <w:vAlign w:val="center"/>
                </w:tcPr>
                <w:p>
                  <w:pPr>
                    <w:snapToGrid w:val="0"/>
                    <w:spacing w:line="360" w:lineRule="exact"/>
                    <w:jc w:val="center"/>
                    <w:rPr>
                      <w:color w:val="000000"/>
                      <w:sz w:val="20"/>
                      <w:szCs w:val="20"/>
                    </w:rPr>
                  </w:pPr>
                  <w:r>
                    <w:rPr>
                      <w:rFonts w:hint="eastAsia"/>
                      <w:color w:val="000000"/>
                      <w:sz w:val="20"/>
                      <w:szCs w:val="20"/>
                    </w:rPr>
                    <w:t>/</w:t>
                  </w:r>
                </w:p>
              </w:tc>
            </w:tr>
          </w:tbl>
          <w:p>
            <w:pPr>
              <w:snapToGrid w:val="0"/>
              <w:spacing w:line="360" w:lineRule="auto"/>
              <w:ind w:firstLine="482" w:firstLineChars="200"/>
              <w:rPr>
                <w:rFonts w:eastAsiaTheme="minorEastAsia"/>
                <w:b/>
                <w:color w:val="000000" w:themeColor="text1"/>
                <w:sz w:val="24"/>
                <w14:textFill>
                  <w14:solidFill>
                    <w14:schemeClr w14:val="tx1"/>
                  </w14:solidFill>
                </w14:textFill>
              </w:rPr>
            </w:pPr>
            <w:r>
              <w:rPr>
                <w:rFonts w:eastAsiaTheme="minorEastAsia"/>
                <w:b/>
                <w:color w:val="000000" w:themeColor="text1"/>
                <w:sz w:val="24"/>
                <w14:textFill>
                  <w14:solidFill>
                    <w14:schemeClr w14:val="tx1"/>
                  </w14:solidFill>
                </w14:textFill>
              </w:rPr>
              <w:t>2、地表水环境质量</w:t>
            </w:r>
          </w:p>
          <w:p>
            <w:pPr>
              <w:snapToGrid w:val="0"/>
              <w:spacing w:line="360" w:lineRule="auto"/>
              <w:ind w:firstLine="480" w:firstLineChars="200"/>
              <w:rPr>
                <w:rFonts w:eastAsiaTheme="minorEastAsia"/>
                <w:color w:val="000000"/>
                <w:sz w:val="24"/>
              </w:rPr>
            </w:pPr>
            <w:r>
              <w:rPr>
                <w:rFonts w:eastAsiaTheme="minorEastAsia"/>
                <w:color w:val="000000"/>
                <w:sz w:val="24"/>
              </w:rPr>
              <w:t>执行国家《地表水环境质量标准》（GB3838-2002）中</w:t>
            </w:r>
            <w:r>
              <w:rPr>
                <w:rFonts w:hint="eastAsia" w:ascii="宋体" w:hAnsi="宋体" w:cs="宋体"/>
                <w:color w:val="000000"/>
                <w:sz w:val="24"/>
              </w:rPr>
              <w:t>Ⅲ</w:t>
            </w:r>
            <w:r>
              <w:rPr>
                <w:rFonts w:eastAsiaTheme="minorEastAsia"/>
                <w:color w:val="000000"/>
                <w:sz w:val="24"/>
              </w:rPr>
              <w:t>类水域标准，标准值见表4-2。</w:t>
            </w:r>
          </w:p>
          <w:p>
            <w:pPr>
              <w:snapToGrid w:val="0"/>
              <w:spacing w:before="62" w:beforeLines="20"/>
              <w:jc w:val="center"/>
              <w:rPr>
                <w:rFonts w:eastAsiaTheme="minorEastAsia"/>
                <w:color w:val="000000"/>
                <w:szCs w:val="21"/>
              </w:rPr>
            </w:pPr>
            <w:r>
              <w:rPr>
                <w:rFonts w:eastAsiaTheme="minorEastAsia"/>
                <w:b/>
                <w:bCs/>
                <w:color w:val="000000"/>
                <w:kern w:val="0"/>
                <w:szCs w:val="21"/>
              </w:rPr>
              <w:t>表4-2  地表水环境质量标准限值  单位：mg/l</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1417"/>
              <w:gridCol w:w="1418"/>
              <w:gridCol w:w="1134"/>
              <w:gridCol w:w="1276"/>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917"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标准</w:t>
                  </w:r>
                </w:p>
              </w:tc>
              <w:tc>
                <w:tcPr>
                  <w:tcW w:w="1417" w:type="dxa"/>
                  <w:vAlign w:val="center"/>
                </w:tcPr>
                <w:p>
                  <w:pPr>
                    <w:snapToGrid w:val="0"/>
                    <w:ind w:right="-63" w:rightChars="-30"/>
                    <w:jc w:val="center"/>
                    <w:rPr>
                      <w:rFonts w:eastAsiaTheme="minorEastAsia"/>
                      <w:color w:val="000000"/>
                      <w:szCs w:val="21"/>
                    </w:rPr>
                  </w:pPr>
                  <w:r>
                    <w:rPr>
                      <w:rFonts w:eastAsiaTheme="minorEastAsia"/>
                      <w:color w:val="000000"/>
                      <w:szCs w:val="21"/>
                    </w:rPr>
                    <w:t>pH</w:t>
                  </w:r>
                </w:p>
              </w:tc>
              <w:tc>
                <w:tcPr>
                  <w:tcW w:w="1418"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COD</w:t>
                  </w:r>
                </w:p>
              </w:tc>
              <w:tc>
                <w:tcPr>
                  <w:tcW w:w="1134"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BOD</w:t>
                  </w:r>
                  <w:r>
                    <w:rPr>
                      <w:rFonts w:eastAsiaTheme="minorEastAsia"/>
                      <w:color w:val="000000"/>
                      <w:szCs w:val="21"/>
                      <w:vertAlign w:val="subscript"/>
                    </w:rPr>
                    <w:t>5</w:t>
                  </w:r>
                </w:p>
              </w:tc>
              <w:tc>
                <w:tcPr>
                  <w:tcW w:w="1276"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NH</w:t>
                  </w:r>
                  <w:r>
                    <w:rPr>
                      <w:rFonts w:eastAsiaTheme="minorEastAsia"/>
                      <w:color w:val="000000"/>
                      <w:szCs w:val="21"/>
                      <w:vertAlign w:val="subscript"/>
                    </w:rPr>
                    <w:t>3</w:t>
                  </w:r>
                  <w:r>
                    <w:rPr>
                      <w:rFonts w:eastAsiaTheme="minorEastAsia"/>
                      <w:color w:val="000000"/>
                      <w:szCs w:val="21"/>
                    </w:rPr>
                    <w:t>-N</w:t>
                  </w:r>
                </w:p>
              </w:tc>
              <w:tc>
                <w:tcPr>
                  <w:tcW w:w="1295" w:type="dxa"/>
                  <w:vAlign w:val="center"/>
                </w:tcPr>
                <w:p>
                  <w:pPr>
                    <w:snapToGrid w:val="0"/>
                    <w:ind w:left="-63" w:leftChars="-30" w:right="-63" w:rightChars="-30"/>
                    <w:jc w:val="center"/>
                    <w:rPr>
                      <w:rFonts w:eastAsiaTheme="minorEastAsia"/>
                      <w:color w:val="000000"/>
                      <w:szCs w:val="21"/>
                    </w:rPr>
                  </w:pPr>
                  <w:r>
                    <w:rPr>
                      <w:rFonts w:hint="eastAsia" w:eastAsiaTheme="minorEastAsia"/>
                      <w:color w:val="000000"/>
                      <w:szCs w:val="21"/>
                    </w:rPr>
                    <w:t>石油类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917" w:type="dxa"/>
                  <w:vAlign w:val="center"/>
                </w:tcPr>
                <w:p>
                  <w:pPr>
                    <w:snapToGrid w:val="0"/>
                    <w:ind w:left="-63" w:leftChars="-30" w:right="-63" w:rightChars="-30"/>
                    <w:jc w:val="center"/>
                    <w:rPr>
                      <w:rFonts w:eastAsiaTheme="minorEastAsia"/>
                      <w:color w:val="000000"/>
                      <w:szCs w:val="21"/>
                    </w:rPr>
                  </w:pPr>
                  <w:r>
                    <w:rPr>
                      <w:rFonts w:hint="eastAsia" w:ascii="宋体" w:hAnsi="宋体" w:cs="宋体"/>
                      <w:color w:val="000000"/>
                      <w:szCs w:val="21"/>
                    </w:rPr>
                    <w:t>Ⅲ</w:t>
                  </w:r>
                  <w:r>
                    <w:rPr>
                      <w:rFonts w:eastAsiaTheme="minorEastAsia"/>
                      <w:color w:val="000000"/>
                      <w:szCs w:val="21"/>
                    </w:rPr>
                    <w:t>类</w:t>
                  </w:r>
                </w:p>
              </w:tc>
              <w:tc>
                <w:tcPr>
                  <w:tcW w:w="1417" w:type="dxa"/>
                  <w:vAlign w:val="center"/>
                </w:tcPr>
                <w:p>
                  <w:pPr>
                    <w:snapToGrid w:val="0"/>
                    <w:ind w:right="-63" w:rightChars="-30"/>
                    <w:jc w:val="center"/>
                    <w:rPr>
                      <w:rFonts w:eastAsiaTheme="minorEastAsia"/>
                      <w:color w:val="000000"/>
                      <w:szCs w:val="21"/>
                    </w:rPr>
                  </w:pPr>
                  <w:r>
                    <w:rPr>
                      <w:rFonts w:eastAsiaTheme="minorEastAsia"/>
                      <w:color w:val="000000"/>
                      <w:szCs w:val="21"/>
                    </w:rPr>
                    <w:t>6～9</w:t>
                  </w:r>
                </w:p>
              </w:tc>
              <w:tc>
                <w:tcPr>
                  <w:tcW w:w="1418"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≤20</w:t>
                  </w:r>
                </w:p>
              </w:tc>
              <w:tc>
                <w:tcPr>
                  <w:tcW w:w="1134"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≤4</w:t>
                  </w:r>
                </w:p>
              </w:tc>
              <w:tc>
                <w:tcPr>
                  <w:tcW w:w="1276"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≤1.0</w:t>
                  </w:r>
                </w:p>
              </w:tc>
              <w:tc>
                <w:tcPr>
                  <w:tcW w:w="1295" w:type="dxa"/>
                  <w:vAlign w:val="center"/>
                </w:tcPr>
                <w:p>
                  <w:pPr>
                    <w:snapToGrid w:val="0"/>
                    <w:ind w:left="-63" w:leftChars="-30" w:right="-63" w:rightChars="-30"/>
                    <w:jc w:val="center"/>
                    <w:rPr>
                      <w:rFonts w:eastAsiaTheme="minorEastAsia"/>
                      <w:color w:val="000000"/>
                      <w:szCs w:val="21"/>
                    </w:rPr>
                  </w:pPr>
                  <w:r>
                    <w:rPr>
                      <w:rFonts w:eastAsiaTheme="minorEastAsia"/>
                      <w:color w:val="000000"/>
                      <w:szCs w:val="21"/>
                    </w:rPr>
                    <w:t>≤0.5</w:t>
                  </w:r>
                </w:p>
              </w:tc>
            </w:tr>
          </w:tbl>
          <w:p>
            <w:pPr>
              <w:snapToGrid w:val="0"/>
              <w:spacing w:line="360" w:lineRule="auto"/>
              <w:ind w:firstLine="482" w:firstLineChars="200"/>
              <w:rPr>
                <w:rFonts w:eastAsiaTheme="minorEastAsia"/>
                <w:b/>
                <w:color w:val="000000"/>
                <w:sz w:val="24"/>
              </w:rPr>
            </w:pPr>
            <w:r>
              <w:rPr>
                <w:rFonts w:eastAsiaTheme="minorEastAsia"/>
                <w:b/>
                <w:color w:val="000000"/>
                <w:sz w:val="24"/>
              </w:rPr>
              <w:t>3、</w:t>
            </w:r>
            <w:r>
              <w:rPr>
                <w:rFonts w:hint="eastAsia" w:eastAsiaTheme="minorEastAsia"/>
                <w:b/>
                <w:color w:val="000000"/>
                <w:sz w:val="24"/>
              </w:rPr>
              <w:t>地下水环境质量</w:t>
            </w:r>
            <w:r>
              <w:rPr>
                <w:rFonts w:eastAsiaTheme="minorEastAsia"/>
                <w:b/>
                <w:color w:val="000000"/>
                <w:sz w:val="24"/>
              </w:rPr>
              <w:t>标准</w:t>
            </w:r>
          </w:p>
          <w:p>
            <w:pPr>
              <w:snapToGrid w:val="0"/>
              <w:spacing w:line="360" w:lineRule="auto"/>
              <w:ind w:firstLine="480" w:firstLineChars="200"/>
              <w:rPr>
                <w:rFonts w:eastAsiaTheme="minorEastAsia"/>
                <w:color w:val="000000"/>
                <w:sz w:val="24"/>
              </w:rPr>
            </w:pPr>
            <w:r>
              <w:rPr>
                <w:rFonts w:hint="eastAsia" w:eastAsiaTheme="minorEastAsia"/>
                <w:color w:val="000000"/>
                <w:sz w:val="24"/>
              </w:rPr>
              <w:t>执行《地下水质量标准》（GB/T14848-2017）表1中Ⅲ类标准</w:t>
            </w:r>
            <w:r>
              <w:rPr>
                <w:rFonts w:eastAsiaTheme="minorEastAsia"/>
                <w:color w:val="000000"/>
                <w:sz w:val="24"/>
              </w:rPr>
              <w:t>，标准值见表4-3。</w:t>
            </w:r>
          </w:p>
          <w:p>
            <w:pPr>
              <w:snapToGrid w:val="0"/>
              <w:spacing w:before="62" w:beforeLines="20"/>
              <w:jc w:val="center"/>
              <w:rPr>
                <w:rFonts w:eastAsiaTheme="minorEastAsia"/>
                <w:b/>
                <w:bCs/>
                <w:color w:val="000000"/>
                <w:kern w:val="0"/>
                <w:szCs w:val="21"/>
              </w:rPr>
            </w:pPr>
            <w:r>
              <w:rPr>
                <w:rFonts w:eastAsiaTheme="minorEastAsia"/>
                <w:b/>
                <w:bCs/>
                <w:color w:val="000000"/>
                <w:kern w:val="0"/>
                <w:szCs w:val="21"/>
              </w:rPr>
              <w:t xml:space="preserve">表4-3  </w:t>
            </w:r>
            <w:r>
              <w:rPr>
                <w:rFonts w:hint="eastAsia" w:eastAsiaTheme="minorEastAsia"/>
                <w:b/>
                <w:bCs/>
                <w:color w:val="000000"/>
                <w:kern w:val="0"/>
                <w:szCs w:val="21"/>
              </w:rPr>
              <w:t>地下水质量分类指标</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1418"/>
              <w:gridCol w:w="1510"/>
              <w:gridCol w:w="920"/>
              <w:gridCol w:w="887"/>
              <w:gridCol w:w="1035"/>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pct"/>
                  <w:shd w:val="clear" w:color="auto" w:fill="auto"/>
                  <w:vAlign w:val="center"/>
                </w:tcPr>
                <w:p>
                  <w:pPr>
                    <w:pStyle w:val="69"/>
                    <w:spacing w:line="240" w:lineRule="auto"/>
                    <w:ind w:left="0" w:firstLine="0" w:firstLineChars="0"/>
                    <w:rPr>
                      <w:rFonts w:ascii="Times New Roman"/>
                      <w:sz w:val="21"/>
                      <w:szCs w:val="21"/>
                    </w:rPr>
                  </w:pPr>
                  <w:r>
                    <w:rPr>
                      <w:rFonts w:ascii="Times New Roman"/>
                      <w:sz w:val="21"/>
                      <w:szCs w:val="21"/>
                    </w:rPr>
                    <w:t>项目</w:t>
                  </w:r>
                </w:p>
              </w:tc>
              <w:tc>
                <w:tcPr>
                  <w:tcW w:w="826" w:type="pct"/>
                  <w:shd w:val="clear" w:color="auto" w:fill="auto"/>
                  <w:vAlign w:val="center"/>
                </w:tcPr>
                <w:p>
                  <w:pPr>
                    <w:pStyle w:val="69"/>
                    <w:spacing w:line="240" w:lineRule="auto"/>
                    <w:ind w:left="0" w:firstLine="0" w:firstLineChars="0"/>
                    <w:rPr>
                      <w:rFonts w:ascii="Times New Roman"/>
                      <w:sz w:val="21"/>
                      <w:szCs w:val="21"/>
                    </w:rPr>
                  </w:pPr>
                  <w:r>
                    <w:rPr>
                      <w:rFonts w:ascii="Times New Roman"/>
                      <w:sz w:val="21"/>
                      <w:szCs w:val="21"/>
                    </w:rPr>
                    <w:t>pH（无量纲）</w:t>
                  </w:r>
                </w:p>
              </w:tc>
              <w:tc>
                <w:tcPr>
                  <w:tcW w:w="880" w:type="pct"/>
                  <w:shd w:val="clear" w:color="auto" w:fill="auto"/>
                  <w:vAlign w:val="center"/>
                </w:tcPr>
                <w:p>
                  <w:pPr>
                    <w:pStyle w:val="69"/>
                    <w:spacing w:line="240" w:lineRule="auto"/>
                    <w:ind w:left="0" w:firstLine="0" w:firstLineChars="0"/>
                    <w:rPr>
                      <w:rFonts w:ascii="Times New Roman"/>
                      <w:sz w:val="21"/>
                      <w:szCs w:val="21"/>
                    </w:rPr>
                  </w:pPr>
                  <w:r>
                    <w:rPr>
                      <w:rFonts w:ascii="Times New Roman"/>
                      <w:sz w:val="21"/>
                      <w:szCs w:val="21"/>
                    </w:rPr>
                    <w:t>溶解性总固体</w:t>
                  </w:r>
                </w:p>
              </w:tc>
              <w:tc>
                <w:tcPr>
                  <w:tcW w:w="536" w:type="pct"/>
                  <w:shd w:val="clear" w:color="auto" w:fill="auto"/>
                  <w:vAlign w:val="center"/>
                </w:tcPr>
                <w:p>
                  <w:pPr>
                    <w:pStyle w:val="69"/>
                    <w:spacing w:line="240" w:lineRule="auto"/>
                    <w:ind w:left="0" w:firstLine="0" w:firstLineChars="0"/>
                    <w:rPr>
                      <w:rFonts w:hint="eastAsia" w:ascii="Times New Roman" w:eastAsia="宋体"/>
                      <w:sz w:val="21"/>
                      <w:szCs w:val="21"/>
                      <w:lang w:eastAsia="zh-CN"/>
                    </w:rPr>
                  </w:pPr>
                  <w:r>
                    <w:rPr>
                      <w:rFonts w:hint="eastAsia" w:ascii="Times New Roman"/>
                      <w:sz w:val="21"/>
                      <w:szCs w:val="21"/>
                      <w:lang w:eastAsia="zh-CN"/>
                    </w:rPr>
                    <w:t>浑浊度</w:t>
                  </w:r>
                </w:p>
              </w:tc>
              <w:tc>
                <w:tcPr>
                  <w:tcW w:w="517" w:type="pct"/>
                  <w:shd w:val="clear" w:color="auto" w:fill="auto"/>
                  <w:vAlign w:val="center"/>
                </w:tcPr>
                <w:p>
                  <w:pPr>
                    <w:pStyle w:val="69"/>
                    <w:spacing w:line="240" w:lineRule="auto"/>
                    <w:ind w:left="0" w:firstLine="0" w:firstLineChars="0"/>
                    <w:rPr>
                      <w:rFonts w:hint="eastAsia" w:ascii="Times New Roman" w:eastAsia="宋体"/>
                      <w:sz w:val="21"/>
                      <w:szCs w:val="21"/>
                      <w:lang w:eastAsia="zh-CN"/>
                    </w:rPr>
                  </w:pPr>
                  <w:r>
                    <w:rPr>
                      <w:rFonts w:hint="eastAsia" w:ascii="Times New Roman"/>
                      <w:sz w:val="21"/>
                      <w:szCs w:val="21"/>
                      <w:lang w:eastAsia="zh-CN"/>
                    </w:rPr>
                    <w:t>总硬度</w:t>
                  </w:r>
                </w:p>
              </w:tc>
              <w:tc>
                <w:tcPr>
                  <w:tcW w:w="603" w:type="pct"/>
                  <w:shd w:val="clear" w:color="auto" w:fill="auto"/>
                  <w:vAlign w:val="center"/>
                </w:tcPr>
                <w:p>
                  <w:pPr>
                    <w:pStyle w:val="69"/>
                    <w:spacing w:line="240" w:lineRule="auto"/>
                    <w:ind w:left="0" w:firstLine="0" w:firstLineChars="0"/>
                    <w:rPr>
                      <w:rFonts w:hint="eastAsia" w:ascii="Times New Roman" w:eastAsia="宋体"/>
                      <w:sz w:val="21"/>
                      <w:szCs w:val="21"/>
                      <w:lang w:eastAsia="zh-CN"/>
                    </w:rPr>
                  </w:pPr>
                  <w:r>
                    <w:rPr>
                      <w:rFonts w:hint="eastAsia" w:ascii="Times New Roman"/>
                      <w:sz w:val="21"/>
                      <w:szCs w:val="21"/>
                      <w:lang w:eastAsia="zh-CN"/>
                    </w:rPr>
                    <w:t>氟化物</w:t>
                  </w:r>
                </w:p>
              </w:tc>
              <w:tc>
                <w:tcPr>
                  <w:tcW w:w="1031" w:type="pct"/>
                  <w:shd w:val="clear" w:color="auto" w:fill="auto"/>
                  <w:vAlign w:val="center"/>
                </w:tcPr>
                <w:p>
                  <w:pPr>
                    <w:pStyle w:val="69"/>
                    <w:spacing w:line="240" w:lineRule="auto"/>
                    <w:ind w:left="0" w:firstLine="0" w:firstLineChars="0"/>
                    <w:rPr>
                      <w:rFonts w:hint="eastAsia" w:ascii="Times New Roman" w:eastAsia="宋体"/>
                      <w:sz w:val="21"/>
                      <w:szCs w:val="21"/>
                      <w:lang w:eastAsia="zh-CN"/>
                    </w:rPr>
                  </w:pPr>
                  <w:r>
                    <w:rPr>
                      <w:rFonts w:hint="eastAsia" w:ascii="Times New Roman"/>
                      <w:sz w:val="21"/>
                      <w:szCs w:val="21"/>
                      <w:lang w:eastAsia="zh-CN"/>
                    </w:rPr>
                    <w:t>石油类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pct"/>
                  <w:shd w:val="clear" w:color="auto" w:fill="auto"/>
                  <w:vAlign w:val="center"/>
                </w:tcPr>
                <w:p>
                  <w:pPr>
                    <w:pStyle w:val="69"/>
                    <w:spacing w:line="240" w:lineRule="auto"/>
                    <w:ind w:left="0" w:firstLine="0" w:firstLineChars="0"/>
                    <w:rPr>
                      <w:rFonts w:ascii="Times New Roman"/>
                      <w:sz w:val="21"/>
                      <w:szCs w:val="21"/>
                    </w:rPr>
                  </w:pPr>
                  <w:r>
                    <w:rPr>
                      <w:rFonts w:ascii="Times New Roman"/>
                      <w:sz w:val="21"/>
                      <w:szCs w:val="21"/>
                    </w:rPr>
                    <w:t>标准值</w:t>
                  </w:r>
                </w:p>
              </w:tc>
              <w:tc>
                <w:tcPr>
                  <w:tcW w:w="826" w:type="pct"/>
                  <w:shd w:val="clear" w:color="auto" w:fill="auto"/>
                  <w:vAlign w:val="center"/>
                </w:tcPr>
                <w:p>
                  <w:pPr>
                    <w:pStyle w:val="69"/>
                    <w:spacing w:line="240" w:lineRule="auto"/>
                    <w:ind w:left="0" w:firstLine="0" w:firstLineChars="0"/>
                    <w:rPr>
                      <w:rFonts w:ascii="Times New Roman"/>
                      <w:sz w:val="21"/>
                      <w:szCs w:val="21"/>
                    </w:rPr>
                  </w:pPr>
                  <w:r>
                    <w:rPr>
                      <w:rFonts w:ascii="Times New Roman"/>
                      <w:sz w:val="21"/>
                      <w:szCs w:val="21"/>
                    </w:rPr>
                    <w:t>6.5~8.5</w:t>
                  </w:r>
                </w:p>
              </w:tc>
              <w:tc>
                <w:tcPr>
                  <w:tcW w:w="880" w:type="pct"/>
                  <w:shd w:val="clear" w:color="auto" w:fill="auto"/>
                  <w:vAlign w:val="center"/>
                </w:tcPr>
                <w:p>
                  <w:pPr>
                    <w:pStyle w:val="69"/>
                    <w:spacing w:line="240" w:lineRule="auto"/>
                    <w:ind w:left="0" w:firstLine="0" w:firstLineChars="0"/>
                    <w:rPr>
                      <w:rFonts w:ascii="Times New Roman"/>
                      <w:sz w:val="21"/>
                      <w:szCs w:val="21"/>
                    </w:rPr>
                  </w:pPr>
                  <w:r>
                    <w:rPr>
                      <w:rFonts w:ascii="Times New Roman"/>
                      <w:sz w:val="21"/>
                      <w:szCs w:val="21"/>
                    </w:rPr>
                    <w:t>≤1000</w:t>
                  </w:r>
                </w:p>
              </w:tc>
              <w:tc>
                <w:tcPr>
                  <w:tcW w:w="536" w:type="pct"/>
                  <w:shd w:val="clear" w:color="auto" w:fill="auto"/>
                  <w:vAlign w:val="center"/>
                </w:tcPr>
                <w:p>
                  <w:pPr>
                    <w:pStyle w:val="69"/>
                    <w:spacing w:line="240" w:lineRule="auto"/>
                    <w:ind w:left="0" w:firstLine="0" w:firstLineChars="0"/>
                    <w:rPr>
                      <w:rFonts w:hint="eastAsia" w:ascii="Times New Roman" w:eastAsia="宋体"/>
                      <w:sz w:val="21"/>
                      <w:szCs w:val="21"/>
                      <w:lang w:eastAsia="zh-CN"/>
                    </w:rPr>
                  </w:pPr>
                  <w:r>
                    <w:rPr>
                      <w:rFonts w:ascii="Times New Roman"/>
                      <w:sz w:val="21"/>
                      <w:szCs w:val="21"/>
                    </w:rPr>
                    <w:t>≤</w:t>
                  </w:r>
                  <w:r>
                    <w:rPr>
                      <w:rFonts w:hint="eastAsia" w:ascii="Times New Roman"/>
                      <w:sz w:val="21"/>
                      <w:szCs w:val="21"/>
                      <w:lang w:val="en-US" w:eastAsia="zh-CN"/>
                    </w:rPr>
                    <w:t>3</w:t>
                  </w:r>
                </w:p>
              </w:tc>
              <w:tc>
                <w:tcPr>
                  <w:tcW w:w="517" w:type="pct"/>
                  <w:shd w:val="clear" w:color="auto" w:fill="auto"/>
                  <w:vAlign w:val="center"/>
                </w:tcPr>
                <w:p>
                  <w:pPr>
                    <w:pStyle w:val="69"/>
                    <w:spacing w:line="240" w:lineRule="auto"/>
                    <w:ind w:left="0" w:firstLine="0" w:firstLineChars="0"/>
                    <w:rPr>
                      <w:rFonts w:hint="default" w:ascii="Times New Roman" w:eastAsia="宋体"/>
                      <w:sz w:val="21"/>
                      <w:szCs w:val="21"/>
                      <w:lang w:val="en-US" w:eastAsia="zh-CN"/>
                    </w:rPr>
                  </w:pPr>
                  <w:r>
                    <w:rPr>
                      <w:rFonts w:ascii="Times New Roman"/>
                      <w:sz w:val="21"/>
                      <w:szCs w:val="21"/>
                    </w:rPr>
                    <w:t>≤</w:t>
                  </w:r>
                  <w:r>
                    <w:rPr>
                      <w:rFonts w:hint="eastAsia" w:ascii="Times New Roman"/>
                      <w:sz w:val="21"/>
                      <w:szCs w:val="21"/>
                      <w:lang w:val="en-US" w:eastAsia="zh-CN"/>
                    </w:rPr>
                    <w:t>450</w:t>
                  </w:r>
                </w:p>
              </w:tc>
              <w:tc>
                <w:tcPr>
                  <w:tcW w:w="603" w:type="pct"/>
                  <w:shd w:val="clear" w:color="auto" w:fill="auto"/>
                  <w:vAlign w:val="center"/>
                </w:tcPr>
                <w:p>
                  <w:pPr>
                    <w:pStyle w:val="69"/>
                    <w:spacing w:line="240" w:lineRule="auto"/>
                    <w:ind w:left="0" w:firstLine="0" w:firstLineChars="0"/>
                    <w:rPr>
                      <w:rFonts w:hint="default" w:ascii="Times New Roman" w:eastAsia="宋体"/>
                      <w:sz w:val="21"/>
                      <w:szCs w:val="21"/>
                      <w:lang w:val="en-US" w:eastAsia="zh-CN"/>
                    </w:rPr>
                  </w:pPr>
                  <w:r>
                    <w:rPr>
                      <w:rFonts w:ascii="Times New Roman"/>
                      <w:sz w:val="21"/>
                      <w:szCs w:val="21"/>
                    </w:rPr>
                    <w:t>≤</w:t>
                  </w:r>
                  <w:r>
                    <w:rPr>
                      <w:rFonts w:hint="eastAsia" w:ascii="Times New Roman"/>
                      <w:sz w:val="21"/>
                      <w:szCs w:val="21"/>
                      <w:lang w:val="en-US" w:eastAsia="zh-CN"/>
                    </w:rPr>
                    <w:t>1.0</w:t>
                  </w:r>
                </w:p>
              </w:tc>
              <w:tc>
                <w:tcPr>
                  <w:tcW w:w="1031" w:type="pct"/>
                  <w:shd w:val="clear" w:color="auto" w:fill="auto"/>
                  <w:vAlign w:val="center"/>
                </w:tcPr>
                <w:p>
                  <w:pPr>
                    <w:pStyle w:val="69"/>
                    <w:spacing w:line="240" w:lineRule="auto"/>
                    <w:ind w:left="0" w:firstLine="0" w:firstLineChars="0"/>
                    <w:rPr>
                      <w:rFonts w:hint="eastAsia" w:ascii="Times New Roman" w:eastAsia="宋体"/>
                      <w:sz w:val="21"/>
                      <w:szCs w:val="21"/>
                      <w:lang w:eastAsia="zh-CN"/>
                    </w:rPr>
                  </w:pPr>
                  <w:r>
                    <w:rPr>
                      <w:rFonts w:hint="eastAsia" w:ascii="Times New Roman"/>
                      <w:sz w:val="21"/>
                      <w:szCs w:val="21"/>
                      <w:lang w:val="en-US" w:eastAsia="zh-CN"/>
                    </w:rPr>
                    <w:t>/</w:t>
                  </w:r>
                </w:p>
              </w:tc>
            </w:tr>
          </w:tbl>
          <w:p>
            <w:pPr>
              <w:snapToGrid w:val="0"/>
              <w:spacing w:line="360" w:lineRule="auto"/>
              <w:ind w:firstLine="482" w:firstLineChars="200"/>
              <w:rPr>
                <w:rFonts w:eastAsiaTheme="minorEastAsia"/>
                <w:b/>
                <w:color w:val="000000"/>
                <w:sz w:val="24"/>
              </w:rPr>
            </w:pPr>
            <w:r>
              <w:rPr>
                <w:rFonts w:eastAsiaTheme="minorEastAsia"/>
                <w:b/>
                <w:color w:val="000000"/>
                <w:sz w:val="24"/>
              </w:rPr>
              <w:t>4、声环境质量</w:t>
            </w:r>
          </w:p>
          <w:p>
            <w:pPr>
              <w:snapToGrid w:val="0"/>
              <w:spacing w:line="360" w:lineRule="auto"/>
              <w:ind w:firstLine="480" w:firstLineChars="200"/>
              <w:rPr>
                <w:rFonts w:eastAsiaTheme="minorEastAsia"/>
                <w:color w:val="000000"/>
                <w:sz w:val="24"/>
              </w:rPr>
            </w:pPr>
            <w:r>
              <w:rPr>
                <w:rFonts w:eastAsiaTheme="minorEastAsia"/>
                <w:color w:val="000000"/>
                <w:sz w:val="24"/>
              </w:rPr>
              <w:t>执行国家《声环境质量标准》（GB3096-2008）2类功能区</w:t>
            </w:r>
            <w:r>
              <w:rPr>
                <w:rFonts w:hint="eastAsia" w:eastAsiaTheme="minorEastAsia"/>
                <w:color w:val="000000"/>
                <w:sz w:val="24"/>
                <w:lang w:eastAsia="zh-CN"/>
              </w:rPr>
              <w:t>和</w:t>
            </w:r>
            <w:r>
              <w:rPr>
                <w:rFonts w:hint="eastAsia" w:eastAsiaTheme="minorEastAsia"/>
                <w:color w:val="000000"/>
                <w:sz w:val="24"/>
                <w:lang w:val="en-US" w:eastAsia="zh-CN"/>
              </w:rPr>
              <w:t>4a类</w:t>
            </w:r>
            <w:r>
              <w:rPr>
                <w:rFonts w:eastAsiaTheme="minorEastAsia"/>
                <w:color w:val="000000"/>
                <w:sz w:val="24"/>
              </w:rPr>
              <w:t>标准限值，标准值见表4-4。</w:t>
            </w:r>
          </w:p>
          <w:p>
            <w:pPr>
              <w:snapToGrid w:val="0"/>
              <w:spacing w:before="62" w:beforeLines="20"/>
              <w:jc w:val="center"/>
              <w:rPr>
                <w:rFonts w:eastAsiaTheme="minorEastAsia"/>
                <w:b/>
                <w:color w:val="000000"/>
                <w:szCs w:val="21"/>
              </w:rPr>
            </w:pPr>
            <w:r>
              <w:rPr>
                <w:rFonts w:eastAsiaTheme="minorEastAsia"/>
                <w:b/>
                <w:bCs/>
                <w:color w:val="000000"/>
                <w:kern w:val="0"/>
                <w:szCs w:val="21"/>
              </w:rPr>
              <w:t>表4-4  声环境质量标准  等效声级 LAeq：dB</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9"/>
              <w:gridCol w:w="2538"/>
              <w:gridCol w:w="2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69" w:type="dxa"/>
                  <w:vMerge w:val="restart"/>
                  <w:vAlign w:val="center"/>
                </w:tcPr>
                <w:p>
                  <w:pPr>
                    <w:pStyle w:val="161"/>
                    <w:bidi w:val="0"/>
                  </w:pPr>
                  <w:r>
                    <w:t>标准类别</w:t>
                  </w:r>
                </w:p>
              </w:tc>
              <w:tc>
                <w:tcPr>
                  <w:tcW w:w="5359" w:type="dxa"/>
                  <w:gridSpan w:val="2"/>
                  <w:vAlign w:val="center"/>
                </w:tcPr>
                <w:p>
                  <w:pPr>
                    <w:pStyle w:val="161"/>
                    <w:bidi w:val="0"/>
                  </w:pPr>
                  <w:r>
                    <w:t>时  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69" w:type="dxa"/>
                  <w:vMerge w:val="continue"/>
                  <w:vAlign w:val="center"/>
                </w:tcPr>
                <w:p>
                  <w:pPr>
                    <w:pStyle w:val="161"/>
                    <w:bidi w:val="0"/>
                  </w:pPr>
                </w:p>
              </w:tc>
              <w:tc>
                <w:tcPr>
                  <w:tcW w:w="2538" w:type="dxa"/>
                  <w:vAlign w:val="center"/>
                </w:tcPr>
                <w:p>
                  <w:pPr>
                    <w:pStyle w:val="161"/>
                    <w:bidi w:val="0"/>
                  </w:pPr>
                  <w:r>
                    <w:t>昼  间</w:t>
                  </w:r>
                </w:p>
              </w:tc>
              <w:tc>
                <w:tcPr>
                  <w:tcW w:w="2821" w:type="dxa"/>
                  <w:vAlign w:val="center"/>
                </w:tcPr>
                <w:p>
                  <w:pPr>
                    <w:pStyle w:val="161"/>
                    <w:bidi w:val="0"/>
                  </w:pPr>
                  <w:r>
                    <w:t>夜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69" w:type="dxa"/>
                  <w:vAlign w:val="center"/>
                </w:tcPr>
                <w:p>
                  <w:pPr>
                    <w:pStyle w:val="161"/>
                    <w:bidi w:val="0"/>
                  </w:pPr>
                  <w:r>
                    <w:t>2</w:t>
                  </w:r>
                </w:p>
              </w:tc>
              <w:tc>
                <w:tcPr>
                  <w:tcW w:w="2538" w:type="dxa"/>
                  <w:vAlign w:val="center"/>
                </w:tcPr>
                <w:p>
                  <w:pPr>
                    <w:pStyle w:val="161"/>
                    <w:bidi w:val="0"/>
                  </w:pPr>
                  <w:r>
                    <w:t>≤60</w:t>
                  </w:r>
                </w:p>
              </w:tc>
              <w:tc>
                <w:tcPr>
                  <w:tcW w:w="2821" w:type="dxa"/>
                  <w:vAlign w:val="center"/>
                </w:tcPr>
                <w:p>
                  <w:pPr>
                    <w:pStyle w:val="161"/>
                    <w:bidi w:val="0"/>
                  </w:pPr>
                  <w: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69" w:type="dxa"/>
                  <w:vAlign w:val="center"/>
                </w:tcPr>
                <w:p>
                  <w:pPr>
                    <w:pStyle w:val="161"/>
                    <w:bidi w:val="0"/>
                    <w:rPr>
                      <w:rFonts w:hint="default"/>
                      <w:lang w:val="en-US" w:eastAsia="zh-CN"/>
                    </w:rPr>
                  </w:pPr>
                  <w:r>
                    <w:rPr>
                      <w:rFonts w:hint="eastAsia"/>
                      <w:lang w:val="en-US" w:eastAsia="zh-CN"/>
                    </w:rPr>
                    <w:t>4a（临近S306）</w:t>
                  </w:r>
                </w:p>
              </w:tc>
              <w:tc>
                <w:tcPr>
                  <w:tcW w:w="2538" w:type="dxa"/>
                  <w:vAlign w:val="center"/>
                </w:tcPr>
                <w:p>
                  <w:pPr>
                    <w:pStyle w:val="161"/>
                    <w:bidi w:val="0"/>
                    <w:rPr>
                      <w:rFonts w:hint="default"/>
                      <w:lang w:val="en-US" w:eastAsia="zh-CN"/>
                    </w:rPr>
                  </w:pPr>
                  <w:r>
                    <w:rPr>
                      <w:rFonts w:hint="eastAsia"/>
                      <w:lang w:val="en-US" w:eastAsia="zh-CN"/>
                    </w:rPr>
                    <w:t>≤70</w:t>
                  </w:r>
                </w:p>
              </w:tc>
              <w:tc>
                <w:tcPr>
                  <w:tcW w:w="2821" w:type="dxa"/>
                  <w:vAlign w:val="center"/>
                </w:tcPr>
                <w:p>
                  <w:pPr>
                    <w:pStyle w:val="161"/>
                    <w:bidi w:val="0"/>
                    <w:rPr>
                      <w:rFonts w:hint="default"/>
                      <w:lang w:val="en-US" w:eastAsia="zh-CN"/>
                    </w:rPr>
                  </w:pPr>
                  <w:r>
                    <w:rPr>
                      <w:rFonts w:hint="eastAsia"/>
                      <w:lang w:val="en-US" w:eastAsia="zh-CN"/>
                    </w:rPr>
                    <w:t>≤55</w:t>
                  </w:r>
                </w:p>
              </w:tc>
            </w:tr>
          </w:tbl>
          <w:p>
            <w:pPr>
              <w:snapToGrid w:val="0"/>
              <w:spacing w:line="360" w:lineRule="auto"/>
              <w:rPr>
                <w:rFonts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55" w:type="dxa"/>
            <w:tcMar>
              <w:top w:w="0" w:type="dxa"/>
              <w:left w:w="57" w:type="dxa"/>
              <w:bottom w:w="0" w:type="dxa"/>
              <w:right w:w="57" w:type="dxa"/>
            </w:tcMar>
            <w:vAlign w:val="center"/>
          </w:tcPr>
          <w:p>
            <w:pPr>
              <w:snapToGrid w:val="0"/>
              <w:spacing w:line="408" w:lineRule="auto"/>
              <w:jc w:val="center"/>
              <w:rPr>
                <w:rFonts w:eastAsiaTheme="minorEastAsia"/>
                <w:b/>
                <w:color w:val="000000"/>
                <w:sz w:val="24"/>
              </w:rPr>
            </w:pPr>
          </w:p>
          <w:p>
            <w:pPr>
              <w:snapToGrid w:val="0"/>
              <w:spacing w:line="408" w:lineRule="auto"/>
              <w:jc w:val="center"/>
              <w:rPr>
                <w:rFonts w:eastAsiaTheme="minorEastAsia"/>
                <w:b/>
                <w:color w:val="000000"/>
                <w:sz w:val="24"/>
              </w:rPr>
            </w:pPr>
          </w:p>
          <w:p>
            <w:pPr>
              <w:snapToGrid w:val="0"/>
              <w:spacing w:line="408" w:lineRule="auto"/>
              <w:jc w:val="center"/>
              <w:rPr>
                <w:rFonts w:eastAsiaTheme="minorEastAsia"/>
                <w:b/>
                <w:color w:val="000000"/>
                <w:sz w:val="24"/>
              </w:rPr>
            </w:pPr>
          </w:p>
          <w:p>
            <w:pPr>
              <w:snapToGrid w:val="0"/>
              <w:spacing w:line="408" w:lineRule="auto"/>
              <w:jc w:val="center"/>
              <w:rPr>
                <w:rFonts w:eastAsiaTheme="minorEastAsia"/>
                <w:b/>
                <w:color w:val="000000"/>
                <w:sz w:val="24"/>
              </w:rPr>
            </w:pPr>
          </w:p>
          <w:p>
            <w:pPr>
              <w:snapToGrid w:val="0"/>
              <w:spacing w:line="408" w:lineRule="auto"/>
              <w:jc w:val="center"/>
              <w:rPr>
                <w:rFonts w:eastAsiaTheme="minorEastAsia"/>
                <w:b/>
                <w:color w:val="000000"/>
                <w:sz w:val="24"/>
              </w:rPr>
            </w:pPr>
            <w:r>
              <w:rPr>
                <w:rFonts w:eastAsiaTheme="minorEastAsia"/>
                <w:b/>
                <w:color w:val="000000"/>
                <w:sz w:val="24"/>
              </w:rPr>
              <w:t>污</w:t>
            </w:r>
          </w:p>
          <w:p>
            <w:pPr>
              <w:snapToGrid w:val="0"/>
              <w:spacing w:line="408" w:lineRule="auto"/>
              <w:jc w:val="center"/>
              <w:rPr>
                <w:rFonts w:eastAsiaTheme="minorEastAsia"/>
                <w:b/>
                <w:color w:val="000000"/>
                <w:sz w:val="24"/>
              </w:rPr>
            </w:pPr>
            <w:r>
              <w:rPr>
                <w:rFonts w:eastAsiaTheme="minorEastAsia"/>
                <w:b/>
                <w:color w:val="000000"/>
                <w:sz w:val="24"/>
              </w:rPr>
              <w:t>染</w:t>
            </w:r>
          </w:p>
          <w:p>
            <w:pPr>
              <w:snapToGrid w:val="0"/>
              <w:spacing w:line="408" w:lineRule="auto"/>
              <w:jc w:val="center"/>
              <w:rPr>
                <w:rFonts w:eastAsiaTheme="minorEastAsia"/>
                <w:b/>
                <w:color w:val="000000"/>
                <w:sz w:val="24"/>
              </w:rPr>
            </w:pPr>
            <w:r>
              <w:rPr>
                <w:rFonts w:eastAsiaTheme="minorEastAsia"/>
                <w:b/>
                <w:color w:val="000000"/>
                <w:sz w:val="24"/>
              </w:rPr>
              <w:t>物</w:t>
            </w:r>
          </w:p>
          <w:p>
            <w:pPr>
              <w:snapToGrid w:val="0"/>
              <w:spacing w:line="408" w:lineRule="auto"/>
              <w:jc w:val="center"/>
              <w:rPr>
                <w:rFonts w:eastAsiaTheme="minorEastAsia"/>
                <w:b/>
                <w:color w:val="000000"/>
                <w:sz w:val="24"/>
              </w:rPr>
            </w:pPr>
            <w:r>
              <w:rPr>
                <w:rFonts w:eastAsiaTheme="minorEastAsia"/>
                <w:b/>
                <w:color w:val="000000"/>
                <w:sz w:val="24"/>
              </w:rPr>
              <w:t>排</w:t>
            </w:r>
          </w:p>
          <w:p>
            <w:pPr>
              <w:snapToGrid w:val="0"/>
              <w:spacing w:line="408" w:lineRule="auto"/>
              <w:jc w:val="center"/>
              <w:rPr>
                <w:rFonts w:eastAsiaTheme="minorEastAsia"/>
                <w:b/>
                <w:color w:val="000000"/>
                <w:sz w:val="24"/>
              </w:rPr>
            </w:pPr>
            <w:r>
              <w:rPr>
                <w:rFonts w:eastAsiaTheme="minorEastAsia"/>
                <w:b/>
                <w:color w:val="000000"/>
                <w:sz w:val="24"/>
              </w:rPr>
              <w:t>放</w:t>
            </w:r>
          </w:p>
          <w:p>
            <w:pPr>
              <w:snapToGrid w:val="0"/>
              <w:spacing w:line="408" w:lineRule="auto"/>
              <w:jc w:val="center"/>
              <w:rPr>
                <w:rFonts w:eastAsiaTheme="minorEastAsia"/>
                <w:b/>
                <w:color w:val="000000"/>
                <w:sz w:val="24"/>
              </w:rPr>
            </w:pPr>
            <w:r>
              <w:rPr>
                <w:rFonts w:eastAsiaTheme="minorEastAsia"/>
                <w:b/>
                <w:color w:val="000000"/>
                <w:sz w:val="24"/>
              </w:rPr>
              <w:t>标</w:t>
            </w:r>
          </w:p>
          <w:p>
            <w:pPr>
              <w:jc w:val="center"/>
              <w:rPr>
                <w:rFonts w:eastAsiaTheme="minorEastAsia"/>
                <w:b/>
                <w:color w:val="000000"/>
                <w:sz w:val="24"/>
              </w:rPr>
            </w:pPr>
            <w:r>
              <w:rPr>
                <w:rFonts w:eastAsiaTheme="minorEastAsia"/>
                <w:b/>
                <w:color w:val="000000"/>
                <w:sz w:val="24"/>
              </w:rPr>
              <w:t>准</w:t>
            </w:r>
          </w:p>
        </w:tc>
        <w:tc>
          <w:tcPr>
            <w:tcW w:w="8701" w:type="dxa"/>
            <w:tcMar>
              <w:top w:w="0" w:type="dxa"/>
              <w:left w:w="57" w:type="dxa"/>
              <w:bottom w:w="0" w:type="dxa"/>
              <w:right w:w="57" w:type="dxa"/>
            </w:tcMar>
          </w:tcPr>
          <w:p>
            <w:pPr>
              <w:pStyle w:val="94"/>
              <w:spacing w:line="360" w:lineRule="auto"/>
              <w:ind w:firstLine="480"/>
              <w:jc w:val="both"/>
              <w:rPr>
                <w:rFonts w:ascii="Times New Roman" w:eastAsiaTheme="minorEastAsia"/>
                <w:b/>
              </w:rPr>
            </w:pPr>
            <w:r>
              <w:rPr>
                <w:rFonts w:ascii="Times New Roman" w:eastAsiaTheme="minorEastAsia"/>
                <w:b/>
              </w:rPr>
              <w:t>1、废气</w:t>
            </w:r>
          </w:p>
          <w:p>
            <w:pPr>
              <w:pStyle w:val="94"/>
              <w:spacing w:line="360" w:lineRule="auto"/>
              <w:ind w:firstLine="480"/>
              <w:jc w:val="both"/>
              <w:rPr>
                <w:rFonts w:ascii="Times New Roman" w:eastAsiaTheme="minorEastAsia"/>
              </w:rPr>
            </w:pPr>
            <w:r>
              <w:rPr>
                <w:rFonts w:ascii="Times New Roman" w:eastAsiaTheme="minorEastAsia"/>
              </w:rPr>
              <w:t>执行《大气污染物综合排放标准》（GB16296-1996）中</w:t>
            </w:r>
            <w:r>
              <w:rPr>
                <w:rFonts w:hint="eastAsia" w:ascii="Times New Roman" w:eastAsiaTheme="minorEastAsia"/>
                <w:lang w:eastAsia="zh-CN"/>
              </w:rPr>
              <w:t>的二级标准限值，</w:t>
            </w:r>
            <w:r>
              <w:rPr>
                <w:rFonts w:ascii="Times New Roman" w:eastAsiaTheme="minorEastAsia"/>
              </w:rPr>
              <w:t>见下表。</w:t>
            </w:r>
          </w:p>
          <w:p>
            <w:pPr>
              <w:jc w:val="center"/>
              <w:rPr>
                <w:rFonts w:eastAsiaTheme="minorEastAsia"/>
                <w:b/>
                <w:bCs/>
                <w:szCs w:val="21"/>
              </w:rPr>
            </w:pPr>
            <w:r>
              <w:rPr>
                <w:rFonts w:eastAsiaTheme="minorEastAsia"/>
                <w:b/>
                <w:bCs/>
                <w:szCs w:val="21"/>
              </w:rPr>
              <w:t>表4-5    大气污染物综合排放标准</w:t>
            </w:r>
          </w:p>
          <w:tbl>
            <w:tblPr>
              <w:tblStyle w:val="2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1620"/>
              <w:gridCol w:w="1754"/>
              <w:gridCol w:w="1156"/>
              <w:gridCol w:w="1290"/>
              <w:gridCol w:w="133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3" w:hRule="exact"/>
              </w:trPr>
              <w:tc>
                <w:tcPr>
                  <w:tcW w:w="834" w:type="pct"/>
                  <w:vMerge w:val="restart"/>
                  <w:vAlign w:val="center"/>
                </w:tcPr>
                <w:p>
                  <w:pPr>
                    <w:jc w:val="center"/>
                    <w:rPr>
                      <w:rFonts w:eastAsiaTheme="minorEastAsia"/>
                      <w:bCs/>
                      <w:szCs w:val="21"/>
                    </w:rPr>
                  </w:pPr>
                  <w:r>
                    <w:rPr>
                      <w:rFonts w:eastAsiaTheme="minorEastAsia"/>
                      <w:bCs/>
                      <w:szCs w:val="21"/>
                    </w:rPr>
                    <w:t>污染物</w:t>
                  </w:r>
                </w:p>
              </w:tc>
              <w:tc>
                <w:tcPr>
                  <w:tcW w:w="943" w:type="pct"/>
                  <w:vMerge w:val="restart"/>
                  <w:vAlign w:val="center"/>
                </w:tcPr>
                <w:p>
                  <w:pPr>
                    <w:jc w:val="center"/>
                    <w:rPr>
                      <w:rFonts w:hint="eastAsia" w:eastAsiaTheme="minorEastAsia"/>
                      <w:bCs/>
                      <w:szCs w:val="21"/>
                      <w:vertAlign w:val="baseline"/>
                      <w:lang w:val="en-US" w:eastAsia="zh-CN"/>
                    </w:rPr>
                  </w:pPr>
                  <w:r>
                    <w:rPr>
                      <w:rFonts w:hint="eastAsia" w:eastAsiaTheme="minorEastAsia"/>
                      <w:bCs/>
                      <w:szCs w:val="21"/>
                      <w:lang w:eastAsia="zh-CN"/>
                    </w:rPr>
                    <w:t>最高允许排放浓度（</w:t>
                  </w:r>
                  <w:r>
                    <w:rPr>
                      <w:rFonts w:hint="eastAsia" w:eastAsiaTheme="minorEastAsia"/>
                      <w:bCs/>
                      <w:szCs w:val="21"/>
                      <w:lang w:val="en-US" w:eastAsia="zh-CN"/>
                    </w:rPr>
                    <w:t>mg/m</w:t>
                  </w:r>
                  <w:r>
                    <w:rPr>
                      <w:rFonts w:hint="eastAsia" w:eastAsiaTheme="minorEastAsia"/>
                      <w:bCs/>
                      <w:szCs w:val="21"/>
                      <w:vertAlign w:val="superscript"/>
                      <w:lang w:val="en-US" w:eastAsia="zh-CN"/>
                    </w:rPr>
                    <w:t>3</w:t>
                  </w:r>
                  <w:r>
                    <w:rPr>
                      <w:rFonts w:hint="eastAsia" w:eastAsiaTheme="minorEastAsia"/>
                      <w:bCs/>
                      <w:szCs w:val="21"/>
                      <w:vertAlign w:val="baseline"/>
                      <w:lang w:val="en-US" w:eastAsia="zh-CN"/>
                    </w:rPr>
                    <w:t>）</w:t>
                  </w:r>
                </w:p>
              </w:tc>
              <w:tc>
                <w:tcPr>
                  <w:tcW w:w="1694" w:type="pct"/>
                  <w:gridSpan w:val="2"/>
                  <w:vAlign w:val="center"/>
                </w:tcPr>
                <w:p>
                  <w:pPr>
                    <w:jc w:val="center"/>
                    <w:rPr>
                      <w:rFonts w:hint="default" w:eastAsiaTheme="minorEastAsia"/>
                      <w:bCs/>
                      <w:szCs w:val="21"/>
                      <w:lang w:val="en-US" w:eastAsia="zh-CN"/>
                    </w:rPr>
                  </w:pPr>
                  <w:r>
                    <w:rPr>
                      <w:rFonts w:hint="eastAsia" w:eastAsiaTheme="minorEastAsia"/>
                      <w:bCs/>
                      <w:szCs w:val="21"/>
                      <w:lang w:eastAsia="zh-CN"/>
                    </w:rPr>
                    <w:t>最高允许排放速率（</w:t>
                  </w:r>
                  <w:r>
                    <w:rPr>
                      <w:rFonts w:hint="eastAsia" w:eastAsiaTheme="minorEastAsia"/>
                      <w:bCs/>
                      <w:szCs w:val="21"/>
                      <w:lang w:val="en-US" w:eastAsia="zh-CN"/>
                    </w:rPr>
                    <w:t>kg/h）</w:t>
                  </w:r>
                </w:p>
              </w:tc>
              <w:tc>
                <w:tcPr>
                  <w:tcW w:w="1527" w:type="pct"/>
                  <w:gridSpan w:val="2"/>
                  <w:vAlign w:val="center"/>
                </w:tcPr>
                <w:p>
                  <w:pPr>
                    <w:jc w:val="center"/>
                    <w:rPr>
                      <w:rFonts w:hint="eastAsia" w:eastAsiaTheme="minorEastAsia"/>
                      <w:bCs/>
                      <w:szCs w:val="21"/>
                      <w:lang w:eastAsia="zh-CN"/>
                    </w:rPr>
                  </w:pPr>
                  <w:r>
                    <w:rPr>
                      <w:rFonts w:hint="eastAsia" w:eastAsiaTheme="minorEastAsia"/>
                      <w:bCs/>
                      <w:szCs w:val="21"/>
                      <w:lang w:eastAsia="zh-CN"/>
                    </w:rPr>
                    <w:t>无组织排放监控浓度限值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834" w:type="pct"/>
                  <w:vMerge w:val="continue"/>
                  <w:vAlign w:val="center"/>
                </w:tcPr>
                <w:p>
                  <w:pPr>
                    <w:jc w:val="center"/>
                    <w:rPr>
                      <w:rFonts w:eastAsiaTheme="minorEastAsia"/>
                      <w:bCs/>
                      <w:szCs w:val="21"/>
                    </w:rPr>
                  </w:pPr>
                </w:p>
              </w:tc>
              <w:tc>
                <w:tcPr>
                  <w:tcW w:w="943" w:type="pct"/>
                  <w:vMerge w:val="continue"/>
                  <w:vAlign w:val="center"/>
                </w:tcPr>
                <w:p>
                  <w:pPr>
                    <w:jc w:val="center"/>
                    <w:rPr>
                      <w:rFonts w:hint="eastAsia" w:eastAsiaTheme="minorEastAsia"/>
                      <w:bCs/>
                      <w:szCs w:val="21"/>
                      <w:lang w:eastAsia="zh-CN"/>
                    </w:rPr>
                  </w:pPr>
                </w:p>
              </w:tc>
              <w:tc>
                <w:tcPr>
                  <w:tcW w:w="1021" w:type="pct"/>
                  <w:vAlign w:val="center"/>
                </w:tcPr>
                <w:p>
                  <w:pPr>
                    <w:jc w:val="center"/>
                    <w:rPr>
                      <w:rFonts w:hint="default" w:eastAsiaTheme="minorEastAsia"/>
                      <w:bCs/>
                      <w:szCs w:val="21"/>
                      <w:lang w:val="en-US" w:eastAsia="zh-CN"/>
                    </w:rPr>
                  </w:pPr>
                  <w:r>
                    <w:rPr>
                      <w:rFonts w:hint="eastAsia" w:eastAsiaTheme="minorEastAsia"/>
                      <w:bCs/>
                      <w:szCs w:val="21"/>
                      <w:lang w:eastAsia="zh-CN"/>
                    </w:rPr>
                    <w:t>排气筒高度（</w:t>
                  </w:r>
                  <w:r>
                    <w:rPr>
                      <w:rFonts w:hint="eastAsia" w:eastAsiaTheme="minorEastAsia"/>
                      <w:bCs/>
                      <w:szCs w:val="21"/>
                      <w:lang w:val="en-US" w:eastAsia="zh-CN"/>
                    </w:rPr>
                    <w:t>m)</w:t>
                  </w:r>
                </w:p>
              </w:tc>
              <w:tc>
                <w:tcPr>
                  <w:tcW w:w="673"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二级限值</w:t>
                  </w:r>
                </w:p>
              </w:tc>
              <w:tc>
                <w:tcPr>
                  <w:tcW w:w="751" w:type="pct"/>
                  <w:vAlign w:val="center"/>
                </w:tcPr>
                <w:p>
                  <w:pPr>
                    <w:jc w:val="center"/>
                    <w:rPr>
                      <w:rFonts w:hint="eastAsia" w:eastAsiaTheme="minorEastAsia"/>
                      <w:bCs/>
                      <w:szCs w:val="21"/>
                      <w:lang w:eastAsia="zh-CN"/>
                    </w:rPr>
                  </w:pPr>
                  <w:r>
                    <w:rPr>
                      <w:rFonts w:hint="eastAsia" w:eastAsiaTheme="minorEastAsia"/>
                      <w:bCs/>
                      <w:szCs w:val="21"/>
                      <w:lang w:eastAsia="zh-CN"/>
                    </w:rPr>
                    <w:t>监控点</w:t>
                  </w:r>
                </w:p>
              </w:tc>
              <w:tc>
                <w:tcPr>
                  <w:tcW w:w="776" w:type="pct"/>
                  <w:vAlign w:val="center"/>
                </w:tcPr>
                <w:p>
                  <w:pPr>
                    <w:jc w:val="center"/>
                    <w:rPr>
                      <w:rFonts w:hint="default" w:eastAsiaTheme="minorEastAsia"/>
                      <w:bCs/>
                      <w:szCs w:val="21"/>
                      <w:vertAlign w:val="baseline"/>
                      <w:lang w:val="en-US" w:eastAsia="zh-CN"/>
                    </w:rPr>
                  </w:pPr>
                  <w:r>
                    <w:rPr>
                      <w:rFonts w:hint="eastAsia" w:eastAsiaTheme="minorEastAsia"/>
                      <w:bCs/>
                      <w:szCs w:val="21"/>
                      <w:lang w:eastAsia="zh-CN"/>
                    </w:rPr>
                    <w:t>浓度（</w:t>
                  </w:r>
                  <w:r>
                    <w:rPr>
                      <w:rFonts w:hint="eastAsia" w:eastAsiaTheme="minorEastAsia"/>
                      <w:bCs/>
                      <w:szCs w:val="21"/>
                      <w:lang w:val="en-US" w:eastAsia="zh-CN"/>
                    </w:rPr>
                    <w:t>mg/m</w:t>
                  </w:r>
                  <w:r>
                    <w:rPr>
                      <w:rFonts w:hint="eastAsia" w:eastAsiaTheme="minorEastAsia"/>
                      <w:bCs/>
                      <w:szCs w:val="21"/>
                      <w:vertAlign w:val="superscript"/>
                      <w:lang w:val="en-US" w:eastAsia="zh-CN"/>
                    </w:rPr>
                    <w:t>3</w:t>
                  </w:r>
                  <w:r>
                    <w:rPr>
                      <w:rFonts w:hint="eastAsia" w:eastAsiaTheme="minorEastAsia"/>
                      <w:bCs/>
                      <w:szCs w:val="21"/>
                      <w:vertAlign w:val="baseli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34" w:type="pct"/>
                  <w:vAlign w:val="center"/>
                </w:tcPr>
                <w:p>
                  <w:pPr>
                    <w:jc w:val="center"/>
                    <w:rPr>
                      <w:rFonts w:eastAsiaTheme="minorEastAsia"/>
                      <w:bCs/>
                      <w:szCs w:val="21"/>
                    </w:rPr>
                  </w:pPr>
                  <w:r>
                    <w:rPr>
                      <w:rFonts w:hint="eastAsia" w:eastAsiaTheme="minorEastAsia"/>
                      <w:bCs/>
                      <w:szCs w:val="21"/>
                      <w:lang w:eastAsia="zh-CN"/>
                    </w:rPr>
                    <w:t>颗粒物</w:t>
                  </w:r>
                </w:p>
              </w:tc>
              <w:tc>
                <w:tcPr>
                  <w:tcW w:w="943"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120</w:t>
                  </w:r>
                </w:p>
              </w:tc>
              <w:tc>
                <w:tcPr>
                  <w:tcW w:w="1021"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15</w:t>
                  </w:r>
                </w:p>
              </w:tc>
              <w:tc>
                <w:tcPr>
                  <w:tcW w:w="673"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3.5</w:t>
                  </w:r>
                </w:p>
              </w:tc>
              <w:tc>
                <w:tcPr>
                  <w:tcW w:w="751" w:type="pct"/>
                  <w:vMerge w:val="restart"/>
                  <w:vAlign w:val="center"/>
                </w:tcPr>
                <w:p>
                  <w:pPr>
                    <w:jc w:val="center"/>
                    <w:rPr>
                      <w:rFonts w:hint="eastAsia" w:eastAsiaTheme="minorEastAsia"/>
                      <w:bCs/>
                      <w:szCs w:val="21"/>
                      <w:lang w:eastAsia="zh-CN"/>
                    </w:rPr>
                  </w:pPr>
                  <w:r>
                    <w:rPr>
                      <w:rFonts w:hint="eastAsia" w:eastAsiaTheme="minorEastAsia"/>
                      <w:bCs/>
                      <w:szCs w:val="21"/>
                      <w:lang w:eastAsia="zh-CN"/>
                    </w:rPr>
                    <w:t>周围外浓度最高点</w:t>
                  </w:r>
                </w:p>
              </w:tc>
              <w:tc>
                <w:tcPr>
                  <w:tcW w:w="776"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34" w:type="pct"/>
                  <w:vAlign w:val="center"/>
                </w:tcPr>
                <w:p>
                  <w:pPr>
                    <w:jc w:val="center"/>
                    <w:rPr>
                      <w:rFonts w:hint="default" w:eastAsiaTheme="minorEastAsia"/>
                      <w:bCs/>
                      <w:szCs w:val="21"/>
                      <w:vertAlign w:val="subscript"/>
                      <w:lang w:val="en-US" w:eastAsia="zh-CN"/>
                    </w:rPr>
                  </w:pPr>
                  <w:r>
                    <w:rPr>
                      <w:rFonts w:hint="eastAsia" w:eastAsiaTheme="minorEastAsia"/>
                      <w:bCs/>
                      <w:szCs w:val="21"/>
                      <w:lang w:val="en-US" w:eastAsia="zh-CN"/>
                    </w:rPr>
                    <w:t>NO</w:t>
                  </w:r>
                  <w:r>
                    <w:rPr>
                      <w:rFonts w:hint="eastAsia" w:eastAsiaTheme="minorEastAsia"/>
                      <w:bCs/>
                      <w:szCs w:val="21"/>
                      <w:vertAlign w:val="subscript"/>
                      <w:lang w:val="en-US" w:eastAsia="zh-CN"/>
                    </w:rPr>
                    <w:t>x</w:t>
                  </w:r>
                </w:p>
              </w:tc>
              <w:tc>
                <w:tcPr>
                  <w:tcW w:w="943"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240</w:t>
                  </w:r>
                </w:p>
              </w:tc>
              <w:tc>
                <w:tcPr>
                  <w:tcW w:w="1021"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15</w:t>
                  </w:r>
                </w:p>
              </w:tc>
              <w:tc>
                <w:tcPr>
                  <w:tcW w:w="673"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0.77</w:t>
                  </w:r>
                </w:p>
              </w:tc>
              <w:tc>
                <w:tcPr>
                  <w:tcW w:w="751" w:type="pct"/>
                  <w:vMerge w:val="continue"/>
                  <w:vAlign w:val="center"/>
                </w:tcPr>
                <w:p>
                  <w:pPr>
                    <w:jc w:val="center"/>
                    <w:rPr>
                      <w:rFonts w:eastAsiaTheme="minorEastAsia"/>
                      <w:bCs/>
                      <w:szCs w:val="21"/>
                    </w:rPr>
                  </w:pPr>
                </w:p>
              </w:tc>
              <w:tc>
                <w:tcPr>
                  <w:tcW w:w="776"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0.12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34" w:type="pct"/>
                  <w:vAlign w:val="center"/>
                </w:tcPr>
                <w:p>
                  <w:pPr>
                    <w:jc w:val="center"/>
                    <w:rPr>
                      <w:rFonts w:hint="default" w:eastAsiaTheme="minorEastAsia"/>
                      <w:bCs/>
                      <w:szCs w:val="21"/>
                      <w:vertAlign w:val="subscript"/>
                      <w:lang w:val="en-US" w:eastAsia="zh-CN"/>
                    </w:rPr>
                  </w:pPr>
                  <w:r>
                    <w:rPr>
                      <w:rFonts w:hint="eastAsia" w:eastAsiaTheme="minorEastAsia"/>
                      <w:bCs/>
                      <w:szCs w:val="21"/>
                      <w:lang w:val="en-US" w:eastAsia="zh-CN"/>
                    </w:rPr>
                    <w:t>SO</w:t>
                  </w:r>
                  <w:r>
                    <w:rPr>
                      <w:rFonts w:hint="eastAsia" w:eastAsiaTheme="minorEastAsia"/>
                      <w:bCs/>
                      <w:szCs w:val="21"/>
                      <w:vertAlign w:val="subscript"/>
                      <w:lang w:val="en-US" w:eastAsia="zh-CN"/>
                    </w:rPr>
                    <w:t>2</w:t>
                  </w:r>
                </w:p>
              </w:tc>
              <w:tc>
                <w:tcPr>
                  <w:tcW w:w="943"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550</w:t>
                  </w:r>
                </w:p>
              </w:tc>
              <w:tc>
                <w:tcPr>
                  <w:tcW w:w="1021"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15</w:t>
                  </w:r>
                </w:p>
              </w:tc>
              <w:tc>
                <w:tcPr>
                  <w:tcW w:w="673"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2.6</w:t>
                  </w:r>
                </w:p>
              </w:tc>
              <w:tc>
                <w:tcPr>
                  <w:tcW w:w="751" w:type="pct"/>
                  <w:vMerge w:val="continue"/>
                  <w:vAlign w:val="center"/>
                </w:tcPr>
                <w:p>
                  <w:pPr>
                    <w:jc w:val="center"/>
                    <w:rPr>
                      <w:rFonts w:eastAsiaTheme="minorEastAsia"/>
                      <w:bCs/>
                      <w:szCs w:val="21"/>
                    </w:rPr>
                  </w:pPr>
                </w:p>
              </w:tc>
              <w:tc>
                <w:tcPr>
                  <w:tcW w:w="776" w:type="pct"/>
                  <w:vAlign w:val="center"/>
                </w:tcPr>
                <w:p>
                  <w:pPr>
                    <w:jc w:val="center"/>
                    <w:rPr>
                      <w:rFonts w:hint="default" w:eastAsiaTheme="minorEastAsia"/>
                      <w:bCs/>
                      <w:szCs w:val="21"/>
                      <w:lang w:val="en-US" w:eastAsia="zh-CN"/>
                    </w:rPr>
                  </w:pPr>
                  <w:r>
                    <w:rPr>
                      <w:rFonts w:hint="eastAsia" w:eastAsiaTheme="minorEastAsia"/>
                      <w:bCs/>
                      <w:szCs w:val="21"/>
                      <w:lang w:val="en-US" w:eastAsia="zh-CN"/>
                    </w:rPr>
                    <w:t>0.40</w:t>
                  </w:r>
                </w:p>
              </w:tc>
            </w:tr>
          </w:tbl>
          <w:p>
            <w:pPr>
              <w:pStyle w:val="94"/>
              <w:spacing w:line="360" w:lineRule="auto"/>
              <w:ind w:firstLine="480"/>
              <w:jc w:val="both"/>
              <w:rPr>
                <w:rFonts w:ascii="Times New Roman" w:eastAsiaTheme="minorEastAsia"/>
                <w:b/>
              </w:rPr>
            </w:pPr>
            <w:r>
              <w:rPr>
                <w:rFonts w:ascii="Times New Roman" w:eastAsiaTheme="minorEastAsia"/>
                <w:b/>
              </w:rPr>
              <w:t>2、废水</w:t>
            </w:r>
          </w:p>
          <w:p>
            <w:pPr>
              <w:pStyle w:val="94"/>
              <w:spacing w:line="360" w:lineRule="auto"/>
              <w:ind w:firstLine="480"/>
              <w:jc w:val="both"/>
              <w:rPr>
                <w:rFonts w:ascii="Times New Roman" w:eastAsiaTheme="minorEastAsia"/>
              </w:rPr>
            </w:pPr>
            <w:r>
              <w:rPr>
                <w:rFonts w:hint="eastAsia" w:ascii="Times New Roman" w:eastAsiaTheme="minorEastAsia"/>
              </w:rPr>
              <w:t>本项目</w:t>
            </w:r>
            <w:r>
              <w:rPr>
                <w:rFonts w:hint="eastAsia" w:ascii="Times New Roman" w:eastAsiaTheme="minorEastAsia"/>
                <w:lang w:eastAsia="zh-CN"/>
              </w:rPr>
              <w:t>采用雨污分流制，运营期生产废水包括道路冲洗废水，该废水中仅含有少量泥沙、机械杂质，不含有毒有害物质，故站场内道路冲洗废水与站房通过排水立管排至站外低洼处；</w:t>
            </w:r>
            <w:r>
              <w:rPr>
                <w:rFonts w:hint="eastAsia" w:ascii="Times New Roman" w:eastAsiaTheme="minorEastAsia"/>
              </w:rPr>
              <w:t>生活污水经化粪池处理后，用作周边农田农肥，不外排。</w:t>
            </w:r>
          </w:p>
          <w:p>
            <w:pPr>
              <w:pStyle w:val="94"/>
              <w:spacing w:line="360" w:lineRule="auto"/>
              <w:ind w:firstLine="480"/>
              <w:jc w:val="both"/>
              <w:rPr>
                <w:rFonts w:ascii="Times New Roman" w:eastAsiaTheme="minorEastAsia"/>
                <w:b/>
              </w:rPr>
            </w:pPr>
            <w:r>
              <w:rPr>
                <w:rFonts w:ascii="Times New Roman" w:eastAsiaTheme="minorEastAsia"/>
                <w:b/>
              </w:rPr>
              <w:t>3、噪声</w:t>
            </w:r>
          </w:p>
          <w:p>
            <w:pPr>
              <w:pStyle w:val="94"/>
              <w:spacing w:line="360" w:lineRule="auto"/>
              <w:ind w:firstLine="480"/>
              <w:jc w:val="both"/>
              <w:rPr>
                <w:rFonts w:ascii="Times New Roman" w:eastAsiaTheme="minorEastAsia"/>
                <w:b/>
              </w:rPr>
            </w:pPr>
            <w:r>
              <w:rPr>
                <w:rFonts w:ascii="Times New Roman" w:eastAsiaTheme="minorEastAsia"/>
              </w:rPr>
              <w:t>（1）建设期间噪声排放执行《建筑施工场界环境噪声排放标准》（GB12523-2011）。</w:t>
            </w:r>
          </w:p>
          <w:p>
            <w:pPr>
              <w:pStyle w:val="94"/>
              <w:jc w:val="center"/>
              <w:rPr>
                <w:rFonts w:ascii="Times New Roman" w:eastAsiaTheme="minorEastAsia"/>
                <w:b/>
                <w:sz w:val="21"/>
                <w:szCs w:val="21"/>
              </w:rPr>
            </w:pPr>
            <w:r>
              <w:rPr>
                <w:rFonts w:ascii="Times New Roman" w:eastAsiaTheme="minorEastAsia"/>
                <w:b/>
                <w:sz w:val="21"/>
                <w:szCs w:val="21"/>
              </w:rPr>
              <w:t>表4-6 建筑施工场界环境噪声排放标准  单位：dB（A）</w:t>
            </w:r>
          </w:p>
          <w:tbl>
            <w:tblPr>
              <w:tblStyle w:val="2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174"/>
              <w:gridCol w:w="2542"/>
              <w:gridCol w:w="282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74" w:type="dxa"/>
                  <w:vMerge w:val="restart"/>
                  <w:vAlign w:val="center"/>
                </w:tcPr>
                <w:p>
                  <w:pPr>
                    <w:snapToGrid w:val="0"/>
                    <w:jc w:val="center"/>
                    <w:rPr>
                      <w:rFonts w:eastAsiaTheme="minorEastAsia"/>
                      <w:color w:val="000000"/>
                      <w:szCs w:val="21"/>
                    </w:rPr>
                  </w:pPr>
                  <w:r>
                    <w:rPr>
                      <w:rFonts w:eastAsiaTheme="minorEastAsia"/>
                      <w:color w:val="000000"/>
                      <w:szCs w:val="21"/>
                    </w:rPr>
                    <w:t>项目</w:t>
                  </w:r>
                </w:p>
              </w:tc>
              <w:tc>
                <w:tcPr>
                  <w:tcW w:w="5368" w:type="dxa"/>
                  <w:gridSpan w:val="2"/>
                  <w:vAlign w:val="center"/>
                </w:tcPr>
                <w:p>
                  <w:pPr>
                    <w:snapToGrid w:val="0"/>
                    <w:jc w:val="center"/>
                    <w:rPr>
                      <w:rFonts w:eastAsiaTheme="minorEastAsia"/>
                      <w:color w:val="000000"/>
                      <w:szCs w:val="21"/>
                    </w:rPr>
                  </w:pPr>
                  <w:r>
                    <w:rPr>
                      <w:rFonts w:eastAsiaTheme="minorEastAsia"/>
                      <w:color w:val="000000"/>
                      <w:szCs w:val="21"/>
                    </w:rPr>
                    <w:t>时  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74" w:type="dxa"/>
                  <w:vMerge w:val="continue"/>
                  <w:vAlign w:val="center"/>
                </w:tcPr>
                <w:p>
                  <w:pPr>
                    <w:snapToGrid w:val="0"/>
                    <w:jc w:val="center"/>
                    <w:rPr>
                      <w:rFonts w:eastAsiaTheme="minorEastAsia"/>
                      <w:color w:val="000000"/>
                      <w:szCs w:val="21"/>
                    </w:rPr>
                  </w:pPr>
                </w:p>
              </w:tc>
              <w:tc>
                <w:tcPr>
                  <w:tcW w:w="2542" w:type="dxa"/>
                  <w:vAlign w:val="center"/>
                </w:tcPr>
                <w:p>
                  <w:pPr>
                    <w:snapToGrid w:val="0"/>
                    <w:jc w:val="center"/>
                    <w:rPr>
                      <w:rFonts w:eastAsiaTheme="minorEastAsia"/>
                      <w:color w:val="000000"/>
                      <w:szCs w:val="21"/>
                    </w:rPr>
                  </w:pPr>
                  <w:r>
                    <w:rPr>
                      <w:rFonts w:eastAsiaTheme="minorEastAsia"/>
                      <w:color w:val="000000"/>
                      <w:szCs w:val="21"/>
                    </w:rPr>
                    <w:t>昼间dB(A)</w:t>
                  </w:r>
                </w:p>
              </w:tc>
              <w:tc>
                <w:tcPr>
                  <w:tcW w:w="2826" w:type="dxa"/>
                  <w:vAlign w:val="center"/>
                </w:tcPr>
                <w:p>
                  <w:pPr>
                    <w:snapToGrid w:val="0"/>
                    <w:jc w:val="center"/>
                    <w:rPr>
                      <w:rFonts w:eastAsiaTheme="minorEastAsia"/>
                      <w:color w:val="000000"/>
                      <w:szCs w:val="21"/>
                    </w:rPr>
                  </w:pPr>
                  <w:r>
                    <w:rPr>
                      <w:rFonts w:eastAsiaTheme="minorEastAsia"/>
                      <w:color w:val="000000"/>
                      <w:szCs w:val="21"/>
                    </w:rPr>
                    <w:t>夜间dB(A)</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74" w:type="dxa"/>
                  <w:vAlign w:val="center"/>
                </w:tcPr>
                <w:p>
                  <w:pPr>
                    <w:snapToGrid w:val="0"/>
                    <w:jc w:val="center"/>
                    <w:rPr>
                      <w:rFonts w:eastAsiaTheme="minorEastAsia"/>
                      <w:color w:val="000000"/>
                      <w:szCs w:val="21"/>
                    </w:rPr>
                  </w:pPr>
                  <w:r>
                    <w:rPr>
                      <w:rFonts w:eastAsiaTheme="minorEastAsia"/>
                      <w:color w:val="000000"/>
                      <w:szCs w:val="21"/>
                    </w:rPr>
                    <w:t>标准值</w:t>
                  </w:r>
                </w:p>
              </w:tc>
              <w:tc>
                <w:tcPr>
                  <w:tcW w:w="2542" w:type="dxa"/>
                  <w:vAlign w:val="center"/>
                </w:tcPr>
                <w:p>
                  <w:pPr>
                    <w:snapToGrid w:val="0"/>
                    <w:jc w:val="center"/>
                    <w:rPr>
                      <w:rFonts w:eastAsiaTheme="minorEastAsia"/>
                      <w:color w:val="000000"/>
                      <w:szCs w:val="21"/>
                    </w:rPr>
                  </w:pPr>
                  <w:r>
                    <w:rPr>
                      <w:rFonts w:eastAsiaTheme="minorEastAsia"/>
                      <w:color w:val="000000"/>
                      <w:szCs w:val="21"/>
                    </w:rPr>
                    <w:t>70</w:t>
                  </w:r>
                </w:p>
              </w:tc>
              <w:tc>
                <w:tcPr>
                  <w:tcW w:w="2826" w:type="dxa"/>
                  <w:vAlign w:val="center"/>
                </w:tcPr>
                <w:p>
                  <w:pPr>
                    <w:snapToGrid w:val="0"/>
                    <w:jc w:val="center"/>
                    <w:rPr>
                      <w:rFonts w:eastAsiaTheme="minorEastAsia"/>
                      <w:color w:val="000000"/>
                      <w:szCs w:val="21"/>
                    </w:rPr>
                  </w:pPr>
                  <w:r>
                    <w:rPr>
                      <w:rFonts w:eastAsiaTheme="minorEastAsia"/>
                      <w:color w:val="000000"/>
                      <w:szCs w:val="21"/>
                    </w:rPr>
                    <w:t>55</w:t>
                  </w:r>
                </w:p>
              </w:tc>
            </w:tr>
          </w:tbl>
          <w:p>
            <w:pPr>
              <w:pStyle w:val="94"/>
              <w:spacing w:line="360" w:lineRule="auto"/>
              <w:ind w:firstLine="480"/>
              <w:jc w:val="both"/>
              <w:rPr>
                <w:rFonts w:ascii="Times New Roman" w:eastAsiaTheme="minorEastAsia"/>
              </w:rPr>
            </w:pPr>
            <w:r>
              <w:rPr>
                <w:rFonts w:ascii="Times New Roman" w:eastAsiaTheme="minorEastAsia"/>
              </w:rPr>
              <w:t>（2）运营期执行《工业企业厂界环境噪声排放标准》（GB12348-2008）中2类</w:t>
            </w:r>
            <w:r>
              <w:rPr>
                <w:rFonts w:hint="eastAsia" w:ascii="Times New Roman" w:eastAsiaTheme="minorEastAsia"/>
                <w:lang w:eastAsia="zh-CN"/>
              </w:rPr>
              <w:t>和</w:t>
            </w:r>
            <w:r>
              <w:rPr>
                <w:rFonts w:hint="eastAsia" w:ascii="Times New Roman" w:eastAsiaTheme="minorEastAsia"/>
                <w:lang w:val="en-US" w:eastAsia="zh-CN"/>
              </w:rPr>
              <w:t>4a类</w:t>
            </w:r>
            <w:r>
              <w:rPr>
                <w:rFonts w:ascii="Times New Roman" w:eastAsiaTheme="minorEastAsia"/>
              </w:rPr>
              <w:t>标准。详见下表。</w:t>
            </w:r>
          </w:p>
          <w:p>
            <w:pPr>
              <w:pStyle w:val="94"/>
              <w:jc w:val="center"/>
              <w:rPr>
                <w:rFonts w:ascii="Times New Roman" w:eastAsiaTheme="minorEastAsia"/>
                <w:b/>
                <w:sz w:val="21"/>
                <w:szCs w:val="21"/>
              </w:rPr>
            </w:pPr>
            <w:r>
              <w:rPr>
                <w:rFonts w:ascii="Times New Roman" w:eastAsiaTheme="minorEastAsia"/>
                <w:b/>
                <w:sz w:val="21"/>
                <w:szCs w:val="21"/>
              </w:rPr>
              <w:t>表4-7 工业企业厂界环境噪声排放标准  单位：dB（A）</w:t>
            </w:r>
          </w:p>
          <w:tbl>
            <w:tblPr>
              <w:tblStyle w:val="2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174"/>
              <w:gridCol w:w="2542"/>
              <w:gridCol w:w="282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74" w:type="dxa"/>
                  <w:vMerge w:val="restart"/>
                  <w:vAlign w:val="center"/>
                </w:tcPr>
                <w:p>
                  <w:pPr>
                    <w:snapToGrid w:val="0"/>
                    <w:jc w:val="center"/>
                    <w:rPr>
                      <w:rFonts w:eastAsiaTheme="minorEastAsia"/>
                      <w:color w:val="000000"/>
                      <w:szCs w:val="21"/>
                    </w:rPr>
                  </w:pPr>
                  <w:r>
                    <w:rPr>
                      <w:rFonts w:eastAsiaTheme="minorEastAsia"/>
                      <w:color w:val="000000"/>
                      <w:szCs w:val="21"/>
                    </w:rPr>
                    <w:t>标准类别</w:t>
                  </w:r>
                </w:p>
              </w:tc>
              <w:tc>
                <w:tcPr>
                  <w:tcW w:w="5368" w:type="dxa"/>
                  <w:gridSpan w:val="2"/>
                  <w:vAlign w:val="center"/>
                </w:tcPr>
                <w:p>
                  <w:pPr>
                    <w:snapToGrid w:val="0"/>
                    <w:jc w:val="center"/>
                    <w:rPr>
                      <w:rFonts w:eastAsiaTheme="minorEastAsia"/>
                      <w:color w:val="000000"/>
                      <w:szCs w:val="21"/>
                    </w:rPr>
                  </w:pPr>
                  <w:r>
                    <w:rPr>
                      <w:rFonts w:eastAsiaTheme="minorEastAsia"/>
                      <w:color w:val="000000"/>
                      <w:szCs w:val="21"/>
                    </w:rPr>
                    <w:t>时  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74" w:type="dxa"/>
                  <w:vMerge w:val="continue"/>
                  <w:vAlign w:val="center"/>
                </w:tcPr>
                <w:p>
                  <w:pPr>
                    <w:snapToGrid w:val="0"/>
                    <w:jc w:val="center"/>
                    <w:rPr>
                      <w:rFonts w:eastAsiaTheme="minorEastAsia"/>
                      <w:color w:val="000000"/>
                      <w:szCs w:val="21"/>
                    </w:rPr>
                  </w:pPr>
                </w:p>
              </w:tc>
              <w:tc>
                <w:tcPr>
                  <w:tcW w:w="2542" w:type="dxa"/>
                  <w:vAlign w:val="center"/>
                </w:tcPr>
                <w:p>
                  <w:pPr>
                    <w:snapToGrid w:val="0"/>
                    <w:jc w:val="center"/>
                    <w:rPr>
                      <w:rFonts w:eastAsiaTheme="minorEastAsia"/>
                      <w:color w:val="000000"/>
                      <w:szCs w:val="21"/>
                    </w:rPr>
                  </w:pPr>
                  <w:r>
                    <w:rPr>
                      <w:rFonts w:eastAsiaTheme="minorEastAsia"/>
                      <w:color w:val="000000"/>
                      <w:szCs w:val="21"/>
                    </w:rPr>
                    <w:t>昼间dB(A)</w:t>
                  </w:r>
                </w:p>
              </w:tc>
              <w:tc>
                <w:tcPr>
                  <w:tcW w:w="2826" w:type="dxa"/>
                  <w:vAlign w:val="center"/>
                </w:tcPr>
                <w:p>
                  <w:pPr>
                    <w:snapToGrid w:val="0"/>
                    <w:jc w:val="center"/>
                    <w:rPr>
                      <w:rFonts w:eastAsiaTheme="minorEastAsia"/>
                      <w:color w:val="000000"/>
                      <w:szCs w:val="21"/>
                    </w:rPr>
                  </w:pPr>
                  <w:r>
                    <w:rPr>
                      <w:rFonts w:eastAsiaTheme="minorEastAsia"/>
                      <w:color w:val="000000"/>
                      <w:szCs w:val="21"/>
                    </w:rPr>
                    <w:t>夜间dB(A)</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74" w:type="dxa"/>
                  <w:vAlign w:val="center"/>
                </w:tcPr>
                <w:p>
                  <w:pPr>
                    <w:snapToGrid w:val="0"/>
                    <w:jc w:val="center"/>
                    <w:rPr>
                      <w:rFonts w:eastAsiaTheme="minorEastAsia"/>
                      <w:color w:val="000000"/>
                      <w:szCs w:val="21"/>
                    </w:rPr>
                  </w:pPr>
                  <w:r>
                    <w:rPr>
                      <w:rFonts w:eastAsiaTheme="minorEastAsia"/>
                      <w:color w:val="000000"/>
                      <w:szCs w:val="21"/>
                    </w:rPr>
                    <w:t>2</w:t>
                  </w:r>
                </w:p>
              </w:tc>
              <w:tc>
                <w:tcPr>
                  <w:tcW w:w="2542" w:type="dxa"/>
                  <w:vAlign w:val="center"/>
                </w:tcPr>
                <w:p>
                  <w:pPr>
                    <w:snapToGrid w:val="0"/>
                    <w:jc w:val="center"/>
                    <w:rPr>
                      <w:rFonts w:eastAsiaTheme="minorEastAsia"/>
                      <w:color w:val="000000"/>
                      <w:szCs w:val="21"/>
                    </w:rPr>
                  </w:pPr>
                  <w:r>
                    <w:rPr>
                      <w:rFonts w:eastAsiaTheme="minorEastAsia"/>
                      <w:color w:val="000000"/>
                      <w:szCs w:val="21"/>
                    </w:rPr>
                    <w:t>60</w:t>
                  </w:r>
                </w:p>
              </w:tc>
              <w:tc>
                <w:tcPr>
                  <w:tcW w:w="2826" w:type="dxa"/>
                  <w:vAlign w:val="center"/>
                </w:tcPr>
                <w:p>
                  <w:pPr>
                    <w:snapToGrid w:val="0"/>
                    <w:jc w:val="center"/>
                    <w:rPr>
                      <w:rFonts w:eastAsiaTheme="minorEastAsia"/>
                      <w:color w:val="000000"/>
                      <w:szCs w:val="21"/>
                    </w:rPr>
                  </w:pPr>
                  <w:r>
                    <w:rPr>
                      <w:rFonts w:eastAsiaTheme="minorEastAsia"/>
                      <w:color w:val="000000"/>
                      <w:szCs w:val="21"/>
                    </w:rPr>
                    <w:t>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174" w:type="dxa"/>
                  <w:vAlign w:val="center"/>
                </w:tcPr>
                <w:p>
                  <w:pPr>
                    <w:snapToGrid w:val="0"/>
                    <w:jc w:val="center"/>
                    <w:rPr>
                      <w:rFonts w:hint="default" w:eastAsiaTheme="minorEastAsia"/>
                      <w:color w:val="000000"/>
                      <w:szCs w:val="21"/>
                      <w:lang w:val="en-US" w:eastAsia="zh-CN"/>
                    </w:rPr>
                  </w:pPr>
                  <w:r>
                    <w:rPr>
                      <w:rFonts w:hint="eastAsia" w:eastAsiaTheme="minorEastAsia"/>
                      <w:color w:val="000000"/>
                      <w:szCs w:val="21"/>
                      <w:lang w:val="en-US" w:eastAsia="zh-CN"/>
                    </w:rPr>
                    <w:t>4a</w:t>
                  </w:r>
                </w:p>
              </w:tc>
              <w:tc>
                <w:tcPr>
                  <w:tcW w:w="2542" w:type="dxa"/>
                  <w:vAlign w:val="center"/>
                </w:tcPr>
                <w:p>
                  <w:pPr>
                    <w:snapToGrid w:val="0"/>
                    <w:jc w:val="center"/>
                    <w:rPr>
                      <w:rFonts w:hint="default" w:eastAsiaTheme="minorEastAsia"/>
                      <w:color w:val="000000"/>
                      <w:szCs w:val="21"/>
                      <w:lang w:val="en-US" w:eastAsia="zh-CN"/>
                    </w:rPr>
                  </w:pPr>
                  <w:r>
                    <w:rPr>
                      <w:rFonts w:hint="eastAsia" w:eastAsiaTheme="minorEastAsia"/>
                      <w:color w:val="000000"/>
                      <w:szCs w:val="21"/>
                      <w:lang w:val="en-US" w:eastAsia="zh-CN"/>
                    </w:rPr>
                    <w:t>70</w:t>
                  </w:r>
                </w:p>
              </w:tc>
              <w:tc>
                <w:tcPr>
                  <w:tcW w:w="2826" w:type="dxa"/>
                  <w:vAlign w:val="center"/>
                </w:tcPr>
                <w:p>
                  <w:pPr>
                    <w:snapToGrid w:val="0"/>
                    <w:jc w:val="center"/>
                    <w:rPr>
                      <w:rFonts w:hint="default" w:eastAsiaTheme="minorEastAsia"/>
                      <w:color w:val="000000"/>
                      <w:szCs w:val="21"/>
                      <w:lang w:val="en-US" w:eastAsia="zh-CN"/>
                    </w:rPr>
                  </w:pPr>
                  <w:r>
                    <w:rPr>
                      <w:rFonts w:hint="eastAsia" w:eastAsiaTheme="minorEastAsia"/>
                      <w:color w:val="000000"/>
                      <w:szCs w:val="21"/>
                      <w:lang w:val="en-US" w:eastAsia="zh-CN"/>
                    </w:rPr>
                    <w:t>55</w:t>
                  </w:r>
                </w:p>
              </w:tc>
            </w:tr>
          </w:tbl>
          <w:p>
            <w:pPr>
              <w:pStyle w:val="94"/>
              <w:spacing w:line="360" w:lineRule="auto"/>
              <w:ind w:firstLine="480"/>
              <w:jc w:val="both"/>
              <w:rPr>
                <w:rFonts w:ascii="Times New Roman" w:eastAsiaTheme="minorEastAsia"/>
                <w:b/>
              </w:rPr>
            </w:pPr>
            <w:r>
              <w:rPr>
                <w:rFonts w:ascii="Times New Roman" w:eastAsiaTheme="minorEastAsia"/>
                <w:b/>
              </w:rPr>
              <w:t>4、固废</w:t>
            </w:r>
          </w:p>
          <w:p>
            <w:pPr>
              <w:pStyle w:val="94"/>
              <w:spacing w:line="360" w:lineRule="auto"/>
              <w:ind w:firstLine="480" w:firstLineChars="200"/>
              <w:jc w:val="both"/>
              <w:rPr>
                <w:rFonts w:hint="default" w:ascii="Times New Roman" w:eastAsiaTheme="minorEastAsia"/>
                <w:lang w:val="en-US" w:eastAsia="zh-CN"/>
              </w:rPr>
            </w:pPr>
            <w:r>
              <w:rPr>
                <w:rFonts w:ascii="Times New Roman" w:eastAsiaTheme="minorEastAsia"/>
              </w:rPr>
              <w:t>执行《一般工业固体废物贮存、处置场污染控制标准》（GB18599-2001）标准要求。</w:t>
            </w:r>
            <w:r>
              <w:rPr>
                <w:rFonts w:hint="eastAsia" w:ascii="Times New Roman" w:eastAsiaTheme="minorEastAsia"/>
                <w:lang w:eastAsia="zh-CN"/>
              </w:rPr>
              <w:t>危险废物集中储存，执行《危险废物贮存污染控制标准》（</w:t>
            </w:r>
            <w:r>
              <w:rPr>
                <w:rFonts w:hint="eastAsia" w:ascii="Times New Roman" w:eastAsiaTheme="minorEastAsia"/>
                <w:lang w:val="en-US" w:eastAsia="zh-CN"/>
              </w:rPr>
              <w:t>GB18597-2001），经收集后暂存于危废暂存间并定期交由有资质的单位处置。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55" w:type="dxa"/>
            <w:tcMar>
              <w:top w:w="0" w:type="dxa"/>
              <w:left w:w="57" w:type="dxa"/>
              <w:bottom w:w="0" w:type="dxa"/>
              <w:right w:w="57" w:type="dxa"/>
            </w:tcMar>
            <w:vAlign w:val="center"/>
          </w:tcPr>
          <w:p>
            <w:pPr>
              <w:snapToGrid w:val="0"/>
              <w:jc w:val="center"/>
              <w:rPr>
                <w:rFonts w:eastAsiaTheme="minorEastAsia"/>
                <w:b/>
                <w:sz w:val="24"/>
              </w:rPr>
            </w:pPr>
            <w:r>
              <w:rPr>
                <w:rFonts w:eastAsiaTheme="minorEastAsia"/>
                <w:b/>
                <w:sz w:val="24"/>
              </w:rPr>
              <w:t>总</w:t>
            </w:r>
          </w:p>
          <w:p>
            <w:pPr>
              <w:snapToGrid w:val="0"/>
              <w:jc w:val="center"/>
              <w:rPr>
                <w:rFonts w:eastAsiaTheme="minorEastAsia"/>
                <w:b/>
                <w:sz w:val="24"/>
              </w:rPr>
            </w:pPr>
            <w:r>
              <w:rPr>
                <w:rFonts w:eastAsiaTheme="minorEastAsia"/>
                <w:b/>
                <w:sz w:val="24"/>
              </w:rPr>
              <w:t>量</w:t>
            </w:r>
          </w:p>
          <w:p>
            <w:pPr>
              <w:snapToGrid w:val="0"/>
              <w:jc w:val="center"/>
              <w:rPr>
                <w:rFonts w:eastAsiaTheme="minorEastAsia"/>
                <w:b/>
                <w:sz w:val="24"/>
              </w:rPr>
            </w:pPr>
            <w:r>
              <w:rPr>
                <w:rFonts w:eastAsiaTheme="minorEastAsia"/>
                <w:b/>
                <w:sz w:val="24"/>
              </w:rPr>
              <w:t>控</w:t>
            </w:r>
          </w:p>
          <w:p>
            <w:pPr>
              <w:snapToGrid w:val="0"/>
              <w:jc w:val="center"/>
              <w:rPr>
                <w:rFonts w:eastAsiaTheme="minorEastAsia"/>
                <w:b/>
                <w:sz w:val="24"/>
              </w:rPr>
            </w:pPr>
            <w:r>
              <w:rPr>
                <w:rFonts w:eastAsiaTheme="minorEastAsia"/>
                <w:b/>
                <w:sz w:val="24"/>
              </w:rPr>
              <w:t>制</w:t>
            </w:r>
          </w:p>
          <w:p>
            <w:pPr>
              <w:snapToGrid w:val="0"/>
              <w:jc w:val="center"/>
              <w:rPr>
                <w:rFonts w:eastAsiaTheme="minorEastAsia"/>
                <w:b/>
                <w:sz w:val="24"/>
              </w:rPr>
            </w:pPr>
            <w:r>
              <w:rPr>
                <w:rFonts w:eastAsiaTheme="minorEastAsia"/>
                <w:b/>
                <w:sz w:val="24"/>
              </w:rPr>
              <w:t>指</w:t>
            </w:r>
          </w:p>
          <w:p>
            <w:pPr>
              <w:snapToGrid w:val="0"/>
              <w:spacing w:line="408" w:lineRule="auto"/>
              <w:jc w:val="center"/>
              <w:rPr>
                <w:rFonts w:eastAsiaTheme="minorEastAsia"/>
                <w:b/>
                <w:color w:val="000000"/>
                <w:sz w:val="24"/>
              </w:rPr>
            </w:pPr>
            <w:r>
              <w:rPr>
                <w:rFonts w:eastAsiaTheme="minorEastAsia"/>
                <w:b/>
                <w:sz w:val="24"/>
              </w:rPr>
              <w:t>标</w:t>
            </w:r>
          </w:p>
        </w:tc>
        <w:tc>
          <w:tcPr>
            <w:tcW w:w="8701" w:type="dxa"/>
            <w:tcMar>
              <w:top w:w="0" w:type="dxa"/>
              <w:left w:w="57" w:type="dxa"/>
              <w:bottom w:w="0" w:type="dxa"/>
              <w:right w:w="57" w:type="dxa"/>
            </w:tcMar>
          </w:tcPr>
          <w:p>
            <w:pPr>
              <w:pStyle w:val="94"/>
              <w:spacing w:line="360" w:lineRule="auto"/>
              <w:ind w:firstLine="480"/>
              <w:jc w:val="both"/>
              <w:rPr>
                <w:rFonts w:hint="eastAsia" w:eastAsiaTheme="minorEastAsia"/>
                <w:lang w:val="en-US" w:eastAsia="zh-CN"/>
              </w:rPr>
            </w:pPr>
            <w:r>
              <w:rPr>
                <w:rFonts w:hint="eastAsia" w:eastAsiaTheme="minorEastAsia"/>
              </w:rPr>
              <w:t>根据工程分析，</w:t>
            </w:r>
            <w:r>
              <w:rPr>
                <w:rFonts w:hint="eastAsia" w:eastAsiaTheme="minorEastAsia"/>
                <w:lang w:val="en-US" w:eastAsia="zh-CN"/>
              </w:rPr>
              <w:t>项目</w:t>
            </w:r>
            <w:r>
              <w:rPr>
                <w:rFonts w:hint="default" w:ascii="Times New Roman" w:hAnsi="Times New Roman" w:cs="Times New Roman" w:eastAsiaTheme="minorEastAsia"/>
                <w:lang w:val="en-US" w:eastAsia="zh-CN"/>
              </w:rPr>
              <w:t>LNG</w:t>
            </w:r>
            <w:r>
              <w:rPr>
                <w:rFonts w:hint="eastAsia" w:eastAsiaTheme="minorEastAsia"/>
                <w:lang w:val="en-US" w:eastAsia="zh-CN"/>
              </w:rPr>
              <w:t>卸车、加注工艺均在密闭的管道中进行，并加装</w:t>
            </w:r>
            <w:r>
              <w:rPr>
                <w:rFonts w:hint="default" w:ascii="Times New Roman" w:hAnsi="Times New Roman" w:cs="Times New Roman" w:eastAsiaTheme="minorEastAsia"/>
                <w:lang w:val="en-US" w:eastAsia="zh-CN"/>
              </w:rPr>
              <w:t>BOG</w:t>
            </w:r>
            <w:r>
              <w:rPr>
                <w:rFonts w:hint="eastAsia" w:eastAsiaTheme="minorEastAsia"/>
                <w:lang w:val="en-US" w:eastAsia="zh-CN"/>
              </w:rPr>
              <w:t>回收系统，泄露的闪蒸汽经放散后无组织排放，因此不设置总量指标。</w:t>
            </w:r>
          </w:p>
          <w:p>
            <w:pPr>
              <w:pStyle w:val="94"/>
              <w:spacing w:line="360" w:lineRule="auto"/>
              <w:ind w:firstLine="480"/>
              <w:jc w:val="both"/>
              <w:rPr>
                <w:rFonts w:hint="eastAsia" w:eastAsiaTheme="minorEastAsia"/>
                <w:lang w:val="en-US" w:eastAsia="zh-CN"/>
              </w:rPr>
            </w:pPr>
            <w:r>
              <w:rPr>
                <w:rFonts w:hint="eastAsia" w:eastAsiaTheme="minorEastAsia"/>
                <w:lang w:val="en-US" w:eastAsia="zh-CN"/>
              </w:rPr>
              <w:t>生活废水经化粪池处理之后用作农肥，不外排。</w:t>
            </w:r>
          </w:p>
          <w:p>
            <w:pPr>
              <w:pStyle w:val="94"/>
              <w:spacing w:line="360" w:lineRule="auto"/>
              <w:ind w:firstLine="480"/>
              <w:jc w:val="both"/>
              <w:rPr>
                <w:rFonts w:hint="eastAsia" w:eastAsiaTheme="minorEastAsia"/>
                <w:lang w:val="en-US" w:eastAsia="zh-CN"/>
              </w:rPr>
            </w:pPr>
            <w:r>
              <w:rPr>
                <w:rFonts w:hint="eastAsia" w:eastAsiaTheme="minorEastAsia"/>
                <w:lang w:val="en-US" w:eastAsia="zh-CN"/>
              </w:rPr>
              <w:t>综上，本项目不设置总量控制指标。</w:t>
            </w:r>
          </w:p>
        </w:tc>
      </w:tr>
    </w:tbl>
    <w:p>
      <w:pPr>
        <w:pStyle w:val="4"/>
        <w:spacing w:before="0" w:after="0" w:line="240" w:lineRule="auto"/>
        <w:rPr>
          <w:rFonts w:ascii="Times New Roman" w:hAnsi="Times New Roman" w:eastAsiaTheme="minorEastAsia"/>
        </w:rPr>
      </w:pPr>
      <w:r>
        <w:rPr>
          <w:rFonts w:ascii="Times New Roman" w:hAnsi="Times New Roman" w:eastAsiaTheme="minorEastAsia"/>
          <w:b w:val="0"/>
          <w:sz w:val="30"/>
        </w:rPr>
        <w:br w:type="page"/>
      </w:r>
      <w:bookmarkStart w:id="15" w:name="_Toc165893209"/>
      <w:r>
        <w:rPr>
          <w:rFonts w:ascii="Times New Roman" w:hAnsi="Times New Roman" w:eastAsiaTheme="minorEastAsia"/>
        </w:rPr>
        <w:t>建设项目工程分析</w:t>
      </w:r>
      <w:bookmarkEnd w:id="15"/>
      <w:r>
        <w:rPr>
          <w:rFonts w:ascii="Times New Roman" w:hAnsi="Times New Roman" w:eastAsiaTheme="minorEastAsia"/>
        </w:rPr>
        <w:t xml:space="preserve">                               （表五）</w:t>
      </w:r>
    </w:p>
    <w:tbl>
      <w:tblPr>
        <w:tblStyle w:val="2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73" w:hRule="atLeast"/>
        </w:trPr>
        <w:tc>
          <w:tcPr>
            <w:tcW w:w="9287" w:type="dxa"/>
          </w:tcPr>
          <w:p>
            <w:pPr>
              <w:pStyle w:val="94"/>
              <w:spacing w:line="360" w:lineRule="auto"/>
              <w:rPr>
                <w:rFonts w:ascii="Times New Roman" w:eastAsiaTheme="minorEastAsia"/>
                <w:b/>
                <w:sz w:val="30"/>
                <w:szCs w:val="30"/>
              </w:rPr>
            </w:pPr>
            <w:bookmarkStart w:id="16" w:name="_Hlk7122416"/>
            <w:r>
              <w:rPr>
                <w:rFonts w:hint="eastAsia" w:ascii="Times New Roman" w:eastAsiaTheme="minorEastAsia"/>
                <w:b/>
                <w:sz w:val="30"/>
                <w:szCs w:val="30"/>
              </w:rPr>
              <w:t>工艺流程简述</w:t>
            </w:r>
          </w:p>
          <w:p>
            <w:pPr>
              <w:pStyle w:val="94"/>
              <w:spacing w:line="360" w:lineRule="auto"/>
              <w:rPr>
                <w:rFonts w:ascii="Times New Roman" w:eastAsiaTheme="minorEastAsia"/>
                <w:b/>
              </w:rPr>
            </w:pPr>
            <w:r>
              <w:rPr>
                <w:rFonts w:hint="eastAsia" w:ascii="Times New Roman" w:eastAsiaTheme="minorEastAsia"/>
                <w:b/>
              </w:rPr>
              <w:t>一、施工期工艺流程简述</w:t>
            </w:r>
          </w:p>
          <w:p>
            <w:pPr>
              <w:tabs>
                <w:tab w:val="left" w:pos="7704"/>
              </w:tabs>
              <w:spacing w:line="360" w:lineRule="auto"/>
              <w:ind w:firstLine="470" w:firstLineChars="196"/>
              <w:rPr>
                <w:rFonts w:eastAsiaTheme="minorEastAsia"/>
                <w:bCs/>
                <w:sz w:val="24"/>
              </w:rPr>
            </w:pPr>
            <w:r>
              <w:rPr>
                <w:rFonts w:hint="eastAsia" w:eastAsiaTheme="minorEastAsia"/>
                <w:bCs/>
                <w:sz w:val="24"/>
              </w:rPr>
              <w:t>本项目</w:t>
            </w:r>
            <w:r>
              <w:rPr>
                <w:rFonts w:hint="eastAsia" w:eastAsiaTheme="minorEastAsia"/>
                <w:bCs/>
                <w:sz w:val="24"/>
                <w:lang w:eastAsia="zh-CN"/>
              </w:rPr>
              <w:t>主要建设内容包括加气站一座，并配套设置储气罐、站房、加气机、给排水、消防、仪表灯相关设施。项目建设期间施工工艺较为简单，主要施工工艺为基础工程施工、主体工程施工、装饰工程施工，及设别安装施工等。建设项目</w:t>
            </w:r>
            <w:r>
              <w:rPr>
                <w:rFonts w:hint="eastAsia" w:eastAsiaTheme="minorEastAsia"/>
                <w:bCs/>
                <w:sz w:val="24"/>
              </w:rPr>
              <w:t>施工时间较短，施工</w:t>
            </w:r>
            <w:r>
              <w:rPr>
                <w:rFonts w:hint="eastAsia" w:eastAsiaTheme="minorEastAsia"/>
                <w:bCs/>
                <w:sz w:val="24"/>
                <w:lang w:eastAsia="zh-CN"/>
              </w:rPr>
              <w:t>过</w:t>
            </w:r>
            <w:r>
              <w:rPr>
                <w:rFonts w:hint="eastAsia" w:eastAsiaTheme="minorEastAsia"/>
                <w:bCs/>
                <w:sz w:val="24"/>
              </w:rPr>
              <w:t>程中将产生的噪声、扬尘及废气、固体废弃物、施工废水等污染物，其排放量随工序和施工强度不同而变化。本项目施工期施工工艺流程及产污分布如下图：</w:t>
            </w:r>
          </w:p>
          <w:p>
            <w:pPr>
              <w:tabs>
                <w:tab w:val="left" w:pos="7704"/>
              </w:tabs>
            </w:pPr>
            <w:r>
              <w:object>
                <v:shape id="_x0000_i1025" o:spt="75" type="#_x0000_t75" style="height:234pt;width:450.75pt;" o:ole="t" filled="f" o:preferrelative="t" stroked="f" coordsize="21600,21600">
                  <v:path/>
                  <v:fill on="f" focussize="0,0"/>
                  <v:stroke on="f"/>
                  <v:imagedata r:id="rId13" o:title=""/>
                  <o:lock v:ext="edit" aspectratio="t"/>
                  <w10:wrap type="none"/>
                  <w10:anchorlock/>
                </v:shape>
                <o:OLEObject Type="Embed" ProgID="Visio.Drawing.15" ShapeID="_x0000_i1025" DrawAspect="Content" ObjectID="_1468075725" r:id="rId12">
                  <o:LockedField>false</o:LockedField>
                </o:OLEObject>
              </w:object>
            </w:r>
          </w:p>
          <w:p>
            <w:pPr>
              <w:tabs>
                <w:tab w:val="left" w:pos="7704"/>
              </w:tabs>
              <w:spacing w:line="360" w:lineRule="auto"/>
              <w:jc w:val="center"/>
              <w:rPr>
                <w:rFonts w:eastAsiaTheme="minorEastAsia"/>
                <w:sz w:val="24"/>
              </w:rPr>
            </w:pPr>
            <w:r>
              <w:rPr>
                <w:rFonts w:hint="eastAsia" w:eastAsiaTheme="minorEastAsia"/>
                <w:b/>
                <w:bCs/>
                <w:sz w:val="24"/>
              </w:rPr>
              <w:t>图5-1 施工期工艺流程及产污分布图</w:t>
            </w:r>
          </w:p>
          <w:p>
            <w:pPr>
              <w:tabs>
                <w:tab w:val="left" w:pos="7704"/>
              </w:tabs>
              <w:spacing w:line="360" w:lineRule="auto"/>
              <w:ind w:firstLine="472" w:firstLineChars="196"/>
              <w:rPr>
                <w:rFonts w:eastAsiaTheme="minorEastAsia"/>
                <w:b/>
                <w:bCs/>
                <w:sz w:val="24"/>
              </w:rPr>
            </w:pPr>
            <w:r>
              <w:rPr>
                <w:rFonts w:hint="eastAsia" w:eastAsiaTheme="minorEastAsia"/>
                <w:b/>
                <w:bCs/>
                <w:sz w:val="24"/>
              </w:rPr>
              <w:t>工艺流程简述：</w:t>
            </w:r>
          </w:p>
          <w:p>
            <w:pPr>
              <w:pStyle w:val="97"/>
              <w:bidi w:val="0"/>
              <w:rPr>
                <w:rFonts w:hint="eastAsia"/>
              </w:rPr>
            </w:pPr>
            <w:r>
              <w:rPr>
                <w:rFonts w:hint="eastAsia"/>
              </w:rPr>
              <w:t>1、基础工程</w:t>
            </w:r>
          </w:p>
          <w:p>
            <w:pPr>
              <w:pStyle w:val="97"/>
              <w:bidi w:val="0"/>
              <w:rPr>
                <w:rFonts w:hint="eastAsia"/>
              </w:rPr>
            </w:pPr>
            <w:r>
              <w:rPr>
                <w:rFonts w:hint="eastAsia"/>
              </w:rPr>
              <w:t>本项目基础工程主要为场地</w:t>
            </w:r>
            <w:r>
              <w:rPr>
                <w:rFonts w:hint="eastAsia"/>
                <w:lang w:eastAsia="zh-CN"/>
              </w:rPr>
              <w:t>基础开挖、</w:t>
            </w:r>
            <w:r>
              <w:rPr>
                <w:rFonts w:hint="eastAsia"/>
              </w:rPr>
              <w:t>平整，场地平整施工主要产生建筑弃土（挖方、填方、弃方）；施工机械施工作业过程将产生一定的噪声，同时产生一定的扬尘、施工废水、生活污水等；</w:t>
            </w:r>
          </w:p>
          <w:p>
            <w:pPr>
              <w:pStyle w:val="97"/>
              <w:bidi w:val="0"/>
              <w:rPr>
                <w:rFonts w:hint="eastAsia"/>
              </w:rPr>
            </w:pPr>
            <w:r>
              <w:rPr>
                <w:rFonts w:hint="eastAsia"/>
              </w:rPr>
              <w:t>2、主体工程</w:t>
            </w:r>
          </w:p>
          <w:p>
            <w:pPr>
              <w:pStyle w:val="97"/>
              <w:bidi w:val="0"/>
              <w:rPr>
                <w:rFonts w:hint="eastAsia" w:eastAsiaTheme="minorEastAsia"/>
              </w:rPr>
            </w:pPr>
            <w:r>
              <w:rPr>
                <w:rFonts w:hint="eastAsia"/>
              </w:rPr>
              <w:t>主体工程包括</w:t>
            </w:r>
            <w:r>
              <w:rPr>
                <w:rFonts w:hint="eastAsia"/>
                <w:lang w:eastAsia="zh-CN"/>
              </w:rPr>
              <w:t>加气站整体</w:t>
            </w:r>
            <w:r>
              <w:rPr>
                <w:rFonts w:hint="eastAsia"/>
              </w:rPr>
              <w:t>建设</w:t>
            </w:r>
            <w:r>
              <w:rPr>
                <w:rFonts w:hint="eastAsia"/>
                <w:lang w:eastAsia="zh-CN"/>
              </w:rPr>
              <w:t>（主要包括工艺装置区、加气作业区、站房值班区）</w:t>
            </w:r>
            <w:r>
              <w:rPr>
                <w:rFonts w:hint="eastAsia"/>
              </w:rPr>
              <w:t>、设备安装等，该过程将产生施工弃渣、施工废水、生活污水等。施工建设期间主要为基础</w:t>
            </w:r>
            <w:r>
              <w:rPr>
                <w:rFonts w:hint="eastAsia" w:eastAsiaTheme="minorEastAsia"/>
              </w:rPr>
              <w:t>工程、主体工程等施工产生的噪声、扬尘、固废、废水等。</w:t>
            </w:r>
          </w:p>
          <w:p>
            <w:pPr>
              <w:pStyle w:val="97"/>
              <w:bidi w:val="0"/>
              <w:rPr>
                <w:rFonts w:hint="eastAsia"/>
                <w:lang w:val="en-US" w:eastAsia="zh-CN"/>
              </w:rPr>
            </w:pPr>
            <w:r>
              <w:rPr>
                <w:rFonts w:hint="eastAsia"/>
                <w:lang w:val="en-US" w:eastAsia="zh-CN"/>
              </w:rPr>
              <w:t>装饰工程施工：</w:t>
            </w:r>
          </w:p>
          <w:p>
            <w:pPr>
              <w:pStyle w:val="97"/>
              <w:bidi w:val="0"/>
              <w:rPr>
                <w:rFonts w:hint="eastAsia"/>
              </w:rPr>
            </w:pPr>
            <w:r>
              <w:rPr>
                <w:rFonts w:hint="eastAsia"/>
              </w:rPr>
              <w:t>在对构筑物的室内外进行装修时（如表面粉刷、油漆、喷涂、裱糊、镶贴装饰等），钻机、电锤等产生噪声，油漆和喷涂产生废气、废弃物料及污水。</w:t>
            </w:r>
          </w:p>
          <w:p>
            <w:pPr>
              <w:pStyle w:val="97"/>
              <w:bidi w:val="0"/>
              <w:rPr>
                <w:rFonts w:hint="eastAsia"/>
                <w:lang w:val="en-US" w:eastAsia="zh-CN"/>
              </w:rPr>
            </w:pPr>
            <w:r>
              <w:rPr>
                <w:rFonts w:hint="eastAsia"/>
                <w:lang w:val="en-US" w:eastAsia="zh-CN"/>
              </w:rPr>
              <w:t>项目在施工期以施工噪声、施工扬尘、废弃物料（建筑弃渣及其它废料）和废水为主要污染物。</w:t>
            </w:r>
          </w:p>
          <w:p>
            <w:pPr>
              <w:pStyle w:val="94"/>
              <w:spacing w:line="360" w:lineRule="auto"/>
              <w:rPr>
                <w:rFonts w:ascii="Times New Roman" w:eastAsiaTheme="minorEastAsia"/>
                <w:b/>
              </w:rPr>
            </w:pPr>
            <w:r>
              <w:rPr>
                <w:rFonts w:hint="eastAsia" w:ascii="Times New Roman" w:eastAsiaTheme="minorEastAsia"/>
                <w:b/>
              </w:rPr>
              <w:t>二、运营期工艺流程简述</w:t>
            </w:r>
          </w:p>
          <w:p>
            <w:pPr>
              <w:tabs>
                <w:tab w:val="left" w:pos="7704"/>
              </w:tabs>
              <w:spacing w:line="360" w:lineRule="auto"/>
              <w:ind w:firstLine="470" w:firstLineChars="196"/>
              <w:rPr>
                <w:rFonts w:eastAsiaTheme="minorEastAsia"/>
                <w:sz w:val="24"/>
              </w:rPr>
            </w:pPr>
            <w:r>
              <w:rPr>
                <w:rFonts w:hint="eastAsia" w:eastAsiaTheme="minorEastAsia"/>
                <w:sz w:val="24"/>
                <w:lang w:eastAsia="zh-CN"/>
              </w:rPr>
              <w:t>本项目加气站运营期工艺流程见下图</w:t>
            </w:r>
            <w:r>
              <w:rPr>
                <w:rFonts w:hint="eastAsia" w:eastAsiaTheme="minorEastAsia"/>
                <w:sz w:val="24"/>
              </w:rPr>
              <w:t>：</w:t>
            </w:r>
          </w:p>
          <w:p>
            <w:pPr>
              <w:tabs>
                <w:tab w:val="left" w:pos="7704"/>
              </w:tabs>
              <w:rPr>
                <w:rFonts w:eastAsiaTheme="minorEastAsia"/>
                <w:sz w:val="24"/>
              </w:rPr>
            </w:pPr>
            <w:r>
              <w:rPr>
                <w:rFonts w:eastAsiaTheme="minorEastAsia"/>
                <w:sz w:val="24"/>
              </w:rPr>
              <w:drawing>
                <wp:anchor distT="0" distB="0" distL="114300" distR="114300" simplePos="0" relativeHeight="251660288" behindDoc="0" locked="0" layoutInCell="1" allowOverlap="1">
                  <wp:simplePos x="0" y="0"/>
                  <wp:positionH relativeFrom="column">
                    <wp:posOffset>533400</wp:posOffset>
                  </wp:positionH>
                  <wp:positionV relativeFrom="paragraph">
                    <wp:posOffset>26670</wp:posOffset>
                  </wp:positionV>
                  <wp:extent cx="4609465" cy="1685925"/>
                  <wp:effectExtent l="0" t="0" r="635" b="9525"/>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4"/>
                          <a:stretch>
                            <a:fillRect/>
                          </a:stretch>
                        </pic:blipFill>
                        <pic:spPr>
                          <a:xfrm>
                            <a:off x="0" y="0"/>
                            <a:ext cx="4609465" cy="1685925"/>
                          </a:xfrm>
                          <a:prstGeom prst="rect">
                            <a:avLst/>
                          </a:prstGeom>
                          <a:noFill/>
                          <a:ln>
                            <a:noFill/>
                          </a:ln>
                        </pic:spPr>
                      </pic:pic>
                    </a:graphicData>
                  </a:graphic>
                </wp:anchor>
              </w:drawing>
            </w: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rPr>
                <w:rFonts w:eastAsiaTheme="minorEastAsia"/>
                <w:sz w:val="24"/>
              </w:rPr>
            </w:pPr>
          </w:p>
          <w:p>
            <w:pPr>
              <w:tabs>
                <w:tab w:val="left" w:pos="7704"/>
              </w:tabs>
              <w:spacing w:line="360" w:lineRule="auto"/>
              <w:jc w:val="center"/>
              <w:rPr>
                <w:rFonts w:eastAsiaTheme="minorEastAsia"/>
                <w:sz w:val="24"/>
              </w:rPr>
            </w:pPr>
            <w:r>
              <w:rPr>
                <w:rFonts w:hint="eastAsia" w:eastAsiaTheme="minorEastAsia"/>
                <w:b/>
                <w:bCs/>
                <w:sz w:val="24"/>
              </w:rPr>
              <w:t>图5-</w:t>
            </w:r>
            <w:r>
              <w:rPr>
                <w:rFonts w:eastAsiaTheme="minorEastAsia"/>
                <w:b/>
                <w:bCs/>
                <w:sz w:val="24"/>
              </w:rPr>
              <w:t>2</w:t>
            </w:r>
            <w:r>
              <w:rPr>
                <w:rFonts w:hint="eastAsia" w:eastAsiaTheme="minorEastAsia"/>
                <w:b/>
                <w:bCs/>
                <w:sz w:val="24"/>
              </w:rPr>
              <w:t xml:space="preserve"> 运营期工艺流程及产污分布图</w:t>
            </w:r>
          </w:p>
          <w:p>
            <w:pPr>
              <w:tabs>
                <w:tab w:val="left" w:pos="7704"/>
              </w:tabs>
              <w:spacing w:line="360" w:lineRule="auto"/>
              <w:ind w:firstLine="472" w:firstLineChars="196"/>
              <w:rPr>
                <w:rFonts w:eastAsiaTheme="minorEastAsia"/>
                <w:b/>
                <w:bCs/>
                <w:sz w:val="24"/>
              </w:rPr>
            </w:pPr>
            <w:r>
              <w:rPr>
                <w:rFonts w:hint="eastAsia" w:eastAsiaTheme="minorEastAsia"/>
                <w:b/>
                <w:bCs/>
                <w:sz w:val="24"/>
              </w:rPr>
              <w:t>工艺流程简述：</w:t>
            </w:r>
          </w:p>
          <w:p>
            <w:pPr>
              <w:pStyle w:val="97"/>
              <w:bidi w:val="0"/>
              <w:rPr>
                <w:rFonts w:hint="eastAsia"/>
                <w:lang w:val="en-US" w:eastAsia="zh-CN"/>
              </w:rPr>
            </w:pPr>
            <w:r>
              <w:rPr>
                <w:rFonts w:hint="eastAsia"/>
                <w:lang w:val="en-US" w:eastAsia="zh-CN"/>
              </w:rPr>
              <w:t>LNG加气站由卸车（接收）流程、升压流程、加注流程和泄压流程组成。</w:t>
            </w:r>
          </w:p>
          <w:p>
            <w:pPr>
              <w:pStyle w:val="97"/>
              <w:numPr>
                <w:ilvl w:val="0"/>
                <w:numId w:val="2"/>
              </w:numPr>
              <w:bidi w:val="0"/>
              <w:rPr>
                <w:rFonts w:hint="eastAsia"/>
                <w:lang w:val="en-US" w:eastAsia="zh-CN"/>
              </w:rPr>
            </w:pPr>
            <w:r>
              <w:rPr>
                <w:rFonts w:hint="eastAsia"/>
                <w:lang w:val="en-US" w:eastAsia="zh-CN"/>
              </w:rPr>
              <w:t>卸车（接收）流程</w:t>
            </w:r>
          </w:p>
          <w:p>
            <w:pPr>
              <w:pStyle w:val="97"/>
              <w:bidi w:val="0"/>
              <w:rPr>
                <w:rFonts w:hint="default"/>
                <w:lang w:val="en-US" w:eastAsia="zh-CN"/>
              </w:rPr>
            </w:pPr>
            <w:r>
              <w:rPr>
                <w:rFonts w:hint="default"/>
                <w:lang w:val="en-US" w:eastAsia="zh-CN"/>
              </w:rPr>
              <w:t>液化天然气槽车到站后，</w:t>
            </w:r>
            <w:r>
              <w:rPr>
                <w:rFonts w:hint="eastAsia"/>
                <w:lang w:val="en-US" w:eastAsia="zh-CN"/>
              </w:rPr>
              <w:t>先将LNG槽车和LNG储罐的气相空间连通，</w:t>
            </w:r>
            <w:r>
              <w:rPr>
                <w:rFonts w:hint="default"/>
                <w:lang w:val="en-US" w:eastAsia="zh-CN"/>
              </w:rPr>
              <w:t>利用卸车增压器或潜液泵对槽车进行升压，使槽车与LNG储罐之间形成一定的压差，利用此压差将槽车中的LNG卸入LNG储罐内进行缓冲、存储，完成进站LNG接收。</w:t>
            </w:r>
          </w:p>
          <w:p>
            <w:pPr>
              <w:pStyle w:val="97"/>
              <w:numPr>
                <w:ilvl w:val="0"/>
                <w:numId w:val="2"/>
              </w:numPr>
              <w:bidi w:val="0"/>
              <w:rPr>
                <w:rFonts w:hint="default"/>
                <w:lang w:val="en-US" w:eastAsia="zh-CN"/>
              </w:rPr>
            </w:pPr>
            <w:r>
              <w:rPr>
                <w:rFonts w:hint="eastAsia"/>
                <w:lang w:val="en-US" w:eastAsia="zh-CN"/>
              </w:rPr>
              <w:t>升压流程</w:t>
            </w:r>
          </w:p>
          <w:p>
            <w:pPr>
              <w:pStyle w:val="97"/>
              <w:bidi w:val="0"/>
              <w:rPr>
                <w:rFonts w:hint="default"/>
                <w:lang w:val="en-US" w:eastAsia="zh-CN"/>
              </w:rPr>
            </w:pPr>
            <w:r>
              <w:rPr>
                <w:rFonts w:hint="default"/>
                <w:lang w:val="en-US" w:eastAsia="zh-CN"/>
              </w:rPr>
              <w:t>LNG的汽车发动机需要车载气瓶内饱和液体压力较高，一般在1.0～1.2MPa，而运输和储存需要LNG饱和液体压力越低越好。所以在给汽车加气之前须对LNG储罐中的LNG进行升压。LNG加气站储罐升压的目的是得到一定压力的饱和液体，在升压的同时饱和温度相应升高。LNG加气站的升压方式有两种：一种是通过自增压器升压，另一种是通过LNG增压泵进行升压。</w:t>
            </w:r>
            <w:r>
              <w:rPr>
                <w:rFonts w:hint="eastAsia"/>
                <w:lang w:val="en-US" w:eastAsia="zh-CN"/>
              </w:rPr>
              <w:t>本工程设计</w:t>
            </w:r>
            <w:r>
              <w:rPr>
                <w:rFonts w:hint="default"/>
                <w:lang w:val="en-US" w:eastAsia="zh-CN"/>
              </w:rPr>
              <w:t>采用两种方式相结合。利用LNG低温潜液泵能在很短时间内完成LNG增压，可缩短加气时间，自增压升压系统备用。</w:t>
            </w:r>
          </w:p>
          <w:p>
            <w:pPr>
              <w:pStyle w:val="97"/>
              <w:numPr>
                <w:ilvl w:val="0"/>
                <w:numId w:val="2"/>
              </w:numPr>
              <w:bidi w:val="0"/>
              <w:rPr>
                <w:rFonts w:hint="default"/>
                <w:lang w:val="en-US" w:eastAsia="zh-CN"/>
              </w:rPr>
            </w:pPr>
            <w:r>
              <w:rPr>
                <w:rFonts w:hint="eastAsia"/>
                <w:lang w:val="en-US" w:eastAsia="zh-CN"/>
              </w:rPr>
              <w:t>LNG加注流程</w:t>
            </w:r>
          </w:p>
          <w:p>
            <w:pPr>
              <w:pStyle w:val="97"/>
              <w:bidi w:val="0"/>
              <w:rPr>
                <w:rFonts w:hint="default"/>
                <w:lang w:val="en-US" w:eastAsia="zh-CN"/>
              </w:rPr>
            </w:pPr>
            <w:r>
              <w:rPr>
                <w:rFonts w:hint="default"/>
                <w:lang w:val="en-US" w:eastAsia="zh-CN"/>
              </w:rPr>
              <w:t>给 LNG 车辆加气时，先将加注管路通过专用的 LNG 加气枪与汽车上的LNG瓶进液接口相连接，通过加注控制系统利用LNG潜液泵将储罐内的LNG经 LNG 加气机加注到 LNG 汽车的车载瓶中，LNG 汽车的车载瓶中的气相可以通过回气管输送回 LNG 储罐。LNG 加气机内的流量计对加注到车载瓶中的 LNG 和返回 LNG 储罐的低温气体分别进行计量。车载储气瓶为上进液采用喷淋式，加进去的 LNG 直接吸收车载气瓶内气体的热量，使瓶内压力降低，减少放空气体，并提高了加气速度。</w:t>
            </w:r>
          </w:p>
          <w:p>
            <w:pPr>
              <w:pStyle w:val="97"/>
              <w:numPr>
                <w:ilvl w:val="0"/>
                <w:numId w:val="2"/>
              </w:numPr>
              <w:bidi w:val="0"/>
              <w:rPr>
                <w:rFonts w:hint="default"/>
                <w:lang w:val="en-US" w:eastAsia="zh-CN"/>
              </w:rPr>
            </w:pPr>
            <w:r>
              <w:rPr>
                <w:rFonts w:hint="eastAsia"/>
                <w:lang w:val="en-US" w:eastAsia="zh-CN"/>
              </w:rPr>
              <w:t>泄压流程</w:t>
            </w:r>
          </w:p>
          <w:p>
            <w:pPr>
              <w:pStyle w:val="97"/>
              <w:bidi w:val="0"/>
              <w:rPr>
                <w:rFonts w:hint="default"/>
                <w:lang w:val="en-US" w:eastAsia="zh-CN"/>
              </w:rPr>
            </w:pPr>
            <w:r>
              <w:rPr>
                <w:rFonts w:hint="default"/>
                <w:lang w:val="en-US" w:eastAsia="zh-CN"/>
              </w:rPr>
              <w:t>系统漏热以及外界带进的热量致使 LNG 气化，产生的气体会使系统压力升高。为保证储罐和管道的安全，加气站内 LNG 储罐及每两端封闭的管段中均设有安全放散阀，当系统压力大于设定值时（LNG 储罐 1.38Mpa、加气系统 1.68MPa），系统中的安全阀打开，安全放散的气体或液体经空温式 EAG 加热器加热后通过放空管放空，降低压力，保证系统安全。放散管管口高度需高于 LNG 卧式储罐以及 12.0m 范围内的建筑 2.0m 且距地面不小于 5m。</w:t>
            </w:r>
          </w:p>
          <w:p>
            <w:pPr>
              <w:spacing w:line="360" w:lineRule="auto"/>
              <w:rPr>
                <w:rFonts w:eastAsiaTheme="minorEastAsia"/>
                <w:b/>
                <w:sz w:val="24"/>
              </w:rPr>
            </w:pPr>
            <w:r>
              <w:rPr>
                <w:rFonts w:hint="eastAsia" w:eastAsiaTheme="minorEastAsia"/>
                <w:b/>
                <w:sz w:val="24"/>
              </w:rPr>
              <w:t>三</w:t>
            </w:r>
            <w:r>
              <w:rPr>
                <w:rFonts w:eastAsiaTheme="minorEastAsia"/>
                <w:b/>
                <w:sz w:val="24"/>
              </w:rPr>
              <w:t>、主要污染工序</w:t>
            </w:r>
          </w:p>
          <w:p>
            <w:pPr>
              <w:spacing w:line="360" w:lineRule="auto"/>
              <w:ind w:firstLine="482" w:firstLineChars="200"/>
              <w:rPr>
                <w:rFonts w:eastAsiaTheme="minorEastAsia"/>
                <w:b/>
                <w:sz w:val="24"/>
              </w:rPr>
            </w:pPr>
            <w:bookmarkStart w:id="17" w:name="_Hlk6674571"/>
            <w:r>
              <w:rPr>
                <w:rFonts w:hint="eastAsia" w:eastAsiaTheme="minorEastAsia"/>
                <w:b/>
                <w:sz w:val="24"/>
              </w:rPr>
              <w:t>1、施工期主要污染工序</w:t>
            </w:r>
          </w:p>
          <w:p>
            <w:pPr>
              <w:spacing w:line="360" w:lineRule="auto"/>
              <w:ind w:firstLine="480" w:firstLineChars="200"/>
              <w:rPr>
                <w:rFonts w:eastAsiaTheme="minorEastAsia"/>
                <w:bCs/>
                <w:sz w:val="24"/>
              </w:rPr>
            </w:pPr>
            <w:r>
              <w:rPr>
                <w:rFonts w:hint="eastAsia" w:eastAsiaTheme="minorEastAsia"/>
                <w:bCs/>
                <w:sz w:val="24"/>
              </w:rPr>
              <w:t>废气：本项目在建设施工过程中，挖土、运土、填土过程中有扬尘产生。</w:t>
            </w:r>
          </w:p>
          <w:p>
            <w:pPr>
              <w:spacing w:line="360" w:lineRule="auto"/>
              <w:ind w:firstLine="480" w:firstLineChars="200"/>
              <w:rPr>
                <w:rFonts w:eastAsiaTheme="minorEastAsia"/>
                <w:bCs/>
                <w:sz w:val="24"/>
              </w:rPr>
            </w:pPr>
            <w:r>
              <w:rPr>
                <w:rFonts w:hint="eastAsia" w:eastAsiaTheme="minorEastAsia"/>
                <w:bCs/>
                <w:sz w:val="24"/>
              </w:rPr>
              <w:t>废水：主要为工地生活污水</w:t>
            </w:r>
            <w:r>
              <w:rPr>
                <w:rFonts w:hint="eastAsia" w:eastAsiaTheme="minorEastAsia"/>
                <w:bCs/>
                <w:sz w:val="24"/>
                <w:lang w:eastAsia="zh-CN"/>
              </w:rPr>
              <w:t>和建筑废水</w:t>
            </w:r>
            <w:r>
              <w:rPr>
                <w:rFonts w:hint="eastAsia" w:eastAsiaTheme="minorEastAsia"/>
                <w:bCs/>
                <w:sz w:val="24"/>
              </w:rPr>
              <w:t>。</w:t>
            </w:r>
          </w:p>
          <w:p>
            <w:pPr>
              <w:spacing w:line="360" w:lineRule="auto"/>
              <w:ind w:firstLine="480" w:firstLineChars="200"/>
              <w:rPr>
                <w:rFonts w:eastAsiaTheme="minorEastAsia"/>
                <w:bCs/>
                <w:sz w:val="24"/>
              </w:rPr>
            </w:pPr>
            <w:r>
              <w:rPr>
                <w:rFonts w:hint="eastAsia" w:eastAsiaTheme="minorEastAsia"/>
                <w:bCs/>
                <w:sz w:val="24"/>
              </w:rPr>
              <w:t>固废：</w:t>
            </w:r>
            <w:r>
              <w:rPr>
                <w:rFonts w:hint="eastAsia" w:eastAsiaTheme="minorEastAsia"/>
                <w:bCs/>
                <w:sz w:val="24"/>
                <w:lang w:eastAsia="zh-CN"/>
              </w:rPr>
              <w:t>项目</w:t>
            </w:r>
            <w:r>
              <w:rPr>
                <w:rFonts w:hint="eastAsia" w:eastAsiaTheme="minorEastAsia"/>
                <w:bCs/>
                <w:sz w:val="24"/>
              </w:rPr>
              <w:t>施工期固体废弃物主要为</w:t>
            </w:r>
            <w:r>
              <w:rPr>
                <w:rFonts w:hint="eastAsia" w:eastAsiaTheme="minorEastAsia"/>
                <w:bCs/>
                <w:sz w:val="24"/>
                <w:lang w:eastAsia="zh-CN"/>
              </w:rPr>
              <w:t>建设</w:t>
            </w:r>
            <w:r>
              <w:rPr>
                <w:rFonts w:hint="eastAsia" w:eastAsiaTheme="minorEastAsia"/>
                <w:bCs/>
                <w:sz w:val="24"/>
              </w:rPr>
              <w:t>过程中产生的土石方及施工人员生活垃圾。</w:t>
            </w:r>
          </w:p>
          <w:p>
            <w:pPr>
              <w:spacing w:line="360" w:lineRule="auto"/>
              <w:ind w:firstLine="480" w:firstLineChars="200"/>
              <w:rPr>
                <w:rFonts w:eastAsiaTheme="minorEastAsia"/>
                <w:bCs/>
                <w:sz w:val="24"/>
              </w:rPr>
            </w:pPr>
            <w:r>
              <w:rPr>
                <w:rFonts w:hint="eastAsia" w:eastAsiaTheme="minorEastAsia"/>
                <w:bCs/>
                <w:sz w:val="24"/>
              </w:rPr>
              <w:t>噪声：本项目施工期主要进行场地平整，施工设备噪声主要为挖土机、推土机、运输车辆等运行过程中产生的噪声。</w:t>
            </w:r>
          </w:p>
          <w:p>
            <w:pPr>
              <w:spacing w:line="360" w:lineRule="auto"/>
              <w:ind w:firstLine="480" w:firstLineChars="200"/>
              <w:rPr>
                <w:rFonts w:eastAsiaTheme="minorEastAsia"/>
                <w:bCs/>
                <w:sz w:val="24"/>
              </w:rPr>
            </w:pPr>
            <w:r>
              <w:rPr>
                <w:rFonts w:hint="eastAsia" w:eastAsiaTheme="minorEastAsia"/>
                <w:bCs/>
                <w:sz w:val="24"/>
              </w:rPr>
              <w:t>生态：主要为水土流失。</w:t>
            </w:r>
          </w:p>
          <w:p>
            <w:pPr>
              <w:spacing w:line="360" w:lineRule="auto"/>
              <w:ind w:firstLine="482" w:firstLineChars="200"/>
              <w:rPr>
                <w:rFonts w:eastAsiaTheme="minorEastAsia"/>
                <w:b/>
                <w:sz w:val="24"/>
              </w:rPr>
            </w:pPr>
            <w:r>
              <w:rPr>
                <w:rFonts w:eastAsiaTheme="minorEastAsia"/>
                <w:b/>
                <w:sz w:val="24"/>
              </w:rPr>
              <w:t>2</w:t>
            </w:r>
            <w:r>
              <w:rPr>
                <w:rFonts w:hint="eastAsia" w:eastAsiaTheme="minorEastAsia"/>
                <w:b/>
                <w:sz w:val="24"/>
              </w:rPr>
              <w:t>、运营期主要污染工序</w:t>
            </w:r>
          </w:p>
          <w:bookmarkEnd w:id="17"/>
          <w:p>
            <w:pPr>
              <w:pStyle w:val="97"/>
              <w:bidi w:val="0"/>
              <w:ind w:left="479" w:leftChars="228" w:firstLine="0" w:firstLineChars="0"/>
              <w:rPr>
                <w:rFonts w:eastAsiaTheme="minorEastAsia"/>
                <w:sz w:val="24"/>
              </w:rPr>
            </w:pPr>
            <w:r>
              <w:rPr>
                <w:rFonts w:hint="eastAsia" w:eastAsiaTheme="minorEastAsia"/>
                <w:sz w:val="24"/>
              </w:rPr>
              <w:t>废气：</w:t>
            </w:r>
            <w:r>
              <w:rPr>
                <w:rFonts w:hint="eastAsia" w:eastAsiaTheme="minorEastAsia"/>
                <w:sz w:val="24"/>
                <w:lang w:eastAsia="zh-CN"/>
              </w:rPr>
              <w:t>主要为卸车作业无组织排放、系统超压放散排放和加气时泄露的少量天然气。</w:t>
            </w:r>
            <w:r>
              <w:rPr>
                <w:rStyle w:val="191"/>
                <w:rFonts w:hint="eastAsia"/>
              </w:rPr>
              <w:t>废水：</w:t>
            </w:r>
            <w:r>
              <w:rPr>
                <w:rStyle w:val="191"/>
                <w:rFonts w:hint="eastAsia"/>
                <w:lang w:eastAsia="zh-CN"/>
              </w:rPr>
              <w:t>本项目运营过程中产生的废水主要为场地冲洗废水和生活污水。</w:t>
            </w:r>
          </w:p>
          <w:p>
            <w:pPr>
              <w:spacing w:line="360" w:lineRule="auto"/>
              <w:ind w:firstLine="480" w:firstLineChars="200"/>
              <w:rPr>
                <w:rFonts w:hint="eastAsia" w:eastAsiaTheme="minorEastAsia"/>
                <w:sz w:val="24"/>
                <w:lang w:eastAsia="zh-CN"/>
              </w:rPr>
            </w:pPr>
            <w:r>
              <w:rPr>
                <w:rFonts w:hint="eastAsia" w:eastAsiaTheme="minorEastAsia"/>
                <w:sz w:val="24"/>
              </w:rPr>
              <w:t>噪声：</w:t>
            </w:r>
            <w:r>
              <w:rPr>
                <w:rFonts w:hint="eastAsia" w:eastAsiaTheme="minorEastAsia"/>
                <w:sz w:val="24"/>
                <w:lang w:eastAsia="zh-CN"/>
              </w:rPr>
              <w:t>主要为加气站设备噪声、车辆进出行驶噪声、人员活动噪声等。</w:t>
            </w:r>
          </w:p>
          <w:p>
            <w:pPr>
              <w:spacing w:line="360" w:lineRule="auto"/>
              <w:ind w:firstLine="480" w:firstLineChars="200"/>
              <w:rPr>
                <w:rFonts w:hint="eastAsia" w:eastAsiaTheme="minorEastAsia"/>
                <w:sz w:val="24"/>
                <w:lang w:eastAsia="zh-CN"/>
              </w:rPr>
            </w:pPr>
            <w:r>
              <w:rPr>
                <w:rFonts w:hint="eastAsia" w:eastAsiaTheme="minorEastAsia"/>
                <w:sz w:val="24"/>
              </w:rPr>
              <w:t>固废：主要为生活垃圾</w:t>
            </w:r>
            <w:r>
              <w:rPr>
                <w:rFonts w:hint="eastAsia" w:eastAsiaTheme="minorEastAsia"/>
                <w:sz w:val="24"/>
                <w:lang w:eastAsia="zh-CN"/>
              </w:rPr>
              <w:t>。</w:t>
            </w:r>
          </w:p>
          <w:p>
            <w:pPr>
              <w:spacing w:line="360" w:lineRule="auto"/>
              <w:rPr>
                <w:rFonts w:hint="eastAsia" w:eastAsiaTheme="minorEastAsia"/>
                <w:b/>
                <w:sz w:val="24"/>
              </w:rPr>
            </w:pPr>
          </w:p>
          <w:p>
            <w:pPr>
              <w:spacing w:line="360" w:lineRule="auto"/>
              <w:rPr>
                <w:rFonts w:eastAsiaTheme="minorEastAsia"/>
                <w:b/>
                <w:sz w:val="24"/>
              </w:rPr>
            </w:pPr>
            <w:r>
              <w:rPr>
                <w:rFonts w:hint="eastAsia" w:eastAsiaTheme="minorEastAsia"/>
                <w:b/>
                <w:sz w:val="24"/>
              </w:rPr>
              <w:t>四</w:t>
            </w:r>
            <w:r>
              <w:rPr>
                <w:rFonts w:eastAsiaTheme="minorEastAsia"/>
                <w:b/>
                <w:sz w:val="24"/>
              </w:rPr>
              <w:t>、</w:t>
            </w:r>
            <w:r>
              <w:rPr>
                <w:rFonts w:hint="eastAsia" w:eastAsiaTheme="minorEastAsia"/>
                <w:b/>
                <w:sz w:val="24"/>
              </w:rPr>
              <w:t>水平衡分析</w:t>
            </w:r>
          </w:p>
          <w:p>
            <w:pPr>
              <w:spacing w:line="360" w:lineRule="auto"/>
              <w:ind w:firstLine="480" w:firstLineChars="200"/>
              <w:rPr>
                <w:rFonts w:cs="宋体"/>
                <w:sz w:val="24"/>
                <w:szCs w:val="20"/>
              </w:rPr>
            </w:pPr>
            <w:r>
              <w:rPr>
                <w:rFonts w:hint="eastAsia" w:cs="宋体"/>
                <w:sz w:val="24"/>
                <w:szCs w:val="20"/>
              </w:rPr>
              <w:t>本项目</w:t>
            </w:r>
            <w:r>
              <w:rPr>
                <w:rFonts w:hint="eastAsia" w:cs="宋体"/>
                <w:sz w:val="24"/>
                <w:szCs w:val="20"/>
                <w:lang w:eastAsia="zh-CN"/>
              </w:rPr>
              <w:t>主要从事机动车</w:t>
            </w:r>
            <w:r>
              <w:rPr>
                <w:rFonts w:hint="eastAsia" w:cs="宋体"/>
                <w:sz w:val="24"/>
                <w:szCs w:val="20"/>
                <w:lang w:val="en-US" w:eastAsia="zh-CN"/>
              </w:rPr>
              <w:t>LNG加气站零售</w:t>
            </w:r>
            <w:r>
              <w:rPr>
                <w:rFonts w:hint="eastAsia" w:cs="宋体"/>
                <w:sz w:val="24"/>
                <w:szCs w:val="20"/>
              </w:rPr>
              <w:t>，项目用水主要为生活用水、</w:t>
            </w:r>
            <w:r>
              <w:rPr>
                <w:rFonts w:hint="eastAsia" w:cs="宋体"/>
                <w:sz w:val="24"/>
                <w:szCs w:val="20"/>
                <w:lang w:eastAsia="zh-CN"/>
              </w:rPr>
              <w:t>绿化用水和地面冲洗用水</w:t>
            </w:r>
            <w:r>
              <w:rPr>
                <w:rFonts w:cs="宋体"/>
                <w:sz w:val="24"/>
                <w:szCs w:val="20"/>
              </w:rPr>
              <w:t>等</w:t>
            </w:r>
            <w:r>
              <w:rPr>
                <w:rFonts w:hint="eastAsia" w:cs="宋体"/>
                <w:sz w:val="24"/>
                <w:szCs w:val="20"/>
              </w:rPr>
              <w:t>。</w:t>
            </w:r>
          </w:p>
          <w:p>
            <w:pPr>
              <w:spacing w:line="360" w:lineRule="auto"/>
              <w:ind w:firstLine="480" w:firstLineChars="200"/>
              <w:contextualSpacing/>
              <w:rPr>
                <w:rFonts w:eastAsiaTheme="minorEastAsia"/>
                <w:sz w:val="24"/>
              </w:rPr>
            </w:pPr>
            <w:r>
              <w:rPr>
                <w:rFonts w:hint="eastAsia" w:eastAsiaTheme="minorEastAsia"/>
                <w:sz w:val="24"/>
              </w:rPr>
              <w:t>1）生活污水</w:t>
            </w:r>
          </w:p>
          <w:p>
            <w:pPr>
              <w:spacing w:line="360" w:lineRule="auto"/>
              <w:ind w:firstLine="480" w:firstLineChars="200"/>
              <w:contextualSpacing/>
              <w:rPr>
                <w:rFonts w:eastAsiaTheme="minorEastAsia"/>
                <w:sz w:val="24"/>
              </w:rPr>
            </w:pPr>
            <w:r>
              <w:rPr>
                <w:rFonts w:hint="eastAsia" w:eastAsiaTheme="minorEastAsia"/>
                <w:sz w:val="24"/>
                <w:lang w:eastAsia="zh-CN"/>
              </w:rPr>
              <w:t>项目建成后，</w:t>
            </w:r>
            <w:r>
              <w:rPr>
                <w:rFonts w:hint="eastAsia" w:eastAsiaTheme="minorEastAsia"/>
                <w:sz w:val="24"/>
              </w:rPr>
              <w:t>劳动定员为</w:t>
            </w:r>
            <w:r>
              <w:rPr>
                <w:rFonts w:hint="eastAsia" w:eastAsiaTheme="minorEastAsia"/>
                <w:sz w:val="24"/>
                <w:lang w:val="en-US" w:eastAsia="zh-CN"/>
              </w:rPr>
              <w:t>12</w:t>
            </w:r>
            <w:r>
              <w:rPr>
                <w:rFonts w:hint="eastAsia" w:eastAsiaTheme="minorEastAsia"/>
                <w:sz w:val="24"/>
              </w:rPr>
              <w:t>人，用水定额50L/(人•d)，其用水量为</w:t>
            </w:r>
            <w:r>
              <w:rPr>
                <w:rFonts w:hint="eastAsia" w:eastAsiaTheme="minorEastAsia"/>
                <w:sz w:val="24"/>
                <w:lang w:val="en-US" w:eastAsia="zh-CN"/>
              </w:rPr>
              <w:t>0.6</w:t>
            </w:r>
            <w:r>
              <w:rPr>
                <w:rFonts w:hint="eastAsia" w:eastAsiaTheme="minorEastAsia"/>
                <w:sz w:val="24"/>
              </w:rPr>
              <w:t>m</w:t>
            </w:r>
            <w:r>
              <w:rPr>
                <w:rFonts w:hint="eastAsia" w:eastAsiaTheme="minorEastAsia"/>
                <w:sz w:val="24"/>
                <w:vertAlign w:val="superscript"/>
              </w:rPr>
              <w:t>3</w:t>
            </w:r>
            <w:r>
              <w:rPr>
                <w:rFonts w:hint="eastAsia" w:eastAsiaTheme="minorEastAsia"/>
                <w:sz w:val="24"/>
              </w:rPr>
              <w:t>/d，生活污水产生量为0.</w:t>
            </w:r>
            <w:r>
              <w:rPr>
                <w:rFonts w:hint="eastAsia" w:eastAsiaTheme="minorEastAsia"/>
                <w:sz w:val="24"/>
                <w:lang w:val="en-US" w:eastAsia="zh-CN"/>
              </w:rPr>
              <w:t>51</w:t>
            </w:r>
            <w:r>
              <w:rPr>
                <w:rFonts w:hint="eastAsia" w:eastAsiaTheme="minorEastAsia"/>
                <w:sz w:val="24"/>
              </w:rPr>
              <w:t>m</w:t>
            </w:r>
            <w:r>
              <w:rPr>
                <w:rFonts w:hint="eastAsia" w:eastAsiaTheme="minorEastAsia"/>
                <w:sz w:val="24"/>
                <w:vertAlign w:val="superscript"/>
              </w:rPr>
              <w:t>3</w:t>
            </w:r>
            <w:r>
              <w:rPr>
                <w:rFonts w:hint="eastAsia" w:eastAsiaTheme="minorEastAsia"/>
                <w:sz w:val="24"/>
              </w:rPr>
              <w:t>/d（</w:t>
            </w:r>
            <w:r>
              <w:rPr>
                <w:rFonts w:hint="eastAsia" w:eastAsiaTheme="minorEastAsia"/>
                <w:sz w:val="24"/>
                <w:lang w:val="en-US" w:eastAsia="zh-CN"/>
              </w:rPr>
              <w:t>186</w:t>
            </w:r>
            <w:r>
              <w:rPr>
                <w:rFonts w:hint="eastAsia" w:eastAsiaTheme="minorEastAsia"/>
                <w:sz w:val="24"/>
              </w:rPr>
              <w:t>m</w:t>
            </w:r>
            <w:r>
              <w:rPr>
                <w:rFonts w:hint="eastAsia" w:eastAsiaTheme="minorEastAsia"/>
                <w:sz w:val="24"/>
                <w:vertAlign w:val="superscript"/>
              </w:rPr>
              <w:t>3</w:t>
            </w:r>
            <w:r>
              <w:rPr>
                <w:rFonts w:hint="eastAsia" w:eastAsiaTheme="minorEastAsia"/>
                <w:sz w:val="24"/>
              </w:rPr>
              <w:t>/a），生活污水中主要污染物为COD、BOD</w:t>
            </w:r>
            <w:r>
              <w:rPr>
                <w:rFonts w:hint="eastAsia" w:eastAsiaTheme="minorEastAsia"/>
                <w:sz w:val="24"/>
                <w:vertAlign w:val="subscript"/>
              </w:rPr>
              <w:t>5</w:t>
            </w:r>
            <w:r>
              <w:rPr>
                <w:rFonts w:hint="eastAsia" w:eastAsiaTheme="minorEastAsia"/>
                <w:sz w:val="24"/>
              </w:rPr>
              <w:t>、NH</w:t>
            </w:r>
            <w:r>
              <w:rPr>
                <w:rFonts w:hint="eastAsia" w:eastAsiaTheme="minorEastAsia"/>
                <w:sz w:val="24"/>
                <w:vertAlign w:val="subscript"/>
              </w:rPr>
              <w:t>3</w:t>
            </w:r>
            <w:r>
              <w:rPr>
                <w:rFonts w:hint="eastAsia" w:eastAsiaTheme="minorEastAsia"/>
                <w:sz w:val="24"/>
              </w:rPr>
              <w:t>-N、SS、动植物油等，其浓度分别为</w:t>
            </w:r>
            <w:r>
              <w:rPr>
                <w:rFonts w:hint="eastAsia" w:eastAsiaTheme="minorEastAsia"/>
                <w:color w:val="auto"/>
                <w:sz w:val="24"/>
              </w:rPr>
              <w:t>350mg/L、200mg/L、35mg/L、180mg/L、20mg/L。</w:t>
            </w:r>
          </w:p>
          <w:p>
            <w:pPr>
              <w:spacing w:line="360" w:lineRule="auto"/>
              <w:ind w:firstLine="480" w:firstLineChars="200"/>
              <w:contextualSpacing/>
              <w:rPr>
                <w:rFonts w:eastAsiaTheme="minorEastAsia"/>
                <w:sz w:val="24"/>
              </w:rPr>
            </w:pPr>
            <w:r>
              <w:rPr>
                <w:rFonts w:hint="eastAsia" w:eastAsiaTheme="minorEastAsia"/>
                <w:sz w:val="24"/>
              </w:rPr>
              <w:t>治理措施：本项目</w:t>
            </w:r>
            <w:r>
              <w:rPr>
                <w:rFonts w:hint="eastAsia" w:eastAsiaTheme="minorEastAsia"/>
                <w:sz w:val="24"/>
                <w:lang w:eastAsia="zh-CN"/>
              </w:rPr>
              <w:t>修建化粪池</w:t>
            </w:r>
            <w:r>
              <w:rPr>
                <w:rFonts w:hint="eastAsia" w:eastAsiaTheme="minorEastAsia"/>
                <w:sz w:val="24"/>
              </w:rPr>
              <w:t>，生活污水</w:t>
            </w:r>
            <w:r>
              <w:rPr>
                <w:rFonts w:hint="eastAsia" w:eastAsiaTheme="minorEastAsia"/>
                <w:sz w:val="24"/>
                <w:lang w:eastAsia="zh-CN"/>
              </w:rPr>
              <w:t>经</w:t>
            </w:r>
            <w:r>
              <w:rPr>
                <w:rFonts w:hint="eastAsia" w:eastAsiaTheme="minorEastAsia"/>
                <w:sz w:val="24"/>
              </w:rPr>
              <w:t>化粪池（容积约</w:t>
            </w:r>
            <w:r>
              <w:rPr>
                <w:rFonts w:hint="eastAsia" w:eastAsiaTheme="minorEastAsia"/>
                <w:sz w:val="24"/>
                <w:lang w:val="en-US" w:eastAsia="zh-CN"/>
              </w:rPr>
              <w:t>20</w:t>
            </w:r>
            <w:r>
              <w:rPr>
                <w:rFonts w:hint="eastAsia" w:eastAsiaTheme="minorEastAsia"/>
                <w:sz w:val="24"/>
              </w:rPr>
              <w:t>m</w:t>
            </w:r>
            <w:r>
              <w:rPr>
                <w:rFonts w:hint="eastAsia" w:eastAsiaTheme="minorEastAsia"/>
                <w:sz w:val="24"/>
                <w:vertAlign w:val="superscript"/>
              </w:rPr>
              <w:t>3</w:t>
            </w:r>
            <w:r>
              <w:rPr>
                <w:rFonts w:hint="eastAsia" w:eastAsiaTheme="minorEastAsia"/>
                <w:sz w:val="24"/>
              </w:rPr>
              <w:t>）处理后用作周边农田、林地农肥，不外排。</w:t>
            </w:r>
          </w:p>
          <w:p>
            <w:pPr>
              <w:spacing w:line="360" w:lineRule="auto"/>
              <w:ind w:firstLine="480" w:firstLineChars="200"/>
              <w:contextualSpacing/>
              <w:rPr>
                <w:rFonts w:hint="eastAsia" w:eastAsiaTheme="minorEastAsia"/>
                <w:sz w:val="24"/>
                <w:lang w:eastAsia="zh-CN"/>
              </w:rPr>
            </w:pPr>
            <w:r>
              <w:rPr>
                <w:rFonts w:hint="eastAsia" w:eastAsiaTheme="minorEastAsia"/>
                <w:sz w:val="24"/>
              </w:rPr>
              <w:t>2）</w:t>
            </w:r>
            <w:r>
              <w:rPr>
                <w:rFonts w:hint="eastAsia" w:eastAsiaTheme="minorEastAsia"/>
                <w:sz w:val="24"/>
                <w:lang w:eastAsia="zh-CN"/>
              </w:rPr>
              <w:t>绿化用水</w:t>
            </w:r>
          </w:p>
          <w:p>
            <w:pPr>
              <w:spacing w:line="360" w:lineRule="auto"/>
              <w:ind w:firstLine="480" w:firstLineChars="200"/>
              <w:rPr>
                <w:rFonts w:hint="eastAsia" w:eastAsia="宋体"/>
                <w:sz w:val="24"/>
                <w:szCs w:val="18"/>
                <w:lang w:eastAsia="zh-CN"/>
              </w:rPr>
            </w:pPr>
            <w:r>
              <w:rPr>
                <w:sz w:val="24"/>
                <w:szCs w:val="18"/>
              </w:rPr>
              <w:t>绿化用水定额按</w:t>
            </w:r>
            <w:r>
              <w:rPr>
                <w:rFonts w:hint="eastAsia"/>
                <w:sz w:val="24"/>
                <w:szCs w:val="18"/>
                <w:lang w:val="en-US" w:eastAsia="zh-CN"/>
              </w:rPr>
              <w:t>2</w:t>
            </w:r>
            <w:r>
              <w:rPr>
                <w:sz w:val="24"/>
                <w:szCs w:val="18"/>
              </w:rPr>
              <w:t>.</w:t>
            </w:r>
            <w:r>
              <w:rPr>
                <w:rFonts w:hint="eastAsia"/>
                <w:sz w:val="24"/>
                <w:szCs w:val="18"/>
              </w:rPr>
              <w:t>0</w:t>
            </w:r>
            <w:r>
              <w:rPr>
                <w:sz w:val="24"/>
                <w:szCs w:val="18"/>
              </w:rPr>
              <w:t xml:space="preserve"> L/</w:t>
            </w:r>
            <w:r>
              <w:rPr>
                <w:rFonts w:hint="eastAsia"/>
                <w:sz w:val="24"/>
                <w:szCs w:val="18"/>
                <w:lang w:eastAsia="zh-CN"/>
              </w:rPr>
              <w:t>（</w:t>
            </w:r>
            <w:r>
              <w:rPr>
                <w:sz w:val="24"/>
                <w:szCs w:val="18"/>
              </w:rPr>
              <w:t>m</w:t>
            </w:r>
            <w:r>
              <w:rPr>
                <w:sz w:val="24"/>
                <w:szCs w:val="18"/>
                <w:vertAlign w:val="superscript"/>
              </w:rPr>
              <w:t>2</w:t>
            </w:r>
            <w:r>
              <w:rPr>
                <w:sz w:val="24"/>
                <w:szCs w:val="18"/>
              </w:rPr>
              <w:t>·</w:t>
            </w:r>
            <w:r>
              <w:rPr>
                <w:rFonts w:hint="eastAsia"/>
                <w:sz w:val="24"/>
                <w:szCs w:val="18"/>
                <w:lang w:val="en-US" w:eastAsia="zh-CN"/>
              </w:rPr>
              <w:t>d）</w:t>
            </w:r>
            <w:r>
              <w:rPr>
                <w:sz w:val="24"/>
                <w:szCs w:val="18"/>
              </w:rPr>
              <w:t>计，每日浇洒一次，</w:t>
            </w:r>
            <w:r>
              <w:rPr>
                <w:rFonts w:hint="eastAsia"/>
                <w:sz w:val="24"/>
                <w:szCs w:val="18"/>
                <w:lang w:eastAsia="zh-CN"/>
              </w:rPr>
              <w:t>绿化面积为</w:t>
            </w:r>
            <w:r>
              <w:rPr>
                <w:rFonts w:hint="eastAsia"/>
                <w:sz w:val="24"/>
                <w:szCs w:val="18"/>
                <w:lang w:val="en-US" w:eastAsia="zh-CN"/>
              </w:rPr>
              <w:t>2559.89，则</w:t>
            </w:r>
            <w:r>
              <w:rPr>
                <w:sz w:val="24"/>
                <w:szCs w:val="18"/>
              </w:rPr>
              <w:t>用水量为</w:t>
            </w:r>
            <w:r>
              <w:rPr>
                <w:rFonts w:hint="eastAsia"/>
                <w:sz w:val="24"/>
                <w:szCs w:val="18"/>
                <w:lang w:val="en-US" w:eastAsia="zh-CN"/>
              </w:rPr>
              <w:t>5.11</w:t>
            </w:r>
            <w:r>
              <w:rPr>
                <w:sz w:val="24"/>
                <w:szCs w:val="18"/>
              </w:rPr>
              <w:t>m</w:t>
            </w:r>
            <w:r>
              <w:rPr>
                <w:sz w:val="24"/>
                <w:szCs w:val="18"/>
                <w:vertAlign w:val="superscript"/>
              </w:rPr>
              <w:t>3</w:t>
            </w:r>
            <w:r>
              <w:rPr>
                <w:sz w:val="24"/>
                <w:szCs w:val="18"/>
              </w:rPr>
              <w:t>/d。</w:t>
            </w:r>
            <w:r>
              <w:rPr>
                <w:rFonts w:hint="eastAsia"/>
                <w:sz w:val="24"/>
                <w:szCs w:val="18"/>
                <w:lang w:eastAsia="zh-CN"/>
              </w:rPr>
              <w:t>该部分水全部蒸发下渗，不产生废水。</w:t>
            </w:r>
          </w:p>
          <w:p>
            <w:pPr>
              <w:numPr>
                <w:ilvl w:val="0"/>
                <w:numId w:val="3"/>
              </w:numPr>
              <w:spacing w:line="360" w:lineRule="auto"/>
              <w:ind w:firstLine="480" w:firstLineChars="200"/>
              <w:rPr>
                <w:rFonts w:cs="宋体"/>
                <w:sz w:val="24"/>
                <w:szCs w:val="20"/>
              </w:rPr>
            </w:pPr>
            <w:r>
              <w:rPr>
                <w:rFonts w:hint="eastAsia" w:eastAsiaTheme="minorEastAsia"/>
                <w:sz w:val="24"/>
                <w:lang w:eastAsia="zh-CN"/>
              </w:rPr>
              <w:t>站区道路地面冲洗废水</w:t>
            </w:r>
            <w:r>
              <w:rPr>
                <w:sz w:val="24"/>
                <w:szCs w:val="18"/>
              </w:rPr>
              <w:t>：</w:t>
            </w:r>
            <w:r>
              <w:rPr>
                <w:rFonts w:hint="eastAsia"/>
                <w:sz w:val="24"/>
                <w:szCs w:val="18"/>
                <w:lang w:eastAsia="zh-CN"/>
              </w:rPr>
              <w:t>项目建成以后，每天进出加气站的车辆会产生扬尘，运营期</w:t>
            </w:r>
            <w:r>
              <w:rPr>
                <w:sz w:val="24"/>
                <w:szCs w:val="18"/>
              </w:rPr>
              <w:t>每天对</w:t>
            </w:r>
            <w:r>
              <w:rPr>
                <w:rFonts w:hint="eastAsia"/>
                <w:sz w:val="24"/>
                <w:szCs w:val="18"/>
                <w:lang w:eastAsia="zh-CN"/>
              </w:rPr>
              <w:t>加气站区</w:t>
            </w:r>
            <w:r>
              <w:rPr>
                <w:sz w:val="24"/>
                <w:szCs w:val="18"/>
              </w:rPr>
              <w:t>道路</w:t>
            </w:r>
            <w:r>
              <w:rPr>
                <w:rFonts w:hint="eastAsia"/>
                <w:sz w:val="24"/>
                <w:szCs w:val="18"/>
                <w:lang w:eastAsia="zh-CN"/>
              </w:rPr>
              <w:t>地面</w:t>
            </w:r>
            <w:r>
              <w:rPr>
                <w:sz w:val="24"/>
                <w:szCs w:val="18"/>
              </w:rPr>
              <w:t>洒水</w:t>
            </w:r>
            <w:r>
              <w:rPr>
                <w:rFonts w:hint="eastAsia"/>
                <w:sz w:val="24"/>
                <w:szCs w:val="18"/>
                <w:lang w:eastAsia="zh-CN"/>
              </w:rPr>
              <w:t>冲洗一</w:t>
            </w:r>
            <w:r>
              <w:rPr>
                <w:sz w:val="24"/>
                <w:szCs w:val="18"/>
              </w:rPr>
              <w:t>次，用以降低扬尘</w:t>
            </w:r>
            <w:r>
              <w:rPr>
                <w:rFonts w:hint="eastAsia"/>
                <w:sz w:val="24"/>
                <w:szCs w:val="18"/>
              </w:rPr>
              <w:t>。道路</w:t>
            </w:r>
            <w:r>
              <w:rPr>
                <w:rFonts w:hint="eastAsia"/>
                <w:sz w:val="24"/>
                <w:szCs w:val="18"/>
                <w:lang w:eastAsia="zh-CN"/>
              </w:rPr>
              <w:t>冲洗</w:t>
            </w:r>
            <w:r>
              <w:rPr>
                <w:rFonts w:hint="eastAsia"/>
                <w:sz w:val="24"/>
                <w:szCs w:val="18"/>
              </w:rPr>
              <w:t>用水定额按2.0 L/</w:t>
            </w:r>
            <w:r>
              <w:rPr>
                <w:rFonts w:hint="eastAsia"/>
                <w:sz w:val="24"/>
                <w:szCs w:val="18"/>
                <w:lang w:eastAsia="zh-CN"/>
              </w:rPr>
              <w:t>（</w:t>
            </w:r>
            <w:r>
              <w:rPr>
                <w:rFonts w:hint="eastAsia"/>
                <w:sz w:val="24"/>
                <w:szCs w:val="18"/>
              </w:rPr>
              <w:t>m</w:t>
            </w:r>
            <w:r>
              <w:rPr>
                <w:rFonts w:hint="eastAsia"/>
                <w:sz w:val="24"/>
                <w:szCs w:val="18"/>
                <w:vertAlign w:val="superscript"/>
              </w:rPr>
              <w:t>2</w:t>
            </w:r>
            <w:r>
              <w:rPr>
                <w:rFonts w:hint="eastAsia"/>
                <w:sz w:val="24"/>
                <w:szCs w:val="18"/>
              </w:rPr>
              <w:t>·</w:t>
            </w:r>
            <w:r>
              <w:rPr>
                <w:rFonts w:hint="eastAsia"/>
                <w:sz w:val="24"/>
                <w:szCs w:val="18"/>
                <w:lang w:val="en-US" w:eastAsia="zh-CN"/>
              </w:rPr>
              <w:t>d）</w:t>
            </w:r>
            <w:r>
              <w:rPr>
                <w:rFonts w:hint="eastAsia"/>
                <w:sz w:val="24"/>
                <w:szCs w:val="18"/>
              </w:rPr>
              <w:t>计，</w:t>
            </w:r>
            <w:r>
              <w:rPr>
                <w:rFonts w:hint="eastAsia"/>
                <w:sz w:val="24"/>
                <w:szCs w:val="18"/>
                <w:lang w:eastAsia="zh-CN"/>
              </w:rPr>
              <w:t>冲洗面积为</w:t>
            </w:r>
            <w:r>
              <w:rPr>
                <w:rFonts w:hint="eastAsia"/>
                <w:sz w:val="24"/>
                <w:szCs w:val="18"/>
                <w:lang w:val="en-US" w:eastAsia="zh-CN"/>
              </w:rPr>
              <w:t>3695.57m</w:t>
            </w:r>
            <w:r>
              <w:rPr>
                <w:rFonts w:hint="default" w:ascii="Times New Roman" w:hAnsi="Times New Roman" w:cs="Times New Roman"/>
                <w:sz w:val="24"/>
                <w:szCs w:val="18"/>
                <w:lang w:val="en-US" w:eastAsia="zh-CN"/>
              </w:rPr>
              <w:t>²</w:t>
            </w:r>
            <w:r>
              <w:rPr>
                <w:rFonts w:hint="eastAsia"/>
                <w:sz w:val="24"/>
                <w:szCs w:val="18"/>
              </w:rPr>
              <w:t>，用水量</w:t>
            </w:r>
            <w:r>
              <w:rPr>
                <w:rFonts w:hint="eastAsia"/>
                <w:sz w:val="24"/>
                <w:szCs w:val="18"/>
                <w:lang w:val="en-US" w:eastAsia="zh-CN"/>
              </w:rPr>
              <w:t>7.40</w:t>
            </w:r>
            <w:r>
              <w:rPr>
                <w:rFonts w:hint="eastAsia"/>
                <w:sz w:val="24"/>
                <w:szCs w:val="18"/>
              </w:rPr>
              <w:t>m</w:t>
            </w:r>
            <w:r>
              <w:rPr>
                <w:rFonts w:hint="eastAsia"/>
                <w:sz w:val="24"/>
                <w:szCs w:val="18"/>
                <w:vertAlign w:val="superscript"/>
              </w:rPr>
              <w:t>3</w:t>
            </w:r>
            <w:r>
              <w:rPr>
                <w:rFonts w:hint="eastAsia"/>
                <w:sz w:val="24"/>
                <w:szCs w:val="18"/>
              </w:rPr>
              <w:t>/d，</w:t>
            </w:r>
            <w:r>
              <w:rPr>
                <w:rFonts w:hint="eastAsia"/>
                <w:sz w:val="24"/>
                <w:szCs w:val="18"/>
                <w:lang w:eastAsia="zh-CN"/>
              </w:rPr>
              <w:t>该部分水经经导流沟排至站外低洼处。</w:t>
            </w:r>
            <w:r>
              <w:rPr>
                <w:rFonts w:hint="eastAsia" w:cs="宋体"/>
                <w:sz w:val="24"/>
                <w:szCs w:val="20"/>
              </w:rPr>
              <w:t>经分析，项目用水及排水情况如下表：</w:t>
            </w:r>
          </w:p>
          <w:p>
            <w:pPr>
              <w:widowControl/>
              <w:spacing w:line="480" w:lineRule="exact"/>
              <w:jc w:val="center"/>
              <w:rPr>
                <w:b/>
              </w:rPr>
            </w:pPr>
            <w:r>
              <w:rPr>
                <w:rFonts w:hint="eastAsia"/>
                <w:b/>
              </w:rPr>
              <w:t>表5-1 运营期用水及排水情况一览表 单位</w:t>
            </w:r>
            <w:r>
              <w:rPr>
                <w:b/>
              </w:rPr>
              <w:t>m</w:t>
            </w:r>
            <w:r>
              <w:rPr>
                <w:b/>
                <w:vertAlign w:val="superscript"/>
              </w:rPr>
              <w:t>3</w:t>
            </w:r>
            <w:r>
              <w:rPr>
                <w:b/>
              </w:rPr>
              <w:t>/d</w:t>
            </w:r>
          </w:p>
          <w:tbl>
            <w:tblPr>
              <w:tblStyle w:val="2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174"/>
              <w:gridCol w:w="1212"/>
              <w:gridCol w:w="9"/>
              <w:gridCol w:w="1359"/>
              <w:gridCol w:w="1694"/>
              <w:gridCol w:w="7"/>
              <w:gridCol w:w="1522"/>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7" w:type="pct"/>
                  <w:noWrap w:val="0"/>
                  <w:vAlign w:val="center"/>
                </w:tcPr>
                <w:p>
                  <w:pPr>
                    <w:pStyle w:val="161"/>
                    <w:bidi w:val="0"/>
                  </w:pPr>
                  <w:r>
                    <w:t>序号</w:t>
                  </w:r>
                </w:p>
              </w:tc>
              <w:tc>
                <w:tcPr>
                  <w:tcW w:w="648" w:type="pct"/>
                  <w:noWrap w:val="0"/>
                  <w:vAlign w:val="center"/>
                </w:tcPr>
                <w:p>
                  <w:pPr>
                    <w:pStyle w:val="161"/>
                    <w:bidi w:val="0"/>
                  </w:pPr>
                  <w:r>
                    <w:t>分  类</w:t>
                  </w:r>
                </w:p>
              </w:tc>
              <w:tc>
                <w:tcPr>
                  <w:tcW w:w="669" w:type="pct"/>
                  <w:noWrap w:val="0"/>
                  <w:vAlign w:val="center"/>
                </w:tcPr>
                <w:p>
                  <w:pPr>
                    <w:pStyle w:val="161"/>
                    <w:bidi w:val="0"/>
                  </w:pPr>
                  <w:r>
                    <w:t>部 位</w:t>
                  </w:r>
                </w:p>
              </w:tc>
              <w:tc>
                <w:tcPr>
                  <w:tcW w:w="755" w:type="pct"/>
                  <w:gridSpan w:val="2"/>
                  <w:noWrap w:val="0"/>
                  <w:vAlign w:val="center"/>
                </w:tcPr>
                <w:p>
                  <w:pPr>
                    <w:pStyle w:val="161"/>
                    <w:bidi w:val="0"/>
                  </w:pPr>
                  <w:r>
                    <w:t>用   途</w:t>
                  </w:r>
                </w:p>
              </w:tc>
              <w:tc>
                <w:tcPr>
                  <w:tcW w:w="935" w:type="pct"/>
                  <w:noWrap w:val="0"/>
                  <w:vAlign w:val="center"/>
                </w:tcPr>
                <w:p>
                  <w:pPr>
                    <w:pStyle w:val="161"/>
                    <w:bidi w:val="0"/>
                  </w:pPr>
                  <w:r>
                    <w:t>水量（m</w:t>
                  </w:r>
                  <w:r>
                    <w:rPr>
                      <w:rFonts w:hint="eastAsia"/>
                      <w:vertAlign w:val="superscript"/>
                      <w:lang w:val="en-US" w:eastAsia="zh-CN"/>
                    </w:rPr>
                    <w:t>3</w:t>
                  </w:r>
                  <w:r>
                    <w:t>/d）</w:t>
                  </w:r>
                </w:p>
              </w:tc>
              <w:tc>
                <w:tcPr>
                  <w:tcW w:w="844" w:type="pct"/>
                  <w:gridSpan w:val="2"/>
                  <w:noWrap w:val="0"/>
                  <w:vAlign w:val="center"/>
                </w:tcPr>
                <w:p>
                  <w:pPr>
                    <w:pStyle w:val="161"/>
                    <w:bidi w:val="0"/>
                    <w:rPr>
                      <w:rFonts w:hint="eastAsia" w:eastAsia="宋体"/>
                      <w:lang w:eastAsia="zh-CN"/>
                    </w:rPr>
                  </w:pPr>
                  <w:r>
                    <w:rPr>
                      <w:rFonts w:hint="eastAsia" w:eastAsia="宋体"/>
                      <w:lang w:eastAsia="zh-CN"/>
                    </w:rPr>
                    <w:t>排水量（m</w:t>
                  </w:r>
                  <w:r>
                    <w:rPr>
                      <w:rFonts w:hint="eastAsia" w:eastAsia="宋体"/>
                      <w:vertAlign w:val="superscript"/>
                      <w:lang w:val="en-US" w:eastAsia="zh-CN"/>
                    </w:rPr>
                    <w:t>3</w:t>
                  </w:r>
                  <w:r>
                    <w:rPr>
                      <w:rFonts w:hint="eastAsia" w:eastAsia="宋体"/>
                      <w:lang w:eastAsia="zh-CN"/>
                    </w:rPr>
                    <w:t>/d）</w:t>
                  </w:r>
                </w:p>
              </w:tc>
              <w:tc>
                <w:tcPr>
                  <w:tcW w:w="850" w:type="pct"/>
                  <w:noWrap w:val="0"/>
                  <w:vAlign w:val="center"/>
                </w:tcPr>
                <w:p>
                  <w:pPr>
                    <w:pStyle w:val="161"/>
                    <w:bidi w:val="0"/>
                  </w:pPr>
                  <w: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7" w:type="pct"/>
                  <w:noWrap w:val="0"/>
                  <w:vAlign w:val="center"/>
                </w:tcPr>
                <w:p>
                  <w:pPr>
                    <w:pStyle w:val="161"/>
                    <w:bidi w:val="0"/>
                  </w:pPr>
                  <w:r>
                    <w:t>1</w:t>
                  </w:r>
                </w:p>
              </w:tc>
              <w:tc>
                <w:tcPr>
                  <w:tcW w:w="648" w:type="pct"/>
                  <w:noWrap w:val="0"/>
                  <w:vAlign w:val="center"/>
                </w:tcPr>
                <w:p>
                  <w:pPr>
                    <w:pStyle w:val="161"/>
                    <w:bidi w:val="0"/>
                  </w:pPr>
                  <w:r>
                    <w:t>生活用水</w:t>
                  </w:r>
                </w:p>
              </w:tc>
              <w:tc>
                <w:tcPr>
                  <w:tcW w:w="669" w:type="pct"/>
                  <w:noWrap w:val="0"/>
                  <w:vAlign w:val="center"/>
                </w:tcPr>
                <w:p>
                  <w:pPr>
                    <w:pStyle w:val="161"/>
                    <w:bidi w:val="0"/>
                  </w:pPr>
                  <w:r>
                    <w:t>站房</w:t>
                  </w:r>
                </w:p>
              </w:tc>
              <w:tc>
                <w:tcPr>
                  <w:tcW w:w="755" w:type="pct"/>
                  <w:gridSpan w:val="2"/>
                  <w:noWrap w:val="0"/>
                  <w:vAlign w:val="center"/>
                </w:tcPr>
                <w:p>
                  <w:pPr>
                    <w:pStyle w:val="161"/>
                    <w:bidi w:val="0"/>
                  </w:pPr>
                  <w:r>
                    <w:t>饮用、卫生洁具</w:t>
                  </w:r>
                </w:p>
              </w:tc>
              <w:tc>
                <w:tcPr>
                  <w:tcW w:w="935" w:type="pct"/>
                  <w:noWrap w:val="0"/>
                  <w:vAlign w:val="center"/>
                </w:tcPr>
                <w:p>
                  <w:pPr>
                    <w:pStyle w:val="161"/>
                    <w:bidi w:val="0"/>
                  </w:pPr>
                  <w:r>
                    <w:t>0.</w:t>
                  </w:r>
                  <w:r>
                    <w:rPr>
                      <w:rFonts w:hint="eastAsia"/>
                    </w:rPr>
                    <w:t>6</w:t>
                  </w:r>
                </w:p>
              </w:tc>
              <w:tc>
                <w:tcPr>
                  <w:tcW w:w="844" w:type="pct"/>
                  <w:gridSpan w:val="2"/>
                  <w:noWrap w:val="0"/>
                  <w:vAlign w:val="center"/>
                </w:tcPr>
                <w:p>
                  <w:pPr>
                    <w:pStyle w:val="161"/>
                    <w:bidi w:val="0"/>
                    <w:rPr>
                      <w:rFonts w:hint="default"/>
                      <w:lang w:val="en-US" w:eastAsia="zh-CN"/>
                    </w:rPr>
                  </w:pPr>
                  <w:r>
                    <w:rPr>
                      <w:rFonts w:hint="eastAsia"/>
                      <w:lang w:val="en-US" w:eastAsia="zh-CN"/>
                    </w:rPr>
                    <w:t>0.51</w:t>
                  </w:r>
                </w:p>
              </w:tc>
              <w:tc>
                <w:tcPr>
                  <w:tcW w:w="850" w:type="pct"/>
                  <w:noWrap w:val="0"/>
                  <w:vAlign w:val="center"/>
                </w:tcPr>
                <w:p>
                  <w:pPr>
                    <w:pStyle w:val="161"/>
                    <w:bidi w:val="0"/>
                    <w:rPr>
                      <w:rFonts w:hint="eastAsia"/>
                      <w:lang w:eastAsia="zh-CN"/>
                    </w:rPr>
                  </w:pPr>
                  <w:r>
                    <w:rPr>
                      <w:rFonts w:hint="eastAsia"/>
                      <w:lang w:eastAsia="zh-CN"/>
                    </w:rPr>
                    <w:t>化粪池处理用作农肥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7" w:type="pct"/>
                  <w:vMerge w:val="restart"/>
                  <w:noWrap w:val="0"/>
                  <w:vAlign w:val="center"/>
                </w:tcPr>
                <w:p>
                  <w:pPr>
                    <w:pStyle w:val="161"/>
                    <w:bidi w:val="0"/>
                  </w:pPr>
                  <w:r>
                    <w:t>2</w:t>
                  </w:r>
                </w:p>
              </w:tc>
              <w:tc>
                <w:tcPr>
                  <w:tcW w:w="648" w:type="pct"/>
                  <w:vMerge w:val="restart"/>
                  <w:noWrap w:val="0"/>
                  <w:vAlign w:val="center"/>
                </w:tcPr>
                <w:p>
                  <w:pPr>
                    <w:pStyle w:val="161"/>
                    <w:bidi w:val="0"/>
                  </w:pPr>
                  <w:r>
                    <w:t>生产用水</w:t>
                  </w:r>
                </w:p>
              </w:tc>
              <w:tc>
                <w:tcPr>
                  <w:tcW w:w="669" w:type="pct"/>
                  <w:noWrap w:val="0"/>
                  <w:vAlign w:val="center"/>
                </w:tcPr>
                <w:p>
                  <w:pPr>
                    <w:pStyle w:val="161"/>
                    <w:bidi w:val="0"/>
                  </w:pPr>
                  <w:r>
                    <w:t>站区</w:t>
                  </w:r>
                </w:p>
              </w:tc>
              <w:tc>
                <w:tcPr>
                  <w:tcW w:w="755" w:type="pct"/>
                  <w:gridSpan w:val="2"/>
                  <w:noWrap w:val="0"/>
                  <w:vAlign w:val="center"/>
                </w:tcPr>
                <w:p>
                  <w:pPr>
                    <w:pStyle w:val="161"/>
                    <w:bidi w:val="0"/>
                  </w:pPr>
                  <w:r>
                    <w:t>绿地浇灌</w:t>
                  </w:r>
                </w:p>
              </w:tc>
              <w:tc>
                <w:tcPr>
                  <w:tcW w:w="935" w:type="pct"/>
                  <w:noWrap w:val="0"/>
                  <w:vAlign w:val="center"/>
                </w:tcPr>
                <w:p>
                  <w:pPr>
                    <w:pStyle w:val="161"/>
                    <w:bidi w:val="0"/>
                    <w:rPr>
                      <w:rFonts w:hint="default" w:eastAsia="宋体"/>
                      <w:lang w:val="en-US" w:eastAsia="zh-CN"/>
                    </w:rPr>
                  </w:pPr>
                  <w:r>
                    <w:rPr>
                      <w:rFonts w:hint="eastAsia" w:eastAsia="宋体"/>
                      <w:lang w:val="en-US" w:eastAsia="zh-CN"/>
                    </w:rPr>
                    <w:t>5.11</w:t>
                  </w:r>
                </w:p>
              </w:tc>
              <w:tc>
                <w:tcPr>
                  <w:tcW w:w="844" w:type="pct"/>
                  <w:gridSpan w:val="2"/>
                  <w:noWrap w:val="0"/>
                  <w:vAlign w:val="center"/>
                </w:tcPr>
                <w:p>
                  <w:pPr>
                    <w:pStyle w:val="161"/>
                    <w:bidi w:val="0"/>
                    <w:rPr>
                      <w:rFonts w:hint="default"/>
                      <w:lang w:val="en-US" w:eastAsia="zh-CN"/>
                    </w:rPr>
                  </w:pPr>
                  <w:r>
                    <w:rPr>
                      <w:rFonts w:hint="eastAsia"/>
                      <w:lang w:val="en-US" w:eastAsia="zh-CN"/>
                    </w:rPr>
                    <w:t>/</w:t>
                  </w:r>
                </w:p>
              </w:tc>
              <w:tc>
                <w:tcPr>
                  <w:tcW w:w="850" w:type="pct"/>
                  <w:noWrap w:val="0"/>
                  <w:vAlign w:val="center"/>
                </w:tcPr>
                <w:p>
                  <w:pPr>
                    <w:pStyle w:val="161"/>
                    <w:bidi w:val="0"/>
                    <w:rPr>
                      <w:rFonts w:hint="eastAsia"/>
                      <w:lang w:eastAsia="zh-CN"/>
                    </w:rPr>
                  </w:pPr>
                  <w:r>
                    <w:rPr>
                      <w:rFonts w:hint="eastAsia"/>
                      <w:lang w:eastAsia="zh-CN"/>
                    </w:rPr>
                    <w:t>全部蒸发下渗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7" w:type="pct"/>
                  <w:vMerge w:val="continue"/>
                  <w:noWrap w:val="0"/>
                  <w:vAlign w:val="center"/>
                </w:tcPr>
                <w:p>
                  <w:pPr>
                    <w:pStyle w:val="161"/>
                    <w:bidi w:val="0"/>
                  </w:pPr>
                </w:p>
              </w:tc>
              <w:tc>
                <w:tcPr>
                  <w:tcW w:w="648" w:type="pct"/>
                  <w:vMerge w:val="continue"/>
                  <w:noWrap w:val="0"/>
                  <w:vAlign w:val="center"/>
                </w:tcPr>
                <w:p>
                  <w:pPr>
                    <w:pStyle w:val="161"/>
                    <w:bidi w:val="0"/>
                  </w:pPr>
                </w:p>
              </w:tc>
              <w:tc>
                <w:tcPr>
                  <w:tcW w:w="669" w:type="pct"/>
                  <w:noWrap w:val="0"/>
                  <w:vAlign w:val="center"/>
                </w:tcPr>
                <w:p>
                  <w:pPr>
                    <w:pStyle w:val="161"/>
                    <w:bidi w:val="0"/>
                  </w:pPr>
                  <w:r>
                    <w:t>道路</w:t>
                  </w:r>
                  <w:r>
                    <w:rPr>
                      <w:rFonts w:hint="eastAsia" w:eastAsia="宋体"/>
                      <w:lang w:eastAsia="zh-CN"/>
                    </w:rPr>
                    <w:t>冲洗用</w:t>
                  </w:r>
                  <w:r>
                    <w:rPr>
                      <w:rFonts w:hint="eastAsia"/>
                    </w:rPr>
                    <w:t>水</w:t>
                  </w:r>
                </w:p>
              </w:tc>
              <w:tc>
                <w:tcPr>
                  <w:tcW w:w="755" w:type="pct"/>
                  <w:gridSpan w:val="2"/>
                  <w:noWrap w:val="0"/>
                  <w:vAlign w:val="center"/>
                </w:tcPr>
                <w:p>
                  <w:pPr>
                    <w:pStyle w:val="161"/>
                    <w:bidi w:val="0"/>
                  </w:pPr>
                  <w:r>
                    <w:t>冲洗</w:t>
                  </w:r>
                </w:p>
              </w:tc>
              <w:tc>
                <w:tcPr>
                  <w:tcW w:w="935" w:type="pct"/>
                  <w:noWrap w:val="0"/>
                  <w:vAlign w:val="center"/>
                </w:tcPr>
                <w:p>
                  <w:pPr>
                    <w:pStyle w:val="161"/>
                    <w:bidi w:val="0"/>
                  </w:pPr>
                  <w:r>
                    <w:t>7.</w:t>
                  </w:r>
                  <w:r>
                    <w:rPr>
                      <w:rFonts w:hint="eastAsia" w:eastAsia="宋体"/>
                      <w:lang w:val="en-US" w:eastAsia="zh-CN"/>
                    </w:rPr>
                    <w:t>4</w:t>
                  </w:r>
                  <w:r>
                    <w:t>0</w:t>
                  </w:r>
                </w:p>
              </w:tc>
              <w:tc>
                <w:tcPr>
                  <w:tcW w:w="844" w:type="pct"/>
                  <w:gridSpan w:val="2"/>
                  <w:noWrap w:val="0"/>
                  <w:vAlign w:val="center"/>
                </w:tcPr>
                <w:p>
                  <w:pPr>
                    <w:pStyle w:val="161"/>
                    <w:bidi w:val="0"/>
                    <w:rPr>
                      <w:rFonts w:hint="default"/>
                      <w:lang w:val="en-US" w:eastAsia="zh-CN"/>
                    </w:rPr>
                  </w:pPr>
                  <w:r>
                    <w:rPr>
                      <w:rFonts w:hint="eastAsia"/>
                      <w:lang w:val="en-US" w:eastAsia="zh-CN"/>
                    </w:rPr>
                    <w:t>/</w:t>
                  </w:r>
                </w:p>
              </w:tc>
              <w:tc>
                <w:tcPr>
                  <w:tcW w:w="850" w:type="pct"/>
                  <w:noWrap w:val="0"/>
                  <w:vAlign w:val="center"/>
                </w:tcPr>
                <w:p>
                  <w:pPr>
                    <w:pStyle w:val="161"/>
                    <w:bidi w:val="0"/>
                    <w:rPr>
                      <w:rFonts w:hint="eastAsia"/>
                      <w:lang w:eastAsia="zh-CN"/>
                    </w:rPr>
                  </w:pPr>
                  <w:r>
                    <w:rPr>
                      <w:rFonts w:hint="eastAsia"/>
                      <w:lang w:eastAsia="zh-CN"/>
                    </w:rPr>
                    <w:t>沉淀池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7" w:type="pct"/>
                  <w:noWrap w:val="0"/>
                  <w:vAlign w:val="center"/>
                </w:tcPr>
                <w:p>
                  <w:pPr>
                    <w:pStyle w:val="161"/>
                    <w:bidi w:val="0"/>
                    <w:rPr>
                      <w:rFonts w:hint="eastAsia" w:eastAsia="宋体"/>
                      <w:lang w:val="en-US" w:eastAsia="zh-CN"/>
                    </w:rPr>
                  </w:pPr>
                  <w:r>
                    <w:rPr>
                      <w:rFonts w:hint="eastAsia" w:eastAsia="宋体"/>
                      <w:lang w:val="en-US" w:eastAsia="zh-CN"/>
                    </w:rPr>
                    <w:t>3</w:t>
                  </w:r>
                </w:p>
              </w:tc>
              <w:tc>
                <w:tcPr>
                  <w:tcW w:w="1322" w:type="pct"/>
                  <w:gridSpan w:val="3"/>
                  <w:noWrap w:val="0"/>
                  <w:vAlign w:val="center"/>
                </w:tcPr>
                <w:p>
                  <w:pPr>
                    <w:pStyle w:val="161"/>
                    <w:bidi w:val="0"/>
                    <w:rPr>
                      <w:rFonts w:hint="eastAsia" w:eastAsia="宋体"/>
                      <w:lang w:val="en-US" w:eastAsia="zh-CN"/>
                    </w:rPr>
                  </w:pPr>
                  <w:r>
                    <w:rPr>
                      <w:rFonts w:hint="eastAsia" w:eastAsia="宋体"/>
                      <w:lang w:val="en-US" w:eastAsia="zh-CN"/>
                    </w:rPr>
                    <w:t>/</w:t>
                  </w:r>
                </w:p>
              </w:tc>
              <w:tc>
                <w:tcPr>
                  <w:tcW w:w="750" w:type="pct"/>
                  <w:noWrap w:val="0"/>
                  <w:vAlign w:val="center"/>
                </w:tcPr>
                <w:p>
                  <w:pPr>
                    <w:pStyle w:val="161"/>
                    <w:bidi w:val="0"/>
                    <w:rPr>
                      <w:rFonts w:hint="eastAsia" w:eastAsia="宋体"/>
                      <w:lang w:val="en-US" w:eastAsia="zh-CN"/>
                    </w:rPr>
                  </w:pPr>
                  <w:r>
                    <w:rPr>
                      <w:rFonts w:hint="eastAsia" w:eastAsia="宋体"/>
                      <w:lang w:val="en-US" w:eastAsia="zh-CN"/>
                    </w:rPr>
                    <w:t>合计</w:t>
                  </w:r>
                </w:p>
              </w:tc>
              <w:tc>
                <w:tcPr>
                  <w:tcW w:w="939" w:type="pct"/>
                  <w:gridSpan w:val="2"/>
                  <w:noWrap w:val="0"/>
                  <w:vAlign w:val="center"/>
                </w:tcPr>
                <w:p>
                  <w:pPr>
                    <w:pStyle w:val="161"/>
                    <w:bidi w:val="0"/>
                    <w:rPr>
                      <w:rFonts w:hint="default" w:eastAsia="宋体"/>
                      <w:lang w:val="en-US" w:eastAsia="zh-CN"/>
                    </w:rPr>
                  </w:pPr>
                  <w:r>
                    <w:rPr>
                      <w:rFonts w:hint="eastAsia" w:eastAsia="宋体"/>
                      <w:lang w:val="en-US" w:eastAsia="zh-CN"/>
                    </w:rPr>
                    <w:t>13.11</w:t>
                  </w:r>
                </w:p>
              </w:tc>
              <w:tc>
                <w:tcPr>
                  <w:tcW w:w="1690" w:type="pct"/>
                  <w:gridSpan w:val="2"/>
                  <w:noWrap w:val="0"/>
                  <w:vAlign w:val="center"/>
                </w:tcPr>
                <w:p>
                  <w:pPr>
                    <w:pStyle w:val="161"/>
                    <w:bidi w:val="0"/>
                    <w:rPr>
                      <w:rFonts w:hint="eastAsia" w:eastAsia="宋体"/>
                      <w:lang w:val="en-US" w:eastAsia="zh-CN"/>
                    </w:rPr>
                  </w:pPr>
                  <w:r>
                    <w:rPr>
                      <w:rFonts w:hint="eastAsia" w:eastAsia="宋体"/>
                      <w:lang w:val="en-US" w:eastAsia="zh-CN"/>
                    </w:rPr>
                    <w:t>/</w:t>
                  </w:r>
                </w:p>
              </w:tc>
            </w:tr>
          </w:tbl>
          <w:p>
            <w:pPr>
              <w:pStyle w:val="97"/>
              <w:bidi w:val="0"/>
              <w:rPr>
                <w:rFonts w:hint="eastAsia"/>
              </w:rPr>
            </w:pPr>
          </w:p>
          <w:p>
            <w:pPr>
              <w:pStyle w:val="97"/>
              <w:bidi w:val="0"/>
            </w:pPr>
            <w:r>
              <w:rPr>
                <w:rFonts w:hint="eastAsia"/>
              </w:rPr>
              <w:t>项目水平衡图如下：</w:t>
            </w:r>
          </w:p>
          <w:p>
            <w:pPr>
              <w:widowControl/>
              <w:jc w:val="center"/>
              <w:rPr>
                <w:rFonts w:cs="宋体"/>
                <w:b/>
                <w:bCs/>
                <w:color w:val="000000" w:themeColor="text1"/>
                <w:kern w:val="0"/>
                <w:szCs w:val="20"/>
                <w:lang w:val="zh-CN"/>
                <w14:textFill>
                  <w14:solidFill>
                    <w14:schemeClr w14:val="tx1"/>
                  </w14:solidFill>
                </w14:textFill>
              </w:rPr>
            </w:pPr>
            <w:r>
              <w:rPr>
                <w:kern w:val="0"/>
                <w:sz w:val="20"/>
                <w:szCs w:val="20"/>
              </w:rPr>
              <w:object>
                <v:shape id="_x0000_i1026" o:spt="75" type="#_x0000_t75" style="height:183pt;width:456.75pt;" o:ole="t" filled="f" o:preferrelative="t" stroked="f" coordsize="21600,21600">
                  <v:path/>
                  <v:fill on="f" focussize="0,0"/>
                  <v:stroke on="f"/>
                  <v:imagedata r:id="rId16" o:title=""/>
                  <o:lock v:ext="edit" aspectratio="t"/>
                  <w10:wrap type="none"/>
                  <w10:anchorlock/>
                </v:shape>
                <o:OLEObject Type="Embed" ProgID="Visio.Drawing.15" ShapeID="_x0000_i1026" DrawAspect="Content" ObjectID="_1468075726" r:id="rId15">
                  <o:LockedField>false</o:LockedField>
                </o:OLEObject>
              </w:object>
            </w:r>
            <w:r>
              <w:rPr>
                <w:rFonts w:hint="eastAsia" w:cs="宋体"/>
                <w:b/>
                <w:bCs/>
                <w:color w:val="000000" w:themeColor="text1"/>
                <w:kern w:val="0"/>
                <w:szCs w:val="20"/>
                <w:lang w:val="zh-CN"/>
                <w14:textFill>
                  <w14:solidFill>
                    <w14:schemeClr w14:val="tx1"/>
                  </w14:solidFill>
                </w14:textFill>
              </w:rPr>
              <w:t>图5-3 项目水平衡图  单位：m</w:t>
            </w:r>
            <w:r>
              <w:rPr>
                <w:rFonts w:hint="eastAsia" w:cs="宋体"/>
                <w:b/>
                <w:bCs/>
                <w:color w:val="000000" w:themeColor="text1"/>
                <w:kern w:val="0"/>
                <w:szCs w:val="20"/>
                <w:vertAlign w:val="superscript"/>
                <w:lang w:val="zh-CN"/>
                <w14:textFill>
                  <w14:solidFill>
                    <w14:schemeClr w14:val="tx1"/>
                  </w14:solidFill>
                </w14:textFill>
              </w:rPr>
              <w:t>3</w:t>
            </w:r>
            <w:r>
              <w:rPr>
                <w:rFonts w:hint="eastAsia" w:cs="宋体"/>
                <w:b/>
                <w:bCs/>
                <w:color w:val="000000" w:themeColor="text1"/>
                <w:kern w:val="0"/>
                <w:szCs w:val="20"/>
                <w:lang w:val="zh-CN"/>
                <w14:textFill>
                  <w14:solidFill>
                    <w14:schemeClr w14:val="tx1"/>
                  </w14:solidFill>
                </w14:textFill>
              </w:rPr>
              <w:t>/d</w:t>
            </w:r>
          </w:p>
          <w:p>
            <w:pPr>
              <w:spacing w:line="360" w:lineRule="auto"/>
              <w:rPr>
                <w:rFonts w:eastAsiaTheme="minorEastAsia"/>
                <w:b/>
                <w:sz w:val="24"/>
              </w:rPr>
            </w:pPr>
            <w:r>
              <w:rPr>
                <w:rFonts w:hint="eastAsia" w:eastAsiaTheme="minorEastAsia"/>
                <w:b/>
                <w:sz w:val="24"/>
              </w:rPr>
              <w:t>五</w:t>
            </w:r>
            <w:r>
              <w:rPr>
                <w:rFonts w:eastAsiaTheme="minorEastAsia"/>
                <w:b/>
                <w:sz w:val="24"/>
              </w:rPr>
              <w:t>、污染源强分析及污染防治措施</w:t>
            </w:r>
          </w:p>
          <w:p>
            <w:pPr>
              <w:spacing w:line="360" w:lineRule="auto"/>
              <w:ind w:firstLine="482" w:firstLineChars="200"/>
              <w:rPr>
                <w:rFonts w:eastAsiaTheme="minorEastAsia"/>
                <w:b/>
                <w:sz w:val="24"/>
              </w:rPr>
            </w:pPr>
            <w:r>
              <w:rPr>
                <w:rFonts w:hint="eastAsia" w:eastAsiaTheme="minorEastAsia"/>
                <w:b/>
                <w:sz w:val="24"/>
                <w:lang w:eastAsia="zh-CN"/>
              </w:rPr>
              <w:t>（一）</w:t>
            </w:r>
            <w:r>
              <w:rPr>
                <w:rFonts w:eastAsiaTheme="minorEastAsia"/>
                <w:b/>
                <w:sz w:val="24"/>
              </w:rPr>
              <w:t>施工期污染源强分析及污染防治措施</w:t>
            </w:r>
          </w:p>
          <w:p>
            <w:pPr>
              <w:spacing w:line="360" w:lineRule="auto"/>
              <w:ind w:firstLine="480" w:firstLineChars="200"/>
              <w:rPr>
                <w:rFonts w:eastAsiaTheme="minorEastAsia"/>
                <w:bCs/>
                <w:sz w:val="24"/>
              </w:rPr>
            </w:pPr>
            <w:r>
              <w:rPr>
                <w:rFonts w:hint="eastAsia" w:eastAsiaTheme="minorEastAsia"/>
                <w:bCs/>
                <w:sz w:val="24"/>
              </w:rPr>
              <w:t>（1）废气</w:t>
            </w:r>
          </w:p>
          <w:p>
            <w:pPr>
              <w:pStyle w:val="97"/>
              <w:bidi w:val="0"/>
              <w:rPr>
                <w:rFonts w:hint="eastAsia"/>
                <w:lang w:eastAsia="zh-CN"/>
              </w:rPr>
            </w:pPr>
            <w:r>
              <w:rPr>
                <w:rFonts w:hint="eastAsia"/>
                <w:lang w:eastAsia="zh-CN"/>
              </w:rPr>
              <w:t>本项目施工期间大气污染物主要为场地基础开挖及平整、土石方开挖及回填等过程中产生的扬尘，水泥砂石等各种建筑材料在建筑材料装卸、运输及堆置等过程中产生的扬尘，施工机械设备及车辆产生的汽车尾气。</w:t>
            </w:r>
          </w:p>
          <w:p>
            <w:pPr>
              <w:pStyle w:val="97"/>
              <w:numPr>
                <w:ilvl w:val="0"/>
                <w:numId w:val="4"/>
              </w:numPr>
              <w:bidi w:val="0"/>
              <w:ind w:left="0" w:leftChars="0" w:firstLine="480" w:firstLineChars="200"/>
              <w:rPr>
                <w:rFonts w:hint="eastAsia"/>
                <w:lang w:eastAsia="zh-CN"/>
              </w:rPr>
            </w:pPr>
            <w:r>
              <w:rPr>
                <w:rFonts w:hint="eastAsia"/>
                <w:lang w:eastAsia="zh-CN"/>
              </w:rPr>
              <w:t>扬尘</w:t>
            </w:r>
          </w:p>
          <w:p>
            <w:pPr>
              <w:pStyle w:val="97"/>
              <w:numPr>
                <w:ilvl w:val="0"/>
                <w:numId w:val="0"/>
              </w:numPr>
              <w:bidi w:val="0"/>
              <w:ind w:leftChars="200"/>
              <w:rPr>
                <w:rFonts w:hint="eastAsia"/>
                <w:lang w:val="en-US" w:eastAsia="zh-CN"/>
              </w:rPr>
            </w:pPr>
            <w:r>
              <w:rPr>
                <w:rFonts w:hint="eastAsia"/>
                <w:lang w:val="en-US" w:eastAsia="zh-CN"/>
              </w:rPr>
              <w:t>1）车辆行驶扬尘</w:t>
            </w:r>
          </w:p>
          <w:p>
            <w:pPr>
              <w:pStyle w:val="97"/>
              <w:bidi w:val="0"/>
              <w:rPr>
                <w:rFonts w:hint="default"/>
                <w:lang w:val="en-US" w:eastAsia="zh-CN"/>
              </w:rPr>
            </w:pPr>
            <w:r>
              <w:rPr>
                <w:rFonts w:hint="default"/>
                <w:lang w:val="en-US" w:eastAsia="zh-CN"/>
              </w:rPr>
              <w:t>据有关文献资料介绍，在施工过程中，车辆行驶产生的扬尘占总扬尘的 60%以上。车辆行驶产生的扬尘，在完全干燥的情况下，可按下列经验公式计算：</w:t>
            </w:r>
          </w:p>
          <w:p>
            <w:pPr>
              <w:pStyle w:val="97"/>
              <w:bidi w:val="0"/>
              <w:jc w:val="center"/>
              <w:rPr>
                <w:rFonts w:hint="default"/>
                <w:vertAlign w:val="superscript"/>
                <w:lang w:val="en-US" w:eastAsia="zh-CN"/>
              </w:rPr>
            </w:pPr>
            <w:r>
              <w:rPr>
                <w:rFonts w:hint="default"/>
                <w:lang w:val="en-US" w:eastAsia="zh-CN"/>
              </w:rPr>
              <w:t xml:space="preserve">Q＝0.123(V/5)(W/6.8) </w:t>
            </w:r>
            <w:r>
              <w:rPr>
                <w:rFonts w:hint="default"/>
                <w:vertAlign w:val="superscript"/>
                <w:lang w:val="en-US" w:eastAsia="zh-CN"/>
              </w:rPr>
              <w:t>0.85 (</w:t>
            </w:r>
            <w:r>
              <w:rPr>
                <w:rFonts w:hint="default"/>
                <w:lang w:val="en-US" w:eastAsia="zh-CN"/>
              </w:rPr>
              <w:t xml:space="preserve">P/0.5) </w:t>
            </w:r>
            <w:r>
              <w:rPr>
                <w:rFonts w:hint="default"/>
                <w:vertAlign w:val="superscript"/>
                <w:lang w:val="en-US" w:eastAsia="zh-CN"/>
              </w:rPr>
              <w:t>0.75</w:t>
            </w:r>
          </w:p>
          <w:p>
            <w:pPr>
              <w:spacing w:line="360" w:lineRule="auto"/>
              <w:ind w:firstLine="480" w:firstLineChars="200"/>
              <w:rPr>
                <w:rFonts w:hint="eastAsia" w:eastAsiaTheme="minorEastAsia"/>
                <w:b w:val="0"/>
                <w:bCs w:val="0"/>
                <w:sz w:val="24"/>
                <w:lang w:val="en-US" w:eastAsia="zh-CN"/>
              </w:rPr>
            </w:pPr>
            <w:r>
              <w:rPr>
                <w:rFonts w:hint="eastAsia" w:eastAsiaTheme="minorEastAsia"/>
                <w:b w:val="0"/>
                <w:bCs w:val="0"/>
                <w:sz w:val="24"/>
                <w:lang w:eastAsia="zh-CN"/>
              </w:rPr>
              <w:t>式中：</w:t>
            </w:r>
            <w:r>
              <w:rPr>
                <w:rFonts w:hint="eastAsia" w:eastAsiaTheme="minorEastAsia"/>
                <w:b w:val="0"/>
                <w:bCs w:val="0"/>
                <w:sz w:val="24"/>
                <w:lang w:val="en-US" w:eastAsia="zh-CN"/>
              </w:rPr>
              <w:t>Q——汽车行驶时的扬尘，kg/m·辆；</w:t>
            </w:r>
          </w:p>
          <w:p>
            <w:pPr>
              <w:spacing w:line="360" w:lineRule="auto"/>
              <w:ind w:firstLine="480" w:firstLineChars="200"/>
              <w:rPr>
                <w:rFonts w:hint="eastAsia" w:eastAsiaTheme="minorEastAsia"/>
                <w:b w:val="0"/>
                <w:bCs w:val="0"/>
                <w:sz w:val="24"/>
                <w:lang w:val="en-US" w:eastAsia="zh-CN"/>
              </w:rPr>
            </w:pPr>
            <w:r>
              <w:rPr>
                <w:rFonts w:hint="eastAsia" w:eastAsiaTheme="minorEastAsia"/>
                <w:b w:val="0"/>
                <w:bCs w:val="0"/>
                <w:sz w:val="24"/>
                <w:lang w:val="en-US" w:eastAsia="zh-CN"/>
              </w:rPr>
              <w:t>V——汽车速度，km/h；</w:t>
            </w:r>
          </w:p>
          <w:p>
            <w:pPr>
              <w:spacing w:line="360" w:lineRule="auto"/>
              <w:ind w:firstLine="480" w:firstLineChars="200"/>
              <w:rPr>
                <w:rFonts w:hint="eastAsia" w:eastAsiaTheme="minorEastAsia"/>
                <w:b w:val="0"/>
                <w:bCs w:val="0"/>
                <w:sz w:val="24"/>
                <w:lang w:val="en-US" w:eastAsia="zh-CN"/>
              </w:rPr>
            </w:pPr>
            <w:r>
              <w:rPr>
                <w:rFonts w:hint="eastAsia" w:eastAsiaTheme="minorEastAsia"/>
                <w:b w:val="0"/>
                <w:bCs w:val="0"/>
                <w:sz w:val="24"/>
                <w:lang w:val="en-US" w:eastAsia="zh-CN"/>
              </w:rPr>
              <w:t>W——汽车载重量，吨；</w:t>
            </w:r>
          </w:p>
          <w:p>
            <w:pPr>
              <w:spacing w:line="360" w:lineRule="auto"/>
              <w:ind w:firstLine="480" w:firstLineChars="200"/>
              <w:rPr>
                <w:rFonts w:hint="eastAsia" w:eastAsiaTheme="minorEastAsia"/>
                <w:b w:val="0"/>
                <w:bCs w:val="0"/>
                <w:sz w:val="24"/>
                <w:lang w:val="en-US" w:eastAsia="zh-CN"/>
              </w:rPr>
            </w:pPr>
            <w:r>
              <w:rPr>
                <w:rFonts w:hint="eastAsia" w:eastAsiaTheme="minorEastAsia"/>
                <w:b w:val="0"/>
                <w:bCs w:val="0"/>
                <w:sz w:val="24"/>
                <w:lang w:val="en-US" w:eastAsia="zh-CN"/>
              </w:rPr>
              <w:t>P——道路表面粉尘量，kg/m²。</w:t>
            </w:r>
          </w:p>
          <w:p>
            <w:pPr>
              <w:spacing w:line="360" w:lineRule="auto"/>
              <w:ind w:firstLine="480" w:firstLineChars="200"/>
              <w:rPr>
                <w:rFonts w:hint="default" w:eastAsiaTheme="minorEastAsia"/>
                <w:b w:val="0"/>
                <w:bCs w:val="0"/>
                <w:sz w:val="24"/>
                <w:lang w:val="en-US" w:eastAsia="zh-CN"/>
              </w:rPr>
            </w:pPr>
            <w:r>
              <w:rPr>
                <w:rFonts w:hint="default" w:eastAsiaTheme="minorEastAsia"/>
                <w:b w:val="0"/>
                <w:bCs w:val="0"/>
                <w:sz w:val="24"/>
                <w:lang w:val="en-US" w:eastAsia="zh-CN"/>
              </w:rPr>
              <w:t>下表为一辆 10 吨卡车，通过一段长度为 1km 的路面时，不同路面清洁程度、不同行驶速度情况下的扬尘量。由此可见，在同样路面清洁程度条件下，车速越快，扬尘量越大；而在同样车速情况下，路面越脏，扬尘量越大，因此限速行驶及保持路面的清洁是减少汽车扬尘的有效办法。</w:t>
            </w:r>
          </w:p>
          <w:p>
            <w:pPr>
              <w:pStyle w:val="195"/>
              <w:bidi w:val="0"/>
              <w:rPr>
                <w:rFonts w:hint="eastAsia"/>
                <w:lang w:val="en-US" w:eastAsia="zh-CN"/>
              </w:rPr>
            </w:pPr>
          </w:p>
          <w:p>
            <w:pPr>
              <w:pStyle w:val="195"/>
              <w:bidi w:val="0"/>
              <w:rPr>
                <w:rFonts w:hint="default"/>
                <w:lang w:val="en-US" w:eastAsia="zh-CN"/>
              </w:rPr>
            </w:pPr>
            <w:r>
              <w:rPr>
                <w:rFonts w:hint="eastAsia"/>
                <w:lang w:val="en-US" w:eastAsia="zh-CN"/>
              </w:rPr>
              <w:t xml:space="preserve">表5-2 </w:t>
            </w:r>
            <w:r>
              <w:rPr>
                <w:rFonts w:hint="default"/>
                <w:lang w:val="en-US" w:eastAsia="zh-CN"/>
              </w:rPr>
              <w:t>在不同车速和地面清洁程度的汽车扬尘 单位：kg/h  辆·km</w:t>
            </w:r>
          </w:p>
          <w:tbl>
            <w:tblPr>
              <w:tblStyle w:val="29"/>
              <w:tblW w:w="49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5"/>
              <w:gridCol w:w="1251"/>
              <w:gridCol w:w="1251"/>
              <w:gridCol w:w="1251"/>
              <w:gridCol w:w="1251"/>
              <w:gridCol w:w="1251"/>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9" w:type="pct"/>
                  <w:tcBorders>
                    <w:top w:val="single" w:color="auto" w:sz="4" w:space="0"/>
                    <w:left w:val="single" w:color="auto" w:sz="4" w:space="0"/>
                    <w:tl2br w:val="single" w:color="auto" w:sz="4" w:space="0"/>
                  </w:tcBorders>
                  <w:noWrap w:val="0"/>
                  <w:vAlign w:val="top"/>
                </w:tcPr>
                <w:p>
                  <w:pPr>
                    <w:pStyle w:val="161"/>
                    <w:bidi w:val="0"/>
                  </w:pPr>
                  <w:r>
                    <w:t xml:space="preserve">   清洁度</w:t>
                  </w:r>
                </w:p>
                <w:p>
                  <w:pPr>
                    <w:pStyle w:val="161"/>
                    <w:bidi w:val="0"/>
                  </w:pPr>
                  <w:r>
                    <w:t>车速</w:t>
                  </w:r>
                </w:p>
              </w:tc>
              <w:tc>
                <w:tcPr>
                  <w:tcW w:w="692" w:type="pct"/>
                  <w:tcBorders>
                    <w:top w:val="single" w:color="auto" w:sz="4" w:space="0"/>
                  </w:tcBorders>
                  <w:noWrap w:val="0"/>
                  <w:vAlign w:val="top"/>
                </w:tcPr>
                <w:p>
                  <w:pPr>
                    <w:pStyle w:val="161"/>
                    <w:bidi w:val="0"/>
                  </w:pPr>
                  <w:r>
                    <w:t>0.1</w:t>
                  </w:r>
                </w:p>
                <w:p>
                  <w:pPr>
                    <w:pStyle w:val="161"/>
                    <w:bidi w:val="0"/>
                  </w:pPr>
                  <w:r>
                    <w:t>(kg/m2)</w:t>
                  </w:r>
                </w:p>
              </w:tc>
              <w:tc>
                <w:tcPr>
                  <w:tcW w:w="692" w:type="pct"/>
                  <w:tcBorders>
                    <w:top w:val="single" w:color="auto" w:sz="4" w:space="0"/>
                  </w:tcBorders>
                  <w:noWrap w:val="0"/>
                  <w:vAlign w:val="top"/>
                </w:tcPr>
                <w:p>
                  <w:pPr>
                    <w:pStyle w:val="161"/>
                    <w:bidi w:val="0"/>
                  </w:pPr>
                  <w:r>
                    <w:t>0.2</w:t>
                  </w:r>
                </w:p>
                <w:p>
                  <w:pPr>
                    <w:pStyle w:val="161"/>
                    <w:bidi w:val="0"/>
                  </w:pPr>
                  <w:r>
                    <w:t>(kg/m2)</w:t>
                  </w:r>
                </w:p>
              </w:tc>
              <w:tc>
                <w:tcPr>
                  <w:tcW w:w="692" w:type="pct"/>
                  <w:tcBorders>
                    <w:top w:val="single" w:color="auto" w:sz="4" w:space="0"/>
                  </w:tcBorders>
                  <w:noWrap w:val="0"/>
                  <w:vAlign w:val="top"/>
                </w:tcPr>
                <w:p>
                  <w:pPr>
                    <w:pStyle w:val="161"/>
                    <w:bidi w:val="0"/>
                  </w:pPr>
                  <w:r>
                    <w:t>0.3</w:t>
                  </w:r>
                </w:p>
                <w:p>
                  <w:pPr>
                    <w:pStyle w:val="161"/>
                    <w:bidi w:val="0"/>
                  </w:pPr>
                  <w:r>
                    <w:t>(kg/m2)</w:t>
                  </w:r>
                </w:p>
              </w:tc>
              <w:tc>
                <w:tcPr>
                  <w:tcW w:w="692" w:type="pct"/>
                  <w:tcBorders>
                    <w:top w:val="single" w:color="auto" w:sz="4" w:space="0"/>
                  </w:tcBorders>
                  <w:noWrap w:val="0"/>
                  <w:vAlign w:val="top"/>
                </w:tcPr>
                <w:p>
                  <w:pPr>
                    <w:pStyle w:val="161"/>
                    <w:bidi w:val="0"/>
                  </w:pPr>
                  <w:r>
                    <w:t>0.4</w:t>
                  </w:r>
                </w:p>
                <w:p>
                  <w:pPr>
                    <w:pStyle w:val="161"/>
                    <w:bidi w:val="0"/>
                  </w:pPr>
                  <w:r>
                    <w:t>(kg/m2)</w:t>
                  </w:r>
                </w:p>
              </w:tc>
              <w:tc>
                <w:tcPr>
                  <w:tcW w:w="692" w:type="pct"/>
                  <w:tcBorders>
                    <w:top w:val="single" w:color="auto" w:sz="4" w:space="0"/>
                  </w:tcBorders>
                  <w:noWrap w:val="0"/>
                  <w:vAlign w:val="top"/>
                </w:tcPr>
                <w:p>
                  <w:pPr>
                    <w:pStyle w:val="161"/>
                    <w:bidi w:val="0"/>
                  </w:pPr>
                  <w:r>
                    <w:t>0.5</w:t>
                  </w:r>
                </w:p>
                <w:p>
                  <w:pPr>
                    <w:pStyle w:val="161"/>
                    <w:bidi w:val="0"/>
                  </w:pPr>
                  <w:r>
                    <w:t>(kg/m2)</w:t>
                  </w:r>
                </w:p>
              </w:tc>
              <w:tc>
                <w:tcPr>
                  <w:tcW w:w="689" w:type="pct"/>
                  <w:tcBorders>
                    <w:top w:val="single" w:color="auto" w:sz="4" w:space="0"/>
                    <w:right w:val="single" w:color="auto" w:sz="4" w:space="0"/>
                  </w:tcBorders>
                  <w:noWrap w:val="0"/>
                  <w:vAlign w:val="top"/>
                </w:tcPr>
                <w:p>
                  <w:pPr>
                    <w:pStyle w:val="161"/>
                    <w:bidi w:val="0"/>
                  </w:pPr>
                  <w:r>
                    <w:t>1.0</w:t>
                  </w:r>
                </w:p>
                <w:p>
                  <w:pPr>
                    <w:pStyle w:val="161"/>
                    <w:bidi w:val="0"/>
                  </w:pPr>
                  <w:r>
                    <w:t>(kg/m2)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9" w:type="pct"/>
                  <w:tcBorders>
                    <w:left w:val="single" w:color="auto" w:sz="4" w:space="0"/>
                  </w:tcBorders>
                  <w:noWrap w:val="0"/>
                  <w:vAlign w:val="top"/>
                </w:tcPr>
                <w:p>
                  <w:pPr>
                    <w:pStyle w:val="161"/>
                    <w:bidi w:val="0"/>
                  </w:pPr>
                  <w:r>
                    <w:t>5（km/h）</w:t>
                  </w:r>
                </w:p>
              </w:tc>
              <w:tc>
                <w:tcPr>
                  <w:tcW w:w="692" w:type="pct"/>
                  <w:noWrap w:val="0"/>
                  <w:vAlign w:val="top"/>
                </w:tcPr>
                <w:p>
                  <w:pPr>
                    <w:pStyle w:val="161"/>
                    <w:bidi w:val="0"/>
                  </w:pPr>
                  <w:r>
                    <w:t>0.0511</w:t>
                  </w:r>
                </w:p>
              </w:tc>
              <w:tc>
                <w:tcPr>
                  <w:tcW w:w="692" w:type="pct"/>
                  <w:noWrap w:val="0"/>
                  <w:vAlign w:val="top"/>
                </w:tcPr>
                <w:p>
                  <w:pPr>
                    <w:pStyle w:val="161"/>
                    <w:bidi w:val="0"/>
                  </w:pPr>
                  <w:r>
                    <w:t>0.0859</w:t>
                  </w:r>
                </w:p>
              </w:tc>
              <w:tc>
                <w:tcPr>
                  <w:tcW w:w="692" w:type="pct"/>
                  <w:noWrap w:val="0"/>
                  <w:vAlign w:val="top"/>
                </w:tcPr>
                <w:p>
                  <w:pPr>
                    <w:pStyle w:val="161"/>
                    <w:bidi w:val="0"/>
                  </w:pPr>
                  <w:r>
                    <w:t>0.1164</w:t>
                  </w:r>
                </w:p>
              </w:tc>
              <w:tc>
                <w:tcPr>
                  <w:tcW w:w="692" w:type="pct"/>
                  <w:noWrap w:val="0"/>
                  <w:vAlign w:val="top"/>
                </w:tcPr>
                <w:p>
                  <w:pPr>
                    <w:pStyle w:val="161"/>
                    <w:bidi w:val="0"/>
                  </w:pPr>
                  <w:r>
                    <w:t>0.1444</w:t>
                  </w:r>
                </w:p>
              </w:tc>
              <w:tc>
                <w:tcPr>
                  <w:tcW w:w="692" w:type="pct"/>
                  <w:noWrap w:val="0"/>
                  <w:vAlign w:val="top"/>
                </w:tcPr>
                <w:p>
                  <w:pPr>
                    <w:pStyle w:val="161"/>
                    <w:bidi w:val="0"/>
                  </w:pPr>
                  <w:r>
                    <w:t>0.1707</w:t>
                  </w:r>
                </w:p>
              </w:tc>
              <w:tc>
                <w:tcPr>
                  <w:tcW w:w="689" w:type="pct"/>
                  <w:tcBorders>
                    <w:right w:val="single" w:color="auto" w:sz="4" w:space="0"/>
                  </w:tcBorders>
                  <w:noWrap w:val="0"/>
                  <w:vAlign w:val="top"/>
                </w:tcPr>
                <w:p>
                  <w:pPr>
                    <w:pStyle w:val="161"/>
                    <w:bidi w:val="0"/>
                  </w:pPr>
                  <w:r>
                    <w:t>0.2871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9" w:type="pct"/>
                  <w:tcBorders>
                    <w:left w:val="single" w:color="auto" w:sz="4" w:space="0"/>
                  </w:tcBorders>
                  <w:noWrap w:val="0"/>
                  <w:vAlign w:val="top"/>
                </w:tcPr>
                <w:p>
                  <w:pPr>
                    <w:pStyle w:val="161"/>
                    <w:bidi w:val="0"/>
                  </w:pPr>
                  <w:r>
                    <w:t>10（km/h）</w:t>
                  </w:r>
                </w:p>
              </w:tc>
              <w:tc>
                <w:tcPr>
                  <w:tcW w:w="692" w:type="pct"/>
                  <w:noWrap w:val="0"/>
                  <w:vAlign w:val="top"/>
                </w:tcPr>
                <w:p>
                  <w:pPr>
                    <w:pStyle w:val="161"/>
                    <w:bidi w:val="0"/>
                  </w:pPr>
                  <w:r>
                    <w:t>0.1021</w:t>
                  </w:r>
                </w:p>
              </w:tc>
              <w:tc>
                <w:tcPr>
                  <w:tcW w:w="692" w:type="pct"/>
                  <w:noWrap w:val="0"/>
                  <w:vAlign w:val="top"/>
                </w:tcPr>
                <w:p>
                  <w:pPr>
                    <w:pStyle w:val="161"/>
                    <w:bidi w:val="0"/>
                  </w:pPr>
                  <w:r>
                    <w:t>0.1717</w:t>
                  </w:r>
                </w:p>
              </w:tc>
              <w:tc>
                <w:tcPr>
                  <w:tcW w:w="692" w:type="pct"/>
                  <w:noWrap w:val="0"/>
                  <w:vAlign w:val="top"/>
                </w:tcPr>
                <w:p>
                  <w:pPr>
                    <w:pStyle w:val="161"/>
                    <w:bidi w:val="0"/>
                  </w:pPr>
                  <w:r>
                    <w:t>0.2328</w:t>
                  </w:r>
                </w:p>
              </w:tc>
              <w:tc>
                <w:tcPr>
                  <w:tcW w:w="692" w:type="pct"/>
                  <w:noWrap w:val="0"/>
                  <w:vAlign w:val="top"/>
                </w:tcPr>
                <w:p>
                  <w:pPr>
                    <w:pStyle w:val="161"/>
                    <w:bidi w:val="0"/>
                  </w:pPr>
                  <w:r>
                    <w:t>0.2888</w:t>
                  </w:r>
                </w:p>
              </w:tc>
              <w:tc>
                <w:tcPr>
                  <w:tcW w:w="692" w:type="pct"/>
                  <w:noWrap w:val="0"/>
                  <w:vAlign w:val="top"/>
                </w:tcPr>
                <w:p>
                  <w:pPr>
                    <w:pStyle w:val="161"/>
                    <w:bidi w:val="0"/>
                  </w:pPr>
                  <w:r>
                    <w:t>0.3414</w:t>
                  </w:r>
                </w:p>
              </w:tc>
              <w:tc>
                <w:tcPr>
                  <w:tcW w:w="689" w:type="pct"/>
                  <w:tcBorders>
                    <w:right w:val="single" w:color="auto" w:sz="4" w:space="0"/>
                  </w:tcBorders>
                  <w:noWrap w:val="0"/>
                  <w:vAlign w:val="top"/>
                </w:tcPr>
                <w:p>
                  <w:pPr>
                    <w:pStyle w:val="161"/>
                    <w:bidi w:val="0"/>
                  </w:pPr>
                  <w:r>
                    <w:t>0.5741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49" w:type="pct"/>
                  <w:tcBorders>
                    <w:left w:val="single" w:color="auto" w:sz="4" w:space="0"/>
                  </w:tcBorders>
                  <w:noWrap w:val="0"/>
                  <w:vAlign w:val="top"/>
                </w:tcPr>
                <w:p>
                  <w:pPr>
                    <w:pStyle w:val="161"/>
                    <w:bidi w:val="0"/>
                  </w:pPr>
                  <w:r>
                    <w:t>15（km/h）</w:t>
                  </w:r>
                </w:p>
              </w:tc>
              <w:tc>
                <w:tcPr>
                  <w:tcW w:w="692" w:type="pct"/>
                  <w:noWrap w:val="0"/>
                  <w:vAlign w:val="top"/>
                </w:tcPr>
                <w:p>
                  <w:pPr>
                    <w:pStyle w:val="161"/>
                    <w:bidi w:val="0"/>
                  </w:pPr>
                  <w:r>
                    <w:t>0.1532</w:t>
                  </w:r>
                </w:p>
              </w:tc>
              <w:tc>
                <w:tcPr>
                  <w:tcW w:w="692" w:type="pct"/>
                  <w:noWrap w:val="0"/>
                  <w:vAlign w:val="top"/>
                </w:tcPr>
                <w:p>
                  <w:pPr>
                    <w:pStyle w:val="161"/>
                    <w:bidi w:val="0"/>
                  </w:pPr>
                  <w:r>
                    <w:t>0.1576</w:t>
                  </w:r>
                </w:p>
              </w:tc>
              <w:tc>
                <w:tcPr>
                  <w:tcW w:w="692" w:type="pct"/>
                  <w:noWrap w:val="0"/>
                  <w:vAlign w:val="top"/>
                </w:tcPr>
                <w:p>
                  <w:pPr>
                    <w:pStyle w:val="161"/>
                    <w:bidi w:val="0"/>
                  </w:pPr>
                  <w:r>
                    <w:t>0.3491</w:t>
                  </w:r>
                </w:p>
              </w:tc>
              <w:tc>
                <w:tcPr>
                  <w:tcW w:w="692" w:type="pct"/>
                  <w:noWrap w:val="0"/>
                  <w:vAlign w:val="top"/>
                </w:tcPr>
                <w:p>
                  <w:pPr>
                    <w:pStyle w:val="161"/>
                    <w:bidi w:val="0"/>
                  </w:pPr>
                  <w:r>
                    <w:t>0.4132</w:t>
                  </w:r>
                </w:p>
              </w:tc>
              <w:tc>
                <w:tcPr>
                  <w:tcW w:w="692" w:type="pct"/>
                  <w:noWrap w:val="0"/>
                  <w:vAlign w:val="top"/>
                </w:tcPr>
                <w:p>
                  <w:pPr>
                    <w:pStyle w:val="161"/>
                    <w:bidi w:val="0"/>
                  </w:pPr>
                  <w:r>
                    <w:t>0.5121</w:t>
                  </w:r>
                </w:p>
              </w:tc>
              <w:tc>
                <w:tcPr>
                  <w:tcW w:w="689" w:type="pct"/>
                  <w:tcBorders>
                    <w:right w:val="single" w:color="auto" w:sz="4" w:space="0"/>
                  </w:tcBorders>
                  <w:noWrap w:val="0"/>
                  <w:vAlign w:val="top"/>
                </w:tcPr>
                <w:p>
                  <w:pPr>
                    <w:pStyle w:val="161"/>
                    <w:bidi w:val="0"/>
                  </w:pPr>
                  <w:r>
                    <w:t>0.8613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49" w:type="pct"/>
                  <w:tcBorders>
                    <w:left w:val="single" w:color="auto" w:sz="4" w:space="0"/>
                    <w:bottom w:val="single" w:color="auto" w:sz="4" w:space="0"/>
                  </w:tcBorders>
                  <w:noWrap w:val="0"/>
                  <w:vAlign w:val="top"/>
                </w:tcPr>
                <w:p>
                  <w:pPr>
                    <w:pStyle w:val="161"/>
                    <w:bidi w:val="0"/>
                  </w:pPr>
                  <w:r>
                    <w:t>25（km/h）</w:t>
                  </w:r>
                </w:p>
              </w:tc>
              <w:tc>
                <w:tcPr>
                  <w:tcW w:w="692" w:type="pct"/>
                  <w:tcBorders>
                    <w:bottom w:val="single" w:color="auto" w:sz="4" w:space="0"/>
                  </w:tcBorders>
                  <w:noWrap w:val="0"/>
                  <w:vAlign w:val="top"/>
                </w:tcPr>
                <w:p>
                  <w:pPr>
                    <w:pStyle w:val="161"/>
                    <w:bidi w:val="0"/>
                  </w:pPr>
                  <w:r>
                    <w:t>0.2553</w:t>
                  </w:r>
                </w:p>
              </w:tc>
              <w:tc>
                <w:tcPr>
                  <w:tcW w:w="692" w:type="pct"/>
                  <w:tcBorders>
                    <w:bottom w:val="single" w:color="auto" w:sz="4" w:space="0"/>
                  </w:tcBorders>
                  <w:noWrap w:val="0"/>
                  <w:vAlign w:val="top"/>
                </w:tcPr>
                <w:p>
                  <w:pPr>
                    <w:pStyle w:val="161"/>
                    <w:bidi w:val="0"/>
                  </w:pPr>
                  <w:r>
                    <w:t>0.4293</w:t>
                  </w:r>
                </w:p>
              </w:tc>
              <w:tc>
                <w:tcPr>
                  <w:tcW w:w="692" w:type="pct"/>
                  <w:tcBorders>
                    <w:bottom w:val="single" w:color="auto" w:sz="4" w:space="0"/>
                  </w:tcBorders>
                  <w:noWrap w:val="0"/>
                  <w:vAlign w:val="top"/>
                </w:tcPr>
                <w:p>
                  <w:pPr>
                    <w:pStyle w:val="161"/>
                    <w:bidi w:val="0"/>
                  </w:pPr>
                  <w:r>
                    <w:t>0.581</w:t>
                  </w:r>
                  <w:r>
                    <w:cr/>
                  </w:r>
                </w:p>
              </w:tc>
              <w:tc>
                <w:tcPr>
                  <w:tcW w:w="692" w:type="pct"/>
                  <w:tcBorders>
                    <w:bottom w:val="single" w:color="auto" w:sz="4" w:space="0"/>
                  </w:tcBorders>
                  <w:noWrap w:val="0"/>
                  <w:vAlign w:val="top"/>
                </w:tcPr>
                <w:p>
                  <w:pPr>
                    <w:pStyle w:val="161"/>
                    <w:bidi w:val="0"/>
                  </w:pPr>
                  <w:r>
                    <w:t>0.7220</w:t>
                  </w:r>
                </w:p>
              </w:tc>
              <w:tc>
                <w:tcPr>
                  <w:tcW w:w="692" w:type="pct"/>
                  <w:tcBorders>
                    <w:bottom w:val="single" w:color="auto" w:sz="4" w:space="0"/>
                  </w:tcBorders>
                  <w:noWrap w:val="0"/>
                  <w:vAlign w:val="top"/>
                </w:tcPr>
                <w:p>
                  <w:pPr>
                    <w:pStyle w:val="161"/>
                    <w:bidi w:val="0"/>
                  </w:pPr>
                  <w:r>
                    <w:t>0.8536</w:t>
                  </w:r>
                </w:p>
              </w:tc>
              <w:tc>
                <w:tcPr>
                  <w:tcW w:w="689" w:type="pct"/>
                  <w:tcBorders>
                    <w:bottom w:val="single" w:color="auto" w:sz="4" w:space="0"/>
                    <w:right w:val="single" w:color="auto" w:sz="4" w:space="0"/>
                  </w:tcBorders>
                  <w:noWrap w:val="0"/>
                  <w:vAlign w:val="top"/>
                </w:tcPr>
                <w:p>
                  <w:pPr>
                    <w:pStyle w:val="161"/>
                    <w:bidi w:val="0"/>
                  </w:pPr>
                  <w:r>
                    <w:t>1.4355</w:t>
                  </w:r>
                </w:p>
              </w:tc>
            </w:tr>
          </w:tbl>
          <w:p>
            <w:pPr>
              <w:pStyle w:val="97"/>
              <w:rPr>
                <w:rFonts w:hint="default"/>
                <w:lang w:val="en-US" w:eastAsia="zh-CN"/>
              </w:rPr>
            </w:pPr>
            <w:r>
              <w:rPr>
                <w:rFonts w:hint="default"/>
                <w:lang w:val="en-US" w:eastAsia="zh-CN"/>
              </w:rPr>
              <w:t>2）风力扬尘</w:t>
            </w:r>
          </w:p>
          <w:p>
            <w:pPr>
              <w:pStyle w:val="97"/>
              <w:rPr>
                <w:rFonts w:hint="default"/>
                <w:lang w:val="en-US" w:eastAsia="zh-CN"/>
              </w:rPr>
            </w:pPr>
            <w:r>
              <w:rPr>
                <w:rFonts w:hint="default"/>
                <w:lang w:val="en-US" w:eastAsia="zh-CN"/>
              </w:rPr>
              <w:t>施工扬尘的另一来源是建材的露天堆放、裸露场的风力扬尘，这类扬尘的主要特点是受作业时风速的影响，一般情况下，施工工地在自然风作用下产生的扬尘所影响范围在100m以内。</w:t>
            </w:r>
          </w:p>
          <w:p>
            <w:pPr>
              <w:pStyle w:val="97"/>
              <w:rPr>
                <w:rFonts w:hint="default"/>
                <w:lang w:val="en-US" w:eastAsia="zh-CN"/>
              </w:rPr>
            </w:pPr>
            <w:r>
              <w:rPr>
                <w:rFonts w:hint="default"/>
                <w:lang w:val="en-US" w:eastAsia="zh-CN"/>
              </w:rPr>
              <w:t>堆场扬尘量的经验计算公式为：</w:t>
            </w:r>
          </w:p>
          <w:p>
            <w:pPr>
              <w:pStyle w:val="97"/>
              <w:rPr>
                <w:rFonts w:hint="default"/>
                <w:lang w:val="en-US" w:eastAsia="zh-CN"/>
              </w:rPr>
            </w:pPr>
            <w:bookmarkStart w:id="18" w:name="_Toc16064"/>
            <w:r>
              <w:rPr>
                <w:rFonts w:hint="default"/>
                <w:lang w:val="en-US" w:eastAsia="zh-CN"/>
              </w:rPr>
              <w:object>
                <v:shape id="_x0000_i1027" o:spt="75" type="#_x0000_t75" style="height:19.65pt;width:120.65pt;" o:ole="t" filled="f" o:preferrelative="t" stroked="f" coordsize="21600,21600">
                  <v:path/>
                  <v:fill on="f" focussize="0,0"/>
                  <v:stroke on="f"/>
                  <v:imagedata r:id="rId18" o:title=""/>
                  <o:lock v:ext="edit" aspectratio="t"/>
                  <w10:wrap type="none"/>
                  <w10:anchorlock/>
                </v:shape>
                <o:OLEObject Type="Embed" ProgID="Equation.3" ShapeID="_x0000_i1027" DrawAspect="Content" ObjectID="_1468075727" r:id="rId17">
                  <o:LockedField>false</o:LockedField>
                </o:OLEObject>
              </w:object>
            </w:r>
            <w:bookmarkEnd w:id="18"/>
          </w:p>
          <w:p>
            <w:pPr>
              <w:pStyle w:val="97"/>
              <w:rPr>
                <w:rFonts w:hint="default"/>
                <w:lang w:val="en-US" w:eastAsia="zh-CN"/>
              </w:rPr>
            </w:pPr>
            <w:r>
              <w:rPr>
                <w:rFonts w:hint="default"/>
                <w:lang w:val="en-US" w:eastAsia="zh-CN"/>
              </w:rPr>
              <w:t>式中：</w:t>
            </w:r>
            <w:r>
              <w:rPr>
                <w:rFonts w:hint="default"/>
                <w:lang w:val="en-US" w:eastAsia="zh-CN"/>
              </w:rPr>
              <w:object>
                <v:shape id="_x0000_i1028" o:spt="75" type="#_x0000_t75" style="height:16.85pt;width:145pt;" o:ole="t" filled="f" o:preferrelative="t" stroked="f" coordsize="21600,21600">
                  <v:path/>
                  <v:fill on="f" focussize="0,0"/>
                  <v:stroke on="f"/>
                  <v:imagedata r:id="rId20" o:title=""/>
                  <o:lock v:ext="edit" aspectratio="t"/>
                  <w10:wrap type="none"/>
                  <w10:anchorlock/>
                </v:shape>
                <o:OLEObject Type="Embed" ProgID="Equation.3" ShapeID="_x0000_i1028" DrawAspect="Content" ObjectID="_1468075728" r:id="rId19">
                  <o:LockedField>false</o:LockedField>
                </o:OLEObject>
              </w:object>
            </w:r>
          </w:p>
          <w:p>
            <w:pPr>
              <w:pStyle w:val="97"/>
              <w:rPr>
                <w:rFonts w:hint="default"/>
                <w:lang w:val="en-US" w:eastAsia="zh-CN"/>
              </w:rPr>
            </w:pPr>
            <w:r>
              <w:rPr>
                <w:rFonts w:hint="default"/>
                <w:lang w:val="en-US" w:eastAsia="zh-CN"/>
              </w:rPr>
              <w:t xml:space="preserve">      </w:t>
            </w:r>
            <w:r>
              <w:rPr>
                <w:rFonts w:hint="default"/>
                <w:lang w:val="en-US" w:eastAsia="zh-CN"/>
              </w:rPr>
              <w:object>
                <v:shape id="_x0000_i1029" o:spt="75" type="#_x0000_t75" style="height:17.75pt;width:179.55pt;" o:ole="t" filled="f" o:preferrelative="t" stroked="f" coordsize="21600,21600">
                  <v:path/>
                  <v:fill on="f" alignshape="1" focussize="0,0"/>
                  <v:stroke on="f"/>
                  <v:imagedata r:id="rId22" o:title=""/>
                  <o:lock v:ext="edit" aspectratio="t"/>
                  <w10:wrap type="none"/>
                  <w10:anchorlock/>
                </v:shape>
                <o:OLEObject Type="Embed" ProgID="Equation.3" ShapeID="_x0000_i1029" DrawAspect="Content" ObjectID="_1468075729" r:id="rId21">
                  <o:LockedField>false</o:LockedField>
                </o:OLEObject>
              </w:object>
            </w:r>
          </w:p>
          <w:p>
            <w:pPr>
              <w:pStyle w:val="97"/>
              <w:rPr>
                <w:rFonts w:hint="default"/>
                <w:lang w:val="en-US" w:eastAsia="zh-CN"/>
              </w:rPr>
            </w:pPr>
            <w:r>
              <w:rPr>
                <w:rFonts w:hint="default"/>
                <w:lang w:val="en-US" w:eastAsia="zh-CN"/>
              </w:rPr>
              <w:t xml:space="preserve">      </w:t>
            </w:r>
            <w:r>
              <w:rPr>
                <w:rFonts w:hint="default"/>
                <w:lang w:val="en-US" w:eastAsia="zh-CN"/>
              </w:rPr>
              <w:object>
                <v:shape id="_x0000_i1030" o:spt="75" type="#_x0000_t75" style="height:17.75pt;width:129pt;" o:ole="t" filled="f" o:preferrelative="t" stroked="f" coordsize="21600,21600">
                  <v:path/>
                  <v:fill on="f" focussize="0,0"/>
                  <v:stroke on="f"/>
                  <v:imagedata r:id="rId24" o:title=""/>
                  <o:lock v:ext="edit" aspectratio="t"/>
                  <w10:wrap type="none"/>
                  <w10:anchorlock/>
                </v:shape>
                <o:OLEObject Type="Embed" ProgID="Equation.3" ShapeID="_x0000_i1030" DrawAspect="Content" ObjectID="_1468075730" r:id="rId23">
                  <o:LockedField>false</o:LockedField>
                </o:OLEObject>
              </w:object>
            </w:r>
          </w:p>
          <w:p>
            <w:pPr>
              <w:pStyle w:val="97"/>
              <w:rPr>
                <w:rFonts w:hint="default"/>
                <w:lang w:val="en-US" w:eastAsia="zh-CN"/>
              </w:rPr>
            </w:pPr>
            <w:r>
              <w:rPr>
                <w:rFonts w:hint="default"/>
                <w:lang w:val="en-US" w:eastAsia="zh-CN"/>
              </w:rPr>
              <w:t xml:space="preserve">      </w:t>
            </w:r>
            <w:r>
              <w:rPr>
                <w:rFonts w:hint="default"/>
                <w:lang w:val="en-US" w:eastAsia="zh-CN"/>
              </w:rPr>
              <w:object>
                <v:shape id="_x0000_i1031" o:spt="75" type="#_x0000_t75" style="height:15.9pt;width:135.6pt;" o:ole="t" filled="f" o:preferrelative="t" stroked="f" coordsize="21600,21600">
                  <v:path/>
                  <v:fill on="f" focussize="0,0"/>
                  <v:stroke on="f"/>
                  <v:imagedata r:id="rId26" o:title=""/>
                  <o:lock v:ext="edit" aspectratio="t"/>
                  <w10:wrap type="none"/>
                  <w10:anchorlock/>
                </v:shape>
                <o:OLEObject Type="Embed" ProgID="Equation.3" ShapeID="_x0000_i1031" DrawAspect="Content" ObjectID="_1468075731" r:id="rId25">
                  <o:LockedField>false</o:LockedField>
                </o:OLEObject>
              </w:object>
            </w:r>
          </w:p>
          <w:p>
            <w:pPr>
              <w:pStyle w:val="97"/>
              <w:rPr>
                <w:rFonts w:hint="default"/>
                <w:lang w:val="en-US" w:eastAsia="zh-CN"/>
              </w:rPr>
            </w:pPr>
            <w:r>
              <w:rPr>
                <w:rFonts w:hint="default"/>
                <w:lang w:val="en-US" w:eastAsia="zh-CN"/>
              </w:rPr>
              <w:t>起尘风速与粒径和含水量有关，粉尘在空气中的扩散稀释与风速等气象条件有关，也与粉尘本身的沉降速度有关。不同粒径粉尘的沉降速度见下表：</w:t>
            </w:r>
          </w:p>
          <w:p>
            <w:pPr>
              <w:pStyle w:val="195"/>
              <w:bidi w:val="0"/>
              <w:rPr>
                <w:rFonts w:hint="default"/>
                <w:lang w:val="en-US" w:eastAsia="zh-CN"/>
              </w:rPr>
            </w:pPr>
            <w:r>
              <w:rPr>
                <w:rFonts w:hint="default"/>
                <w:lang w:val="en-US" w:eastAsia="zh-CN"/>
              </w:rPr>
              <w:t>表5-</w:t>
            </w:r>
            <w:r>
              <w:rPr>
                <w:rFonts w:hint="eastAsia"/>
                <w:lang w:val="en-US" w:eastAsia="zh-CN"/>
              </w:rPr>
              <w:t>3</w:t>
            </w:r>
            <w:r>
              <w:rPr>
                <w:rFonts w:hint="default"/>
                <w:lang w:val="en-US" w:eastAsia="zh-CN"/>
              </w:rPr>
              <w:t xml:space="preserve">  不同粒径粉尘的沉降速度</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4"/>
              <w:gridCol w:w="956"/>
              <w:gridCol w:w="957"/>
              <w:gridCol w:w="957"/>
              <w:gridCol w:w="957"/>
              <w:gridCol w:w="957"/>
              <w:gridCol w:w="957"/>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305" w:type="pct"/>
                  <w:noWrap w:val="0"/>
                  <w:vAlign w:val="top"/>
                </w:tcPr>
                <w:p>
                  <w:pPr>
                    <w:pStyle w:val="161"/>
                    <w:bidi w:val="0"/>
                  </w:pPr>
                  <w:r>
                    <w:t>粉尘粒径（</w:t>
                  </w:r>
                  <w:r>
                    <w:rPr>
                      <w:rFonts w:hint="default" w:ascii="Times New Roman" w:hAnsi="Times New Roman" w:cs="Times New Roman"/>
                    </w:rPr>
                    <w:t>μ</w:t>
                  </w:r>
                  <w:r>
                    <w:t>m）</w:t>
                  </w:r>
                </w:p>
              </w:tc>
              <w:tc>
                <w:tcPr>
                  <w:tcW w:w="528" w:type="pct"/>
                  <w:noWrap w:val="0"/>
                  <w:vAlign w:val="top"/>
                </w:tcPr>
                <w:p>
                  <w:pPr>
                    <w:pStyle w:val="161"/>
                    <w:bidi w:val="0"/>
                  </w:pPr>
                  <w:r>
                    <w:t>10</w:t>
                  </w:r>
                </w:p>
              </w:tc>
              <w:tc>
                <w:tcPr>
                  <w:tcW w:w="528" w:type="pct"/>
                  <w:noWrap w:val="0"/>
                  <w:vAlign w:val="top"/>
                </w:tcPr>
                <w:p>
                  <w:pPr>
                    <w:pStyle w:val="161"/>
                    <w:bidi w:val="0"/>
                  </w:pPr>
                  <w:r>
                    <w:t>20</w:t>
                  </w:r>
                </w:p>
              </w:tc>
              <w:tc>
                <w:tcPr>
                  <w:tcW w:w="528" w:type="pct"/>
                  <w:noWrap w:val="0"/>
                  <w:vAlign w:val="top"/>
                </w:tcPr>
                <w:p>
                  <w:pPr>
                    <w:pStyle w:val="161"/>
                    <w:bidi w:val="0"/>
                  </w:pPr>
                  <w:r>
                    <w:t>30</w:t>
                  </w:r>
                </w:p>
              </w:tc>
              <w:tc>
                <w:tcPr>
                  <w:tcW w:w="528" w:type="pct"/>
                  <w:noWrap w:val="0"/>
                  <w:vAlign w:val="top"/>
                </w:tcPr>
                <w:p>
                  <w:pPr>
                    <w:pStyle w:val="161"/>
                    <w:bidi w:val="0"/>
                  </w:pPr>
                  <w:r>
                    <w:t>40</w:t>
                  </w:r>
                </w:p>
              </w:tc>
              <w:tc>
                <w:tcPr>
                  <w:tcW w:w="528" w:type="pct"/>
                  <w:noWrap w:val="0"/>
                  <w:vAlign w:val="top"/>
                </w:tcPr>
                <w:p>
                  <w:pPr>
                    <w:pStyle w:val="161"/>
                    <w:bidi w:val="0"/>
                  </w:pPr>
                  <w:r>
                    <w:t>50</w:t>
                  </w:r>
                </w:p>
              </w:tc>
              <w:tc>
                <w:tcPr>
                  <w:tcW w:w="528" w:type="pct"/>
                  <w:noWrap w:val="0"/>
                  <w:vAlign w:val="top"/>
                </w:tcPr>
                <w:p>
                  <w:pPr>
                    <w:pStyle w:val="161"/>
                    <w:bidi w:val="0"/>
                  </w:pPr>
                  <w:r>
                    <w:t>60</w:t>
                  </w:r>
                </w:p>
              </w:tc>
              <w:tc>
                <w:tcPr>
                  <w:tcW w:w="527" w:type="pct"/>
                  <w:noWrap w:val="0"/>
                  <w:vAlign w:val="top"/>
                </w:tcPr>
                <w:p>
                  <w:pPr>
                    <w:pStyle w:val="161"/>
                    <w:bidi w:val="0"/>
                  </w:pP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305" w:type="pct"/>
                  <w:noWrap w:val="0"/>
                  <w:vAlign w:val="top"/>
                </w:tcPr>
                <w:p>
                  <w:pPr>
                    <w:pStyle w:val="161"/>
                    <w:bidi w:val="0"/>
                  </w:pPr>
                  <w:r>
                    <w:t>沉降速度（m/s）</w:t>
                  </w:r>
                </w:p>
              </w:tc>
              <w:tc>
                <w:tcPr>
                  <w:tcW w:w="528" w:type="pct"/>
                  <w:noWrap w:val="0"/>
                  <w:vAlign w:val="top"/>
                </w:tcPr>
                <w:p>
                  <w:pPr>
                    <w:pStyle w:val="161"/>
                    <w:bidi w:val="0"/>
                  </w:pPr>
                  <w:r>
                    <w:t>0.003</w:t>
                  </w:r>
                </w:p>
              </w:tc>
              <w:tc>
                <w:tcPr>
                  <w:tcW w:w="528" w:type="pct"/>
                  <w:noWrap w:val="0"/>
                  <w:vAlign w:val="top"/>
                </w:tcPr>
                <w:p>
                  <w:pPr>
                    <w:pStyle w:val="161"/>
                    <w:bidi w:val="0"/>
                  </w:pPr>
                  <w:r>
                    <w:t>0.012</w:t>
                  </w:r>
                </w:p>
              </w:tc>
              <w:tc>
                <w:tcPr>
                  <w:tcW w:w="528" w:type="pct"/>
                  <w:noWrap w:val="0"/>
                  <w:vAlign w:val="top"/>
                </w:tcPr>
                <w:p>
                  <w:pPr>
                    <w:pStyle w:val="161"/>
                    <w:bidi w:val="0"/>
                  </w:pPr>
                  <w:r>
                    <w:t>0.027</w:t>
                  </w:r>
                </w:p>
              </w:tc>
              <w:tc>
                <w:tcPr>
                  <w:tcW w:w="528" w:type="pct"/>
                  <w:noWrap w:val="0"/>
                  <w:vAlign w:val="top"/>
                </w:tcPr>
                <w:p>
                  <w:pPr>
                    <w:pStyle w:val="161"/>
                    <w:bidi w:val="0"/>
                  </w:pPr>
                  <w:r>
                    <w:t>0.048</w:t>
                  </w:r>
                </w:p>
              </w:tc>
              <w:tc>
                <w:tcPr>
                  <w:tcW w:w="528" w:type="pct"/>
                  <w:noWrap w:val="0"/>
                  <w:vAlign w:val="top"/>
                </w:tcPr>
                <w:p>
                  <w:pPr>
                    <w:pStyle w:val="161"/>
                    <w:bidi w:val="0"/>
                  </w:pPr>
                  <w:r>
                    <w:t>0.075</w:t>
                  </w:r>
                </w:p>
              </w:tc>
              <w:tc>
                <w:tcPr>
                  <w:tcW w:w="528" w:type="pct"/>
                  <w:noWrap w:val="0"/>
                  <w:vAlign w:val="top"/>
                </w:tcPr>
                <w:p>
                  <w:pPr>
                    <w:pStyle w:val="161"/>
                    <w:bidi w:val="0"/>
                  </w:pPr>
                  <w:r>
                    <w:t>0.108</w:t>
                  </w:r>
                </w:p>
              </w:tc>
              <w:tc>
                <w:tcPr>
                  <w:tcW w:w="527" w:type="pct"/>
                  <w:noWrap w:val="0"/>
                  <w:vAlign w:val="top"/>
                </w:tcPr>
                <w:p>
                  <w:pPr>
                    <w:pStyle w:val="161"/>
                    <w:bidi w:val="0"/>
                  </w:pPr>
                  <w:r>
                    <w:t>0.147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1305" w:type="pct"/>
                  <w:noWrap w:val="0"/>
                  <w:vAlign w:val="top"/>
                </w:tcPr>
                <w:p>
                  <w:pPr>
                    <w:pStyle w:val="161"/>
                    <w:bidi w:val="0"/>
                  </w:pPr>
                  <w:r>
                    <w:t>粉尘粒径（m/s）</w:t>
                  </w:r>
                </w:p>
              </w:tc>
              <w:tc>
                <w:tcPr>
                  <w:tcW w:w="528" w:type="pct"/>
                  <w:noWrap w:val="0"/>
                  <w:vAlign w:val="top"/>
                </w:tcPr>
                <w:p>
                  <w:pPr>
                    <w:pStyle w:val="161"/>
                    <w:bidi w:val="0"/>
                  </w:pPr>
                  <w:r>
                    <w:t>80</w:t>
                  </w:r>
                </w:p>
              </w:tc>
              <w:tc>
                <w:tcPr>
                  <w:tcW w:w="528" w:type="pct"/>
                  <w:noWrap w:val="0"/>
                  <w:vAlign w:val="top"/>
                </w:tcPr>
                <w:p>
                  <w:pPr>
                    <w:pStyle w:val="161"/>
                    <w:bidi w:val="0"/>
                  </w:pPr>
                  <w:r>
                    <w:t>90</w:t>
                  </w:r>
                </w:p>
              </w:tc>
              <w:tc>
                <w:tcPr>
                  <w:tcW w:w="528" w:type="pct"/>
                  <w:noWrap w:val="0"/>
                  <w:vAlign w:val="top"/>
                </w:tcPr>
                <w:p>
                  <w:pPr>
                    <w:pStyle w:val="161"/>
                    <w:bidi w:val="0"/>
                  </w:pPr>
                  <w:r>
                    <w:t>100</w:t>
                  </w:r>
                </w:p>
              </w:tc>
              <w:tc>
                <w:tcPr>
                  <w:tcW w:w="528" w:type="pct"/>
                  <w:noWrap w:val="0"/>
                  <w:vAlign w:val="top"/>
                </w:tcPr>
                <w:p>
                  <w:pPr>
                    <w:pStyle w:val="161"/>
                    <w:bidi w:val="0"/>
                  </w:pPr>
                  <w:r>
                    <w:t>150</w:t>
                  </w:r>
                </w:p>
              </w:tc>
              <w:tc>
                <w:tcPr>
                  <w:tcW w:w="528" w:type="pct"/>
                  <w:noWrap w:val="0"/>
                  <w:vAlign w:val="top"/>
                </w:tcPr>
                <w:p>
                  <w:pPr>
                    <w:pStyle w:val="161"/>
                    <w:bidi w:val="0"/>
                  </w:pPr>
                  <w:r>
                    <w:t>200</w:t>
                  </w:r>
                </w:p>
              </w:tc>
              <w:tc>
                <w:tcPr>
                  <w:tcW w:w="528" w:type="pct"/>
                  <w:noWrap w:val="0"/>
                  <w:vAlign w:val="top"/>
                </w:tcPr>
                <w:p>
                  <w:pPr>
                    <w:pStyle w:val="161"/>
                    <w:bidi w:val="0"/>
                  </w:pPr>
                  <w:r>
                    <w:t>250</w:t>
                  </w:r>
                </w:p>
              </w:tc>
              <w:tc>
                <w:tcPr>
                  <w:tcW w:w="527" w:type="pct"/>
                  <w:noWrap w:val="0"/>
                  <w:vAlign w:val="top"/>
                </w:tcPr>
                <w:p>
                  <w:pPr>
                    <w:pStyle w:val="161"/>
                    <w:bidi w:val="0"/>
                  </w:pPr>
                  <w: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1305" w:type="pct"/>
                  <w:noWrap w:val="0"/>
                  <w:vAlign w:val="top"/>
                </w:tcPr>
                <w:p>
                  <w:pPr>
                    <w:pStyle w:val="161"/>
                    <w:bidi w:val="0"/>
                  </w:pPr>
                  <w:r>
                    <w:t>沉降速度（m/s）</w:t>
                  </w:r>
                </w:p>
              </w:tc>
              <w:tc>
                <w:tcPr>
                  <w:tcW w:w="528" w:type="pct"/>
                  <w:noWrap w:val="0"/>
                  <w:vAlign w:val="top"/>
                </w:tcPr>
                <w:p>
                  <w:pPr>
                    <w:pStyle w:val="161"/>
                    <w:bidi w:val="0"/>
                  </w:pPr>
                  <w:r>
                    <w:t>0.158</w:t>
                  </w:r>
                </w:p>
              </w:tc>
              <w:tc>
                <w:tcPr>
                  <w:tcW w:w="528" w:type="pct"/>
                  <w:noWrap w:val="0"/>
                  <w:vAlign w:val="top"/>
                </w:tcPr>
                <w:p>
                  <w:pPr>
                    <w:pStyle w:val="161"/>
                    <w:bidi w:val="0"/>
                  </w:pPr>
                  <w:r>
                    <w:t>0.170</w:t>
                  </w:r>
                </w:p>
              </w:tc>
              <w:tc>
                <w:tcPr>
                  <w:tcW w:w="528" w:type="pct"/>
                  <w:noWrap w:val="0"/>
                  <w:vAlign w:val="top"/>
                </w:tcPr>
                <w:p>
                  <w:pPr>
                    <w:pStyle w:val="161"/>
                    <w:bidi w:val="0"/>
                  </w:pPr>
                  <w:r>
                    <w:t>0.182</w:t>
                  </w:r>
                </w:p>
              </w:tc>
              <w:tc>
                <w:tcPr>
                  <w:tcW w:w="528" w:type="pct"/>
                  <w:noWrap w:val="0"/>
                  <w:vAlign w:val="top"/>
                </w:tcPr>
                <w:p>
                  <w:pPr>
                    <w:pStyle w:val="161"/>
                    <w:bidi w:val="0"/>
                  </w:pPr>
                  <w:r>
                    <w:t>0.239</w:t>
                  </w:r>
                </w:p>
              </w:tc>
              <w:tc>
                <w:tcPr>
                  <w:tcW w:w="528" w:type="pct"/>
                  <w:noWrap w:val="0"/>
                  <w:vAlign w:val="top"/>
                </w:tcPr>
                <w:p>
                  <w:pPr>
                    <w:pStyle w:val="161"/>
                    <w:bidi w:val="0"/>
                  </w:pPr>
                  <w:r>
                    <w:t>0.804</w:t>
                  </w:r>
                </w:p>
              </w:tc>
              <w:tc>
                <w:tcPr>
                  <w:tcW w:w="528" w:type="pct"/>
                  <w:noWrap w:val="0"/>
                  <w:vAlign w:val="top"/>
                </w:tcPr>
                <w:p>
                  <w:pPr>
                    <w:pStyle w:val="161"/>
                    <w:bidi w:val="0"/>
                  </w:pPr>
                  <w:r>
                    <w:t>1.005</w:t>
                  </w:r>
                </w:p>
              </w:tc>
              <w:tc>
                <w:tcPr>
                  <w:tcW w:w="527" w:type="pct"/>
                  <w:noWrap w:val="0"/>
                  <w:vAlign w:val="top"/>
                </w:tcPr>
                <w:p>
                  <w:pPr>
                    <w:pStyle w:val="161"/>
                    <w:bidi w:val="0"/>
                  </w:pPr>
                  <w:r>
                    <w:t>1.829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1305" w:type="pct"/>
                  <w:noWrap w:val="0"/>
                  <w:vAlign w:val="top"/>
                </w:tcPr>
                <w:p>
                  <w:pPr>
                    <w:pStyle w:val="161"/>
                    <w:bidi w:val="0"/>
                  </w:pPr>
                  <w:r>
                    <w:t>粉尘粒径（</w:t>
                  </w:r>
                  <w:r>
                    <w:rPr>
                      <w:rFonts w:hint="default" w:ascii="Times New Roman" w:hAnsi="Times New Roman" w:cs="Times New Roman"/>
                    </w:rPr>
                    <w:t>μ</w:t>
                  </w:r>
                  <w:r>
                    <w:t>m）</w:t>
                  </w:r>
                </w:p>
              </w:tc>
              <w:tc>
                <w:tcPr>
                  <w:tcW w:w="528" w:type="pct"/>
                  <w:noWrap w:val="0"/>
                  <w:vAlign w:val="top"/>
                </w:tcPr>
                <w:p>
                  <w:pPr>
                    <w:pStyle w:val="161"/>
                    <w:bidi w:val="0"/>
                  </w:pPr>
                  <w:r>
                    <w:t>450</w:t>
                  </w:r>
                </w:p>
              </w:tc>
              <w:tc>
                <w:tcPr>
                  <w:tcW w:w="528" w:type="pct"/>
                  <w:noWrap w:val="0"/>
                  <w:vAlign w:val="top"/>
                </w:tcPr>
                <w:p>
                  <w:pPr>
                    <w:pStyle w:val="161"/>
                    <w:bidi w:val="0"/>
                  </w:pPr>
                  <w:r>
                    <w:t>550</w:t>
                  </w:r>
                </w:p>
              </w:tc>
              <w:tc>
                <w:tcPr>
                  <w:tcW w:w="528" w:type="pct"/>
                  <w:noWrap w:val="0"/>
                  <w:vAlign w:val="top"/>
                </w:tcPr>
                <w:p>
                  <w:pPr>
                    <w:pStyle w:val="161"/>
                    <w:bidi w:val="0"/>
                  </w:pPr>
                  <w:r>
                    <w:t>650</w:t>
                  </w:r>
                </w:p>
              </w:tc>
              <w:tc>
                <w:tcPr>
                  <w:tcW w:w="528" w:type="pct"/>
                  <w:noWrap w:val="0"/>
                  <w:vAlign w:val="top"/>
                </w:tcPr>
                <w:p>
                  <w:pPr>
                    <w:pStyle w:val="161"/>
                    <w:bidi w:val="0"/>
                  </w:pPr>
                  <w:r>
                    <w:t>750</w:t>
                  </w:r>
                </w:p>
              </w:tc>
              <w:tc>
                <w:tcPr>
                  <w:tcW w:w="528" w:type="pct"/>
                  <w:noWrap w:val="0"/>
                  <w:vAlign w:val="top"/>
                </w:tcPr>
                <w:p>
                  <w:pPr>
                    <w:pStyle w:val="161"/>
                    <w:bidi w:val="0"/>
                  </w:pPr>
                  <w:r>
                    <w:t>850</w:t>
                  </w:r>
                </w:p>
              </w:tc>
              <w:tc>
                <w:tcPr>
                  <w:tcW w:w="528" w:type="pct"/>
                  <w:noWrap w:val="0"/>
                  <w:vAlign w:val="top"/>
                </w:tcPr>
                <w:p>
                  <w:pPr>
                    <w:pStyle w:val="161"/>
                    <w:bidi w:val="0"/>
                  </w:pPr>
                  <w:r>
                    <w:t>950</w:t>
                  </w:r>
                </w:p>
              </w:tc>
              <w:tc>
                <w:tcPr>
                  <w:tcW w:w="527" w:type="pct"/>
                  <w:noWrap w:val="0"/>
                  <w:vAlign w:val="top"/>
                </w:tcPr>
                <w:p>
                  <w:pPr>
                    <w:pStyle w:val="161"/>
                    <w:bidi w:val="0"/>
                  </w:pPr>
                  <w:r>
                    <w:t>1050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1305" w:type="pct"/>
                  <w:noWrap w:val="0"/>
                  <w:vAlign w:val="top"/>
                </w:tcPr>
                <w:p>
                  <w:pPr>
                    <w:pStyle w:val="161"/>
                    <w:bidi w:val="0"/>
                  </w:pPr>
                  <w:r>
                    <w:t>沉降速度（m/s）</w:t>
                  </w:r>
                </w:p>
              </w:tc>
              <w:tc>
                <w:tcPr>
                  <w:tcW w:w="528" w:type="pct"/>
                  <w:noWrap w:val="0"/>
                  <w:vAlign w:val="top"/>
                </w:tcPr>
                <w:p>
                  <w:pPr>
                    <w:pStyle w:val="161"/>
                    <w:bidi w:val="0"/>
                  </w:pPr>
                  <w:r>
                    <w:t>2.211</w:t>
                  </w:r>
                </w:p>
              </w:tc>
              <w:tc>
                <w:tcPr>
                  <w:tcW w:w="528" w:type="pct"/>
                  <w:noWrap w:val="0"/>
                  <w:vAlign w:val="top"/>
                </w:tcPr>
                <w:p>
                  <w:pPr>
                    <w:pStyle w:val="161"/>
                    <w:bidi w:val="0"/>
                  </w:pPr>
                  <w:r>
                    <w:t>2.614</w:t>
                  </w:r>
                </w:p>
              </w:tc>
              <w:tc>
                <w:tcPr>
                  <w:tcW w:w="528" w:type="pct"/>
                  <w:noWrap w:val="0"/>
                  <w:vAlign w:val="top"/>
                </w:tcPr>
                <w:p>
                  <w:pPr>
                    <w:pStyle w:val="161"/>
                    <w:bidi w:val="0"/>
                  </w:pPr>
                  <w:r>
                    <w:t>3.016</w:t>
                  </w:r>
                </w:p>
              </w:tc>
              <w:tc>
                <w:tcPr>
                  <w:tcW w:w="528" w:type="pct"/>
                  <w:noWrap w:val="0"/>
                  <w:vAlign w:val="top"/>
                </w:tcPr>
                <w:p>
                  <w:pPr>
                    <w:pStyle w:val="161"/>
                    <w:bidi w:val="0"/>
                  </w:pPr>
                  <w:r>
                    <w:t>3.418</w:t>
                  </w:r>
                </w:p>
              </w:tc>
              <w:tc>
                <w:tcPr>
                  <w:tcW w:w="528" w:type="pct"/>
                  <w:noWrap w:val="0"/>
                  <w:vAlign w:val="top"/>
                </w:tcPr>
                <w:p>
                  <w:pPr>
                    <w:pStyle w:val="161"/>
                    <w:bidi w:val="0"/>
                  </w:pPr>
                  <w:r>
                    <w:t>3.822</w:t>
                  </w:r>
                </w:p>
              </w:tc>
              <w:tc>
                <w:tcPr>
                  <w:tcW w:w="528" w:type="pct"/>
                  <w:noWrap w:val="0"/>
                  <w:vAlign w:val="top"/>
                </w:tcPr>
                <w:p>
                  <w:pPr>
                    <w:pStyle w:val="161"/>
                    <w:bidi w:val="0"/>
                  </w:pPr>
                  <w:r>
                    <w:t>4.322</w:t>
                  </w:r>
                </w:p>
              </w:tc>
              <w:tc>
                <w:tcPr>
                  <w:tcW w:w="527" w:type="pct"/>
                  <w:noWrap w:val="0"/>
                  <w:vAlign w:val="top"/>
                </w:tcPr>
                <w:p>
                  <w:pPr>
                    <w:pStyle w:val="161"/>
                    <w:bidi w:val="0"/>
                  </w:pPr>
                  <w:r>
                    <w:t>4.624</w:t>
                  </w:r>
                </w:p>
              </w:tc>
            </w:tr>
          </w:tbl>
          <w:p>
            <w:pPr>
              <w:pStyle w:val="97"/>
              <w:bidi w:val="0"/>
              <w:rPr>
                <w:rFonts w:hint="default"/>
                <w:lang w:val="en-US" w:eastAsia="zh-CN"/>
              </w:rPr>
            </w:pPr>
            <w:r>
              <w:rPr>
                <w:rFonts w:hint="default"/>
                <w:lang w:val="en-US" w:eastAsia="zh-CN"/>
              </w:rPr>
              <w:t>由上表5-</w:t>
            </w:r>
            <w:r>
              <w:rPr>
                <w:rFonts w:hint="eastAsia"/>
                <w:lang w:val="en-US" w:eastAsia="zh-CN"/>
              </w:rPr>
              <w:t>2</w:t>
            </w:r>
            <w:r>
              <w:rPr>
                <w:rFonts w:hint="default"/>
                <w:lang w:val="en-US" w:eastAsia="zh-CN"/>
              </w:rPr>
              <w:t>可知，粉尘的沉降速度随粒径的增大而迅速增大。当粒径为250微米时，沉降速度为1.005m/s，因此可认为当尘粒大于250微米时，主要影响范围在扬尘点下风向近距离范围内，而真正对外环境产生影响的是一些小粒径粉尘。评价要求对裸露的物料堆场加盖篷布，并对堆场进行周期性洒水降尘。</w:t>
            </w:r>
          </w:p>
          <w:p>
            <w:pPr>
              <w:pStyle w:val="97"/>
              <w:bidi w:val="0"/>
              <w:rPr>
                <w:rFonts w:hint="default"/>
                <w:lang w:val="en-US" w:eastAsia="zh-CN"/>
              </w:rPr>
            </w:pPr>
            <w:r>
              <w:rPr>
                <w:rFonts w:hint="default"/>
                <w:lang w:val="en-US" w:eastAsia="zh-CN"/>
              </w:rPr>
              <w:t>为减小施工扬尘对项目所在区域造成影响，根据《四川省&lt;中华人民共和国大气污染防治法&gt;实施办法》、《乐山市打赢蓝天保卫战实施方案》，施工工地设置围墙或者硬质密闭围挡，并对围挡进行维护；对施工现场进出口通道、场内道路，以及材料存放区、加工区等场所地坪硬化，对其他场地进行覆盖或者临时绿化，对土方集中堆放并按照规范覆盖或者固化；施工现场出入口应设置车辆冲洗设施，施工及运输车辆经除泥、冲洗后驶出工地，不得带泥上路；露天堆放的河沙等易产生扬尘的物料以及不能及时清运的建筑垃圾，应当设置不低于堆放高度的密闭围栏，并对堆放物品予以覆盖；施工过程中应采取洒水或者喷淋等降尘措施。施工工地全部做到工地周边围挡、物料堆放覆盖、土方开挖湿法作业、路面硬化、出入车辆清洗、渣土车辆密闭运输“六个百分之百”。</w:t>
            </w:r>
          </w:p>
          <w:p>
            <w:pPr>
              <w:pStyle w:val="97"/>
              <w:bidi w:val="0"/>
              <w:rPr>
                <w:rFonts w:hint="default"/>
                <w:lang w:val="en-US" w:eastAsia="zh-CN"/>
              </w:rPr>
            </w:pPr>
            <w:r>
              <w:rPr>
                <w:rFonts w:hint="default"/>
                <w:lang w:val="en-US" w:eastAsia="zh-CN"/>
              </w:rPr>
              <w:t>通过采取上述措施后，能够有效降低扬尘的产生量，不会对区域环境空气质量现状产生明显影响。</w:t>
            </w:r>
          </w:p>
          <w:p>
            <w:pPr>
              <w:pStyle w:val="97"/>
              <w:numPr>
                <w:ilvl w:val="0"/>
                <w:numId w:val="4"/>
              </w:numPr>
              <w:bidi w:val="0"/>
              <w:ind w:left="0" w:leftChars="0" w:firstLine="480" w:firstLineChars="200"/>
              <w:rPr>
                <w:rFonts w:hint="default"/>
                <w:lang w:val="en-US" w:eastAsia="zh-CN"/>
              </w:rPr>
            </w:pPr>
            <w:r>
              <w:rPr>
                <w:rFonts w:hint="eastAsia"/>
                <w:lang w:val="en-US" w:eastAsia="zh-CN"/>
              </w:rPr>
              <w:t>汽车尾气</w:t>
            </w:r>
          </w:p>
          <w:p>
            <w:pPr>
              <w:pStyle w:val="97"/>
              <w:bidi w:val="0"/>
              <w:rPr>
                <w:rFonts w:hint="default"/>
                <w:lang w:val="en-US" w:eastAsia="zh-CN"/>
              </w:rPr>
            </w:pPr>
            <w:r>
              <w:rPr>
                <w:rFonts w:hint="default"/>
                <w:lang w:val="en-US" w:eastAsia="zh-CN"/>
              </w:rPr>
              <w:t>项目施工阶段将使用大量的机械设备和运输车辆，均以汽油和柴油作为动力燃料，当燃料燃烧不充分时，会产生一定量的废气，特别是柴油车，主要污染物为 NOx、CO 和 THC。</w:t>
            </w:r>
          </w:p>
          <w:p>
            <w:pPr>
              <w:pStyle w:val="97"/>
              <w:numPr>
                <w:ilvl w:val="0"/>
                <w:numId w:val="5"/>
              </w:numPr>
              <w:bidi w:val="0"/>
              <w:rPr>
                <w:rFonts w:hint="eastAsia"/>
                <w:lang w:val="en-US" w:eastAsia="zh-CN"/>
              </w:rPr>
            </w:pPr>
            <w:r>
              <w:rPr>
                <w:rFonts w:hint="eastAsia"/>
                <w:lang w:val="en-US" w:eastAsia="zh-CN"/>
              </w:rPr>
              <w:t>废水</w:t>
            </w:r>
          </w:p>
          <w:p>
            <w:pPr>
              <w:pStyle w:val="97"/>
              <w:bidi w:val="0"/>
              <w:rPr>
                <w:rFonts w:hint="default"/>
                <w:lang w:val="en-US" w:eastAsia="zh-CN"/>
              </w:rPr>
            </w:pPr>
            <w:r>
              <w:rPr>
                <w:rFonts w:hint="default"/>
                <w:lang w:val="en-US" w:eastAsia="zh-CN"/>
              </w:rPr>
              <w:t>本项目施工期废水主要为施工人员生活废水和施工废水。</w:t>
            </w:r>
          </w:p>
          <w:p>
            <w:pPr>
              <w:pStyle w:val="97"/>
              <w:numPr>
                <w:ilvl w:val="0"/>
                <w:numId w:val="6"/>
              </w:numPr>
              <w:bidi w:val="0"/>
              <w:ind w:left="0" w:leftChars="0" w:firstLine="480" w:firstLineChars="200"/>
              <w:rPr>
                <w:rFonts w:hint="default"/>
                <w:lang w:val="en-US" w:eastAsia="zh-CN"/>
              </w:rPr>
            </w:pPr>
            <w:r>
              <w:rPr>
                <w:rFonts w:hint="eastAsia"/>
                <w:lang w:val="en-US" w:eastAsia="zh-CN"/>
              </w:rPr>
              <w:t>生活废水</w:t>
            </w:r>
          </w:p>
          <w:p>
            <w:pPr>
              <w:pStyle w:val="97"/>
              <w:bidi w:val="0"/>
              <w:rPr>
                <w:rFonts w:hint="default"/>
                <w:lang w:val="en-US" w:eastAsia="zh-CN"/>
              </w:rPr>
            </w:pPr>
            <w:r>
              <w:rPr>
                <w:rFonts w:hint="default"/>
                <w:lang w:val="en-US" w:eastAsia="zh-CN"/>
              </w:rPr>
              <w:t>本项目施工工期为</w:t>
            </w:r>
            <w:r>
              <w:rPr>
                <w:rFonts w:hint="eastAsia"/>
                <w:lang w:val="en-US" w:eastAsia="zh-CN"/>
              </w:rPr>
              <w:t>8</w:t>
            </w:r>
            <w:r>
              <w:rPr>
                <w:rFonts w:hint="default"/>
                <w:lang w:val="en-US" w:eastAsia="zh-CN"/>
              </w:rPr>
              <w:t>个月，施工高峰期施工工人为20人，按每人每天耗水0.10m</w:t>
            </w:r>
            <w:r>
              <w:rPr>
                <w:rFonts w:hint="default"/>
                <w:vertAlign w:val="superscript"/>
                <w:lang w:val="en-US" w:eastAsia="zh-CN"/>
              </w:rPr>
              <w:t>3</w:t>
            </w:r>
            <w:r>
              <w:rPr>
                <w:rFonts w:hint="default"/>
                <w:lang w:val="en-US" w:eastAsia="zh-CN"/>
              </w:rPr>
              <w:t>计，生活用水量约为2m</w:t>
            </w:r>
            <w:r>
              <w:rPr>
                <w:rFonts w:hint="default"/>
                <w:vertAlign w:val="superscript"/>
                <w:lang w:val="en-US" w:eastAsia="zh-CN"/>
              </w:rPr>
              <w:t>3</w:t>
            </w:r>
            <w:r>
              <w:rPr>
                <w:rFonts w:hint="default"/>
                <w:lang w:val="en-US" w:eastAsia="zh-CN"/>
              </w:rPr>
              <w:t>/d，生活污水排放量以用水量的80%计，则生活污水排放量为1.6m</w:t>
            </w:r>
            <w:r>
              <w:rPr>
                <w:rFonts w:hint="default"/>
                <w:vertAlign w:val="superscript"/>
                <w:lang w:val="en-US" w:eastAsia="zh-CN"/>
              </w:rPr>
              <w:t>3</w:t>
            </w:r>
            <w:r>
              <w:rPr>
                <w:rFonts w:hint="default"/>
                <w:lang w:val="en-US" w:eastAsia="zh-CN"/>
              </w:rPr>
              <w:t>/d，施工期施工人员生活污水排放量为</w:t>
            </w:r>
            <w:r>
              <w:rPr>
                <w:rFonts w:hint="eastAsia"/>
                <w:lang w:val="en-US" w:eastAsia="zh-CN"/>
              </w:rPr>
              <w:t>384m³</w:t>
            </w:r>
            <w:r>
              <w:rPr>
                <w:rFonts w:hint="default"/>
                <w:lang w:val="en-US" w:eastAsia="zh-CN"/>
              </w:rPr>
              <w:t>。生活污水中主要污染物浓度</w:t>
            </w:r>
            <w:r>
              <w:rPr>
                <w:rFonts w:hint="default"/>
                <w:color w:val="auto"/>
                <w:lang w:val="en-US" w:eastAsia="zh-CN"/>
              </w:rPr>
              <w:t>COD为350mg/L，BOD</w:t>
            </w:r>
            <w:r>
              <w:rPr>
                <w:rFonts w:hint="default"/>
                <w:color w:val="auto"/>
                <w:vertAlign w:val="subscript"/>
                <w:lang w:val="en-US" w:eastAsia="zh-CN"/>
              </w:rPr>
              <w:t>5</w:t>
            </w:r>
            <w:r>
              <w:rPr>
                <w:rFonts w:hint="default"/>
                <w:color w:val="auto"/>
                <w:lang w:val="en-US" w:eastAsia="zh-CN"/>
              </w:rPr>
              <w:t>为200mg/L，NH</w:t>
            </w:r>
            <w:r>
              <w:rPr>
                <w:rFonts w:hint="default"/>
                <w:color w:val="auto"/>
                <w:sz w:val="24"/>
                <w:szCs w:val="20"/>
                <w:vertAlign w:val="subscript"/>
                <w:lang w:val="en-US" w:eastAsia="zh-CN"/>
              </w:rPr>
              <w:t>3</w:t>
            </w:r>
            <w:r>
              <w:rPr>
                <w:rFonts w:hint="default"/>
                <w:color w:val="auto"/>
                <w:lang w:val="en-US" w:eastAsia="zh-CN"/>
              </w:rPr>
              <w:t>-N为35mg/L</w:t>
            </w:r>
            <w:r>
              <w:rPr>
                <w:rFonts w:hint="default"/>
                <w:lang w:val="en-US" w:eastAsia="zh-CN"/>
              </w:rPr>
              <w:t>，产生量分别为1.</w:t>
            </w:r>
            <w:r>
              <w:rPr>
                <w:rFonts w:hint="eastAsia"/>
                <w:lang w:val="en-US" w:eastAsia="zh-CN"/>
              </w:rPr>
              <w:t>34</w:t>
            </w:r>
            <w:r>
              <w:rPr>
                <w:rFonts w:hint="default"/>
                <w:lang w:val="en-US" w:eastAsia="zh-CN"/>
              </w:rPr>
              <w:t>kg/d、0.</w:t>
            </w:r>
            <w:r>
              <w:rPr>
                <w:rFonts w:hint="eastAsia"/>
                <w:lang w:val="en-US" w:eastAsia="zh-CN"/>
              </w:rPr>
              <w:t>77</w:t>
            </w:r>
            <w:r>
              <w:rPr>
                <w:rFonts w:hint="default"/>
                <w:lang w:val="en-US" w:eastAsia="zh-CN"/>
              </w:rPr>
              <w:t>kg/d、0.</w:t>
            </w:r>
            <w:r>
              <w:rPr>
                <w:rFonts w:hint="eastAsia"/>
                <w:lang w:val="en-US" w:eastAsia="zh-CN"/>
              </w:rPr>
              <w:t>13</w:t>
            </w:r>
            <w:r>
              <w:rPr>
                <w:rFonts w:hint="default"/>
                <w:lang w:val="en-US" w:eastAsia="zh-CN"/>
              </w:rPr>
              <w:t>kg/d。项目施工期间生活污水依托周边农户已有化粪池处理后，用作周边农田农肥，不外排。杜绝污水任意排放带来的环境污染危害。</w:t>
            </w:r>
          </w:p>
          <w:p>
            <w:pPr>
              <w:pStyle w:val="97"/>
              <w:numPr>
                <w:ilvl w:val="0"/>
                <w:numId w:val="6"/>
              </w:numPr>
              <w:bidi w:val="0"/>
              <w:ind w:left="0" w:leftChars="0" w:firstLine="400" w:firstLineChars="0"/>
              <w:rPr>
                <w:rFonts w:hint="default"/>
                <w:lang w:val="en-US" w:eastAsia="zh-CN"/>
              </w:rPr>
            </w:pPr>
            <w:r>
              <w:rPr>
                <w:rFonts w:hint="eastAsia"/>
                <w:lang w:val="en-US" w:eastAsia="zh-CN"/>
              </w:rPr>
              <w:t>施工废水</w:t>
            </w:r>
          </w:p>
          <w:p>
            <w:pPr>
              <w:pStyle w:val="97"/>
              <w:bidi w:val="0"/>
              <w:rPr>
                <w:rFonts w:hint="default"/>
                <w:lang w:val="en-US" w:eastAsia="zh-CN"/>
              </w:rPr>
            </w:pPr>
            <w:r>
              <w:rPr>
                <w:rFonts w:hint="default"/>
                <w:lang w:val="en-US" w:eastAsia="zh-CN"/>
              </w:rPr>
              <w:t>施工废水包括施工期泄漏的工程用水、浇注砼的冲洗水、施工现场清洗、设备冲洗。施工废水中的主要污染因子是 SS，一般可高达 1000mg/L。其产生量与工程进度、施工人员的经验素质、有关地质情况及天气状况有关，其产生量量难以估算，施工废水经临时沉淀池处理后回用于施工中。</w:t>
            </w:r>
          </w:p>
          <w:p>
            <w:pPr>
              <w:pStyle w:val="97"/>
              <w:numPr>
                <w:ilvl w:val="0"/>
                <w:numId w:val="0"/>
              </w:numPr>
              <w:bidi w:val="0"/>
              <w:ind w:left="400" w:leftChars="0"/>
              <w:rPr>
                <w:rFonts w:hint="default"/>
                <w:lang w:val="en-US" w:eastAsia="zh-CN"/>
              </w:rPr>
            </w:pPr>
            <w:r>
              <w:rPr>
                <w:rFonts w:hint="eastAsia"/>
                <w:lang w:val="en-US" w:eastAsia="zh-CN"/>
              </w:rPr>
              <w:t>（3）施工期噪声</w:t>
            </w:r>
          </w:p>
          <w:p>
            <w:pPr>
              <w:pStyle w:val="97"/>
              <w:bidi w:val="0"/>
              <w:rPr>
                <w:rFonts w:hint="default"/>
                <w:lang w:val="en-US" w:eastAsia="zh-CN"/>
              </w:rPr>
            </w:pPr>
            <w:r>
              <w:rPr>
                <w:rFonts w:hint="default"/>
                <w:lang w:val="en-US" w:eastAsia="zh-CN"/>
              </w:rPr>
              <w:t>噪声污染是项目施工期间最主要的污染因子，施工期噪声污染源主要来自建筑施工机械噪声，本项目施工可分为：土石方阶段，基础工程阶段，主体工程结构阶段和装修阶段。各阶段施工机械噪声特性分别如下表。</w:t>
            </w:r>
          </w:p>
          <w:p>
            <w:pPr>
              <w:pStyle w:val="195"/>
              <w:bidi w:val="0"/>
              <w:rPr>
                <w:rFonts w:hint="default"/>
                <w:lang w:val="en-US" w:eastAsia="zh-CN"/>
              </w:rPr>
            </w:pPr>
            <w:r>
              <w:rPr>
                <w:rFonts w:hint="eastAsia"/>
                <w:lang w:val="en-US" w:eastAsia="zh-CN"/>
              </w:rPr>
              <w:t>表5-4</w:t>
            </w:r>
            <w:r>
              <w:rPr>
                <w:rFonts w:hint="default"/>
                <w:lang w:val="en-US" w:eastAsia="zh-CN"/>
              </w:rPr>
              <w:t>土石方阶段主要施工机械噪声特性</w:t>
            </w:r>
          </w:p>
          <w:tbl>
            <w:tblPr>
              <w:tblStyle w:val="29"/>
              <w:tblW w:w="499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849"/>
              <w:gridCol w:w="1633"/>
              <w:gridCol w:w="1669"/>
              <w:gridCol w:w="1912"/>
              <w:gridCol w:w="19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9" w:hRule="atLeast"/>
                <w:jc w:val="center"/>
              </w:trPr>
              <w:tc>
                <w:tcPr>
                  <w:tcW w:w="1020" w:type="pct"/>
                  <w:vMerge w:val="restart"/>
                  <w:noWrap w:val="0"/>
                  <w:vAlign w:val="center"/>
                </w:tcPr>
                <w:p>
                  <w:pPr>
                    <w:pStyle w:val="161"/>
                    <w:bidi w:val="0"/>
                    <w:rPr>
                      <w:rFonts w:hint="eastAsia"/>
                      <w:lang w:eastAsia="zh-CN"/>
                    </w:rPr>
                  </w:pPr>
                  <w:r>
                    <w:rPr>
                      <w:rFonts w:hint="eastAsia"/>
                      <w:lang w:eastAsia="zh-CN"/>
                    </w:rPr>
                    <w:t>施工机械名称</w:t>
                  </w:r>
                </w:p>
              </w:tc>
              <w:tc>
                <w:tcPr>
                  <w:tcW w:w="1822" w:type="pct"/>
                  <w:gridSpan w:val="2"/>
                  <w:noWrap w:val="0"/>
                  <w:vAlign w:val="center"/>
                </w:tcPr>
                <w:p>
                  <w:pPr>
                    <w:pStyle w:val="161"/>
                    <w:bidi w:val="0"/>
                    <w:rPr>
                      <w:rFonts w:hint="eastAsia"/>
                      <w:lang w:eastAsia="zh-CN"/>
                    </w:rPr>
                  </w:pPr>
                  <w:r>
                    <w:rPr>
                      <w:rFonts w:hint="eastAsia"/>
                      <w:lang w:eastAsia="zh-CN"/>
                    </w:rPr>
                    <w:t>声级</w:t>
                  </w:r>
                </w:p>
              </w:tc>
              <w:tc>
                <w:tcPr>
                  <w:tcW w:w="1055" w:type="pct"/>
                  <w:vMerge w:val="restart"/>
                  <w:noWrap w:val="0"/>
                  <w:vAlign w:val="center"/>
                </w:tcPr>
                <w:p>
                  <w:pPr>
                    <w:pStyle w:val="161"/>
                    <w:bidi w:val="0"/>
                    <w:rPr>
                      <w:rFonts w:hint="default"/>
                      <w:lang w:val="en-US" w:eastAsia="zh-CN"/>
                    </w:rPr>
                  </w:pPr>
                  <w:r>
                    <w:rPr>
                      <w:rFonts w:hint="eastAsia"/>
                      <w:lang w:val="en-US" w:eastAsia="zh-CN"/>
                    </w:rPr>
                    <w:t>声功率/db</w:t>
                  </w:r>
                </w:p>
              </w:tc>
              <w:tc>
                <w:tcPr>
                  <w:tcW w:w="1101" w:type="pct"/>
                  <w:vMerge w:val="restart"/>
                  <w:noWrap w:val="0"/>
                  <w:vAlign w:val="center"/>
                </w:tcPr>
                <w:p>
                  <w:pPr>
                    <w:pStyle w:val="161"/>
                    <w:bidi w:val="0"/>
                    <w:rPr>
                      <w:rFonts w:hint="eastAsia"/>
                      <w:lang w:eastAsia="zh-CN"/>
                    </w:rPr>
                  </w:pPr>
                  <w:r>
                    <w:rPr>
                      <w:rFonts w:hint="eastAsia"/>
                      <w:lang w:eastAsia="zh-CN"/>
                    </w:rPr>
                    <w:t>指向特性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02" w:hRule="atLeast"/>
                <w:jc w:val="center"/>
              </w:trPr>
              <w:tc>
                <w:tcPr>
                  <w:tcW w:w="1020" w:type="pct"/>
                  <w:vMerge w:val="continue"/>
                  <w:tcBorders>
                    <w:bottom w:val="single" w:color="auto" w:sz="4" w:space="0"/>
                  </w:tcBorders>
                  <w:noWrap w:val="0"/>
                  <w:vAlign w:val="center"/>
                </w:tcPr>
                <w:p>
                  <w:pPr>
                    <w:pStyle w:val="161"/>
                    <w:bidi w:val="0"/>
                  </w:pPr>
                </w:p>
              </w:tc>
              <w:tc>
                <w:tcPr>
                  <w:tcW w:w="901" w:type="pct"/>
                  <w:noWrap w:val="0"/>
                  <w:vAlign w:val="center"/>
                </w:tcPr>
                <w:p>
                  <w:pPr>
                    <w:pStyle w:val="161"/>
                    <w:bidi w:val="0"/>
                    <w:rPr>
                      <w:rFonts w:hint="default"/>
                      <w:lang w:val="en-US" w:eastAsia="zh-CN"/>
                    </w:rPr>
                  </w:pPr>
                  <w:r>
                    <w:rPr>
                      <w:rFonts w:hint="eastAsia"/>
                      <w:lang w:eastAsia="zh-CN"/>
                    </w:rPr>
                    <w:t>距离</w:t>
                  </w:r>
                  <w:r>
                    <w:rPr>
                      <w:rFonts w:hint="eastAsia"/>
                      <w:lang w:val="en-US" w:eastAsia="zh-CN"/>
                    </w:rPr>
                    <w:t>/m</w:t>
                  </w:r>
                </w:p>
              </w:tc>
              <w:tc>
                <w:tcPr>
                  <w:tcW w:w="921" w:type="pct"/>
                  <w:noWrap w:val="0"/>
                  <w:vAlign w:val="center"/>
                </w:tcPr>
                <w:p>
                  <w:pPr>
                    <w:pStyle w:val="161"/>
                    <w:bidi w:val="0"/>
                  </w:pPr>
                  <w:r>
                    <w:rPr>
                      <w:rFonts w:hint="eastAsia"/>
                    </w:rPr>
                    <w:t>dB(A)</w:t>
                  </w:r>
                </w:p>
              </w:tc>
              <w:tc>
                <w:tcPr>
                  <w:tcW w:w="1055" w:type="pct"/>
                  <w:vMerge w:val="continue"/>
                  <w:noWrap w:val="0"/>
                  <w:vAlign w:val="center"/>
                </w:tcPr>
                <w:p>
                  <w:pPr>
                    <w:pStyle w:val="161"/>
                    <w:bidi w:val="0"/>
                  </w:pPr>
                </w:p>
              </w:tc>
              <w:tc>
                <w:tcPr>
                  <w:tcW w:w="1101" w:type="pct"/>
                  <w:vMerge w:val="continue"/>
                  <w:noWrap w:val="0"/>
                  <w:vAlign w:val="center"/>
                </w:tcPr>
                <w:p>
                  <w:pPr>
                    <w:pStyle w:val="161"/>
                    <w:bidi w:val="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翻斗车</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79.16</w:t>
                  </w:r>
                </w:p>
              </w:tc>
              <w:tc>
                <w:tcPr>
                  <w:tcW w:w="1055" w:type="pct"/>
                  <w:noWrap w:val="0"/>
                  <w:vAlign w:val="center"/>
                </w:tcPr>
                <w:p>
                  <w:pPr>
                    <w:pStyle w:val="161"/>
                    <w:bidi w:val="0"/>
                    <w:rPr>
                      <w:rFonts w:hint="default"/>
                      <w:lang w:val="en-US" w:eastAsia="zh-CN"/>
                    </w:rPr>
                  </w:pPr>
                  <w:r>
                    <w:rPr>
                      <w:rFonts w:hint="eastAsia"/>
                      <w:lang w:val="en-US" w:eastAsia="zh-CN"/>
                    </w:rPr>
                    <w:t>103.6</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82"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推土机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83～88</w:t>
                  </w:r>
                </w:p>
              </w:tc>
              <w:tc>
                <w:tcPr>
                  <w:tcW w:w="1055" w:type="pct"/>
                  <w:noWrap w:val="0"/>
                  <w:vAlign w:val="center"/>
                </w:tcPr>
                <w:p>
                  <w:pPr>
                    <w:pStyle w:val="161"/>
                    <w:bidi w:val="0"/>
                    <w:rPr>
                      <w:rFonts w:hint="default"/>
                      <w:lang w:val="en-US" w:eastAsia="zh-CN"/>
                    </w:rPr>
                  </w:pPr>
                  <w:r>
                    <w:rPr>
                      <w:rFonts w:hint="eastAsia"/>
                      <w:lang w:val="en-US" w:eastAsia="zh-CN"/>
                    </w:rPr>
                    <w:t>105.5</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液压挖掘机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82～90</w:t>
                  </w:r>
                </w:p>
              </w:tc>
              <w:tc>
                <w:tcPr>
                  <w:tcW w:w="1055" w:type="pct"/>
                  <w:noWrap w:val="0"/>
                  <w:vAlign w:val="center"/>
                </w:tcPr>
                <w:p>
                  <w:pPr>
                    <w:pStyle w:val="161"/>
                    <w:bidi w:val="0"/>
                    <w:rPr>
                      <w:rFonts w:hint="default"/>
                      <w:lang w:val="en-US" w:eastAsia="zh-CN"/>
                    </w:rPr>
                  </w:pPr>
                  <w:r>
                    <w:rPr>
                      <w:rFonts w:hint="eastAsia"/>
                      <w:lang w:val="en-US" w:eastAsia="zh-CN"/>
                    </w:rPr>
                    <w:t>107.0</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tcBorders>
                  <w:noWrap w:val="0"/>
                  <w:vAlign w:val="center"/>
                </w:tcPr>
                <w:p>
                  <w:pPr>
                    <w:pStyle w:val="161"/>
                    <w:bidi w:val="0"/>
                    <w:rPr>
                      <w:rFonts w:hint="eastAsia"/>
                      <w:lang w:eastAsia="zh-CN"/>
                    </w:rPr>
                  </w:pPr>
                  <w:r>
                    <w:rPr>
                      <w:rFonts w:hint="eastAsia"/>
                      <w:lang w:eastAsia="zh-CN"/>
                    </w:rPr>
                    <w:t>轮式装载机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90～95</w:t>
                  </w:r>
                </w:p>
              </w:tc>
              <w:tc>
                <w:tcPr>
                  <w:tcW w:w="1055" w:type="pct"/>
                  <w:noWrap w:val="0"/>
                  <w:vAlign w:val="center"/>
                </w:tcPr>
                <w:p>
                  <w:pPr>
                    <w:pStyle w:val="161"/>
                    <w:bidi w:val="0"/>
                    <w:rPr>
                      <w:rFonts w:hint="default"/>
                      <w:lang w:val="en-US" w:eastAsia="zh-CN"/>
                    </w:rPr>
                  </w:pPr>
                  <w:r>
                    <w:rPr>
                      <w:rFonts w:hint="eastAsia"/>
                      <w:lang w:val="en-US" w:eastAsia="zh-CN"/>
                    </w:rPr>
                    <w:t>105.7</w:t>
                  </w:r>
                </w:p>
              </w:tc>
              <w:tc>
                <w:tcPr>
                  <w:tcW w:w="1101" w:type="pct"/>
                  <w:noWrap w:val="0"/>
                  <w:vAlign w:val="center"/>
                </w:tcPr>
                <w:p>
                  <w:pPr>
                    <w:pStyle w:val="161"/>
                    <w:bidi w:val="0"/>
                    <w:rPr>
                      <w:rFonts w:hint="eastAsia"/>
                      <w:lang w:eastAsia="zh-CN"/>
                    </w:rPr>
                  </w:pPr>
                  <w:r>
                    <w:rPr>
                      <w:rFonts w:hint="eastAsia"/>
                      <w:lang w:eastAsia="zh-CN"/>
                    </w:rPr>
                    <w:t>无</w:t>
                  </w:r>
                </w:p>
              </w:tc>
            </w:tr>
          </w:tbl>
          <w:p>
            <w:pPr>
              <w:pStyle w:val="195"/>
              <w:bidi w:val="0"/>
              <w:rPr>
                <w:rFonts w:hint="default"/>
                <w:lang w:val="en-US" w:eastAsia="zh-CN"/>
              </w:rPr>
            </w:pPr>
            <w:r>
              <w:rPr>
                <w:rFonts w:hint="eastAsia"/>
                <w:lang w:val="en-US" w:eastAsia="zh-CN"/>
              </w:rPr>
              <w:t xml:space="preserve">表5-5 </w:t>
            </w:r>
            <w:r>
              <w:rPr>
                <w:rFonts w:hint="default"/>
                <w:lang w:val="en-US" w:eastAsia="zh-CN"/>
              </w:rPr>
              <w:t>基础阶段主要施工机械噪声特性</w:t>
            </w:r>
          </w:p>
          <w:tbl>
            <w:tblPr>
              <w:tblStyle w:val="29"/>
              <w:tblW w:w="499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849"/>
              <w:gridCol w:w="1633"/>
              <w:gridCol w:w="1669"/>
              <w:gridCol w:w="1912"/>
              <w:gridCol w:w="19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9" w:hRule="atLeast"/>
                <w:jc w:val="center"/>
              </w:trPr>
              <w:tc>
                <w:tcPr>
                  <w:tcW w:w="1020" w:type="pct"/>
                  <w:vMerge w:val="restart"/>
                  <w:noWrap w:val="0"/>
                  <w:vAlign w:val="center"/>
                </w:tcPr>
                <w:p>
                  <w:pPr>
                    <w:pStyle w:val="161"/>
                    <w:bidi w:val="0"/>
                    <w:rPr>
                      <w:rFonts w:hint="eastAsia"/>
                      <w:lang w:eastAsia="zh-CN"/>
                    </w:rPr>
                  </w:pPr>
                  <w:r>
                    <w:rPr>
                      <w:rFonts w:hint="eastAsia"/>
                      <w:lang w:eastAsia="zh-CN"/>
                    </w:rPr>
                    <w:t>施工机械名称</w:t>
                  </w:r>
                </w:p>
              </w:tc>
              <w:tc>
                <w:tcPr>
                  <w:tcW w:w="1822" w:type="pct"/>
                  <w:gridSpan w:val="2"/>
                  <w:noWrap w:val="0"/>
                  <w:vAlign w:val="center"/>
                </w:tcPr>
                <w:p>
                  <w:pPr>
                    <w:pStyle w:val="161"/>
                    <w:bidi w:val="0"/>
                    <w:rPr>
                      <w:rFonts w:hint="eastAsia"/>
                      <w:lang w:eastAsia="zh-CN"/>
                    </w:rPr>
                  </w:pPr>
                  <w:r>
                    <w:rPr>
                      <w:rFonts w:hint="eastAsia"/>
                      <w:lang w:eastAsia="zh-CN"/>
                    </w:rPr>
                    <w:t>声级</w:t>
                  </w:r>
                </w:p>
              </w:tc>
              <w:tc>
                <w:tcPr>
                  <w:tcW w:w="1055" w:type="pct"/>
                  <w:vMerge w:val="restart"/>
                  <w:noWrap w:val="0"/>
                  <w:vAlign w:val="center"/>
                </w:tcPr>
                <w:p>
                  <w:pPr>
                    <w:pStyle w:val="161"/>
                    <w:bidi w:val="0"/>
                    <w:rPr>
                      <w:rFonts w:hint="default"/>
                      <w:lang w:val="en-US" w:eastAsia="zh-CN"/>
                    </w:rPr>
                  </w:pPr>
                  <w:r>
                    <w:rPr>
                      <w:rFonts w:hint="eastAsia"/>
                      <w:lang w:val="en-US" w:eastAsia="zh-CN"/>
                    </w:rPr>
                    <w:t>声功率/db</w:t>
                  </w:r>
                </w:p>
              </w:tc>
              <w:tc>
                <w:tcPr>
                  <w:tcW w:w="1101" w:type="pct"/>
                  <w:vMerge w:val="restart"/>
                  <w:noWrap w:val="0"/>
                  <w:vAlign w:val="center"/>
                </w:tcPr>
                <w:p>
                  <w:pPr>
                    <w:pStyle w:val="161"/>
                    <w:bidi w:val="0"/>
                    <w:rPr>
                      <w:rFonts w:hint="eastAsia"/>
                      <w:lang w:eastAsia="zh-CN"/>
                    </w:rPr>
                  </w:pPr>
                  <w:r>
                    <w:rPr>
                      <w:rFonts w:hint="eastAsia"/>
                      <w:lang w:eastAsia="zh-CN"/>
                    </w:rPr>
                    <w:t>指向特性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02" w:hRule="atLeast"/>
                <w:jc w:val="center"/>
              </w:trPr>
              <w:tc>
                <w:tcPr>
                  <w:tcW w:w="1020" w:type="pct"/>
                  <w:vMerge w:val="continue"/>
                  <w:tcBorders>
                    <w:bottom w:val="single" w:color="auto" w:sz="4" w:space="0"/>
                  </w:tcBorders>
                  <w:noWrap w:val="0"/>
                  <w:vAlign w:val="center"/>
                </w:tcPr>
                <w:p>
                  <w:pPr>
                    <w:pStyle w:val="161"/>
                    <w:bidi w:val="0"/>
                  </w:pPr>
                </w:p>
              </w:tc>
              <w:tc>
                <w:tcPr>
                  <w:tcW w:w="901" w:type="pct"/>
                  <w:noWrap w:val="0"/>
                  <w:vAlign w:val="center"/>
                </w:tcPr>
                <w:p>
                  <w:pPr>
                    <w:pStyle w:val="161"/>
                    <w:bidi w:val="0"/>
                    <w:rPr>
                      <w:rFonts w:hint="default"/>
                      <w:lang w:val="en-US" w:eastAsia="zh-CN"/>
                    </w:rPr>
                  </w:pPr>
                  <w:r>
                    <w:rPr>
                      <w:rFonts w:hint="eastAsia"/>
                      <w:lang w:eastAsia="zh-CN"/>
                    </w:rPr>
                    <w:t>距离</w:t>
                  </w:r>
                  <w:r>
                    <w:rPr>
                      <w:rFonts w:hint="eastAsia"/>
                      <w:lang w:val="en-US" w:eastAsia="zh-CN"/>
                    </w:rPr>
                    <w:t>/m</w:t>
                  </w:r>
                </w:p>
              </w:tc>
              <w:tc>
                <w:tcPr>
                  <w:tcW w:w="921" w:type="pct"/>
                  <w:noWrap w:val="0"/>
                  <w:vAlign w:val="center"/>
                </w:tcPr>
                <w:p>
                  <w:pPr>
                    <w:pStyle w:val="161"/>
                    <w:bidi w:val="0"/>
                  </w:pPr>
                  <w:r>
                    <w:rPr>
                      <w:rFonts w:hint="eastAsia"/>
                    </w:rPr>
                    <w:t>dB(A)</w:t>
                  </w:r>
                </w:p>
              </w:tc>
              <w:tc>
                <w:tcPr>
                  <w:tcW w:w="1055" w:type="pct"/>
                  <w:vMerge w:val="continue"/>
                  <w:noWrap w:val="0"/>
                  <w:vAlign w:val="center"/>
                </w:tcPr>
                <w:p>
                  <w:pPr>
                    <w:pStyle w:val="161"/>
                    <w:bidi w:val="0"/>
                  </w:pPr>
                </w:p>
              </w:tc>
              <w:tc>
                <w:tcPr>
                  <w:tcW w:w="1101" w:type="pct"/>
                  <w:vMerge w:val="continue"/>
                  <w:noWrap w:val="0"/>
                  <w:vAlign w:val="center"/>
                </w:tcPr>
                <w:p>
                  <w:pPr>
                    <w:pStyle w:val="161"/>
                    <w:bidi w:val="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钻机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71.7</w:t>
                  </w:r>
                </w:p>
              </w:tc>
              <w:tc>
                <w:tcPr>
                  <w:tcW w:w="1055" w:type="pct"/>
                  <w:noWrap w:val="0"/>
                  <w:vAlign w:val="center"/>
                </w:tcPr>
                <w:p>
                  <w:pPr>
                    <w:pStyle w:val="161"/>
                    <w:bidi w:val="0"/>
                    <w:rPr>
                      <w:rFonts w:hint="default"/>
                      <w:lang w:val="en-US" w:eastAsia="zh-CN"/>
                    </w:rPr>
                  </w:pPr>
                  <w:r>
                    <w:rPr>
                      <w:rFonts w:hint="eastAsia"/>
                      <w:lang w:val="en-US" w:eastAsia="zh-CN"/>
                    </w:rPr>
                    <w:t>96.8</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2"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起重机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80.0</w:t>
                  </w:r>
                </w:p>
              </w:tc>
              <w:tc>
                <w:tcPr>
                  <w:tcW w:w="1055" w:type="pct"/>
                  <w:noWrap w:val="0"/>
                  <w:vAlign w:val="center"/>
                </w:tcPr>
                <w:p>
                  <w:pPr>
                    <w:pStyle w:val="161"/>
                    <w:bidi w:val="0"/>
                    <w:rPr>
                      <w:rFonts w:hint="default"/>
                      <w:lang w:val="en-US" w:eastAsia="zh-CN"/>
                    </w:rPr>
                  </w:pPr>
                  <w:r>
                    <w:rPr>
                      <w:rFonts w:hint="eastAsia"/>
                      <w:lang w:val="en-US" w:eastAsia="zh-CN"/>
                    </w:rPr>
                    <w:t>102.0</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平地机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83.06</w:t>
                  </w:r>
                </w:p>
              </w:tc>
              <w:tc>
                <w:tcPr>
                  <w:tcW w:w="1055" w:type="pct"/>
                  <w:noWrap w:val="0"/>
                  <w:vAlign w:val="center"/>
                </w:tcPr>
                <w:p>
                  <w:pPr>
                    <w:pStyle w:val="161"/>
                    <w:bidi w:val="0"/>
                    <w:rPr>
                      <w:rFonts w:hint="default"/>
                      <w:lang w:val="en-US" w:eastAsia="zh-CN"/>
                    </w:rPr>
                  </w:pPr>
                  <w:r>
                    <w:rPr>
                      <w:rFonts w:hint="eastAsia"/>
                      <w:lang w:val="en-US" w:eastAsia="zh-CN"/>
                    </w:rPr>
                    <w:t>--</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tcBorders>
                  <w:noWrap w:val="0"/>
                  <w:vAlign w:val="center"/>
                </w:tcPr>
                <w:p>
                  <w:pPr>
                    <w:pStyle w:val="161"/>
                    <w:bidi w:val="0"/>
                    <w:rPr>
                      <w:rFonts w:hint="eastAsia"/>
                      <w:lang w:eastAsia="zh-CN"/>
                    </w:rPr>
                  </w:pPr>
                  <w:r>
                    <w:rPr>
                      <w:rFonts w:hint="eastAsia"/>
                      <w:lang w:eastAsia="zh-CN"/>
                    </w:rPr>
                    <w:t>空压机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88～92</w:t>
                  </w:r>
                </w:p>
              </w:tc>
              <w:tc>
                <w:tcPr>
                  <w:tcW w:w="1055" w:type="pct"/>
                  <w:noWrap w:val="0"/>
                  <w:vAlign w:val="center"/>
                </w:tcPr>
                <w:p>
                  <w:pPr>
                    <w:pStyle w:val="161"/>
                    <w:bidi w:val="0"/>
                    <w:rPr>
                      <w:rFonts w:hint="default"/>
                      <w:lang w:val="en-US" w:eastAsia="zh-CN"/>
                    </w:rPr>
                  </w:pPr>
                  <w:r>
                    <w:rPr>
                      <w:rFonts w:hint="eastAsia"/>
                      <w:lang w:val="en-US" w:eastAsia="zh-CN"/>
                    </w:rPr>
                    <w:t>109.5</w:t>
                  </w:r>
                </w:p>
              </w:tc>
              <w:tc>
                <w:tcPr>
                  <w:tcW w:w="1101" w:type="pct"/>
                  <w:noWrap w:val="0"/>
                  <w:vAlign w:val="center"/>
                </w:tcPr>
                <w:p>
                  <w:pPr>
                    <w:pStyle w:val="161"/>
                    <w:bidi w:val="0"/>
                    <w:rPr>
                      <w:rFonts w:hint="eastAsia"/>
                      <w:lang w:eastAsia="zh-CN"/>
                    </w:rPr>
                  </w:pPr>
                  <w:r>
                    <w:rPr>
                      <w:rFonts w:hint="eastAsia"/>
                      <w:lang w:eastAsia="zh-CN"/>
                    </w:rPr>
                    <w:t>无</w:t>
                  </w:r>
                </w:p>
              </w:tc>
            </w:tr>
          </w:tbl>
          <w:p>
            <w:pPr>
              <w:pStyle w:val="195"/>
              <w:bidi w:val="0"/>
              <w:rPr>
                <w:rFonts w:hint="default"/>
                <w:lang w:val="en-US" w:eastAsia="zh-CN"/>
              </w:rPr>
            </w:pPr>
            <w:r>
              <w:rPr>
                <w:rFonts w:hint="eastAsia"/>
                <w:lang w:val="en-US" w:eastAsia="zh-CN"/>
              </w:rPr>
              <w:t>表5-6</w:t>
            </w:r>
            <w:r>
              <w:rPr>
                <w:rFonts w:hint="default"/>
                <w:lang w:val="en-US" w:eastAsia="zh-CN"/>
              </w:rPr>
              <w:t>结构阶段施工机械噪声特性</w:t>
            </w:r>
          </w:p>
          <w:tbl>
            <w:tblPr>
              <w:tblStyle w:val="29"/>
              <w:tblW w:w="499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849"/>
              <w:gridCol w:w="1633"/>
              <w:gridCol w:w="1669"/>
              <w:gridCol w:w="1912"/>
              <w:gridCol w:w="19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9" w:hRule="atLeast"/>
                <w:jc w:val="center"/>
              </w:trPr>
              <w:tc>
                <w:tcPr>
                  <w:tcW w:w="1020" w:type="pct"/>
                  <w:vMerge w:val="restart"/>
                  <w:noWrap w:val="0"/>
                  <w:vAlign w:val="center"/>
                </w:tcPr>
                <w:p>
                  <w:pPr>
                    <w:pStyle w:val="161"/>
                    <w:bidi w:val="0"/>
                    <w:rPr>
                      <w:rFonts w:hint="eastAsia"/>
                      <w:lang w:eastAsia="zh-CN"/>
                    </w:rPr>
                  </w:pPr>
                  <w:r>
                    <w:rPr>
                      <w:rFonts w:hint="eastAsia"/>
                      <w:lang w:eastAsia="zh-CN"/>
                    </w:rPr>
                    <w:t>施工机械名称</w:t>
                  </w:r>
                </w:p>
              </w:tc>
              <w:tc>
                <w:tcPr>
                  <w:tcW w:w="1822" w:type="pct"/>
                  <w:gridSpan w:val="2"/>
                  <w:noWrap w:val="0"/>
                  <w:vAlign w:val="center"/>
                </w:tcPr>
                <w:p>
                  <w:pPr>
                    <w:pStyle w:val="161"/>
                    <w:bidi w:val="0"/>
                    <w:rPr>
                      <w:rFonts w:hint="eastAsia"/>
                      <w:lang w:eastAsia="zh-CN"/>
                    </w:rPr>
                  </w:pPr>
                  <w:r>
                    <w:rPr>
                      <w:rFonts w:hint="eastAsia"/>
                      <w:lang w:eastAsia="zh-CN"/>
                    </w:rPr>
                    <w:t>声级</w:t>
                  </w:r>
                </w:p>
              </w:tc>
              <w:tc>
                <w:tcPr>
                  <w:tcW w:w="1055" w:type="pct"/>
                  <w:vMerge w:val="restart"/>
                  <w:noWrap w:val="0"/>
                  <w:vAlign w:val="center"/>
                </w:tcPr>
                <w:p>
                  <w:pPr>
                    <w:pStyle w:val="161"/>
                    <w:bidi w:val="0"/>
                    <w:rPr>
                      <w:rFonts w:hint="default"/>
                      <w:lang w:val="en-US" w:eastAsia="zh-CN"/>
                    </w:rPr>
                  </w:pPr>
                  <w:r>
                    <w:rPr>
                      <w:rFonts w:hint="eastAsia"/>
                      <w:lang w:val="en-US" w:eastAsia="zh-CN"/>
                    </w:rPr>
                    <w:t>声功率/db</w:t>
                  </w:r>
                </w:p>
              </w:tc>
              <w:tc>
                <w:tcPr>
                  <w:tcW w:w="1101" w:type="pct"/>
                  <w:vMerge w:val="restart"/>
                  <w:noWrap w:val="0"/>
                  <w:vAlign w:val="center"/>
                </w:tcPr>
                <w:p>
                  <w:pPr>
                    <w:pStyle w:val="161"/>
                    <w:bidi w:val="0"/>
                    <w:rPr>
                      <w:rFonts w:hint="eastAsia"/>
                      <w:lang w:eastAsia="zh-CN"/>
                    </w:rPr>
                  </w:pPr>
                  <w:r>
                    <w:rPr>
                      <w:rFonts w:hint="eastAsia"/>
                      <w:lang w:eastAsia="zh-CN"/>
                    </w:rPr>
                    <w:t>指向特性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02" w:hRule="atLeast"/>
                <w:jc w:val="center"/>
              </w:trPr>
              <w:tc>
                <w:tcPr>
                  <w:tcW w:w="1020" w:type="pct"/>
                  <w:vMerge w:val="continue"/>
                  <w:tcBorders>
                    <w:bottom w:val="single" w:color="auto" w:sz="4" w:space="0"/>
                  </w:tcBorders>
                  <w:noWrap w:val="0"/>
                  <w:vAlign w:val="center"/>
                </w:tcPr>
                <w:p>
                  <w:pPr>
                    <w:pStyle w:val="161"/>
                    <w:bidi w:val="0"/>
                  </w:pPr>
                </w:p>
              </w:tc>
              <w:tc>
                <w:tcPr>
                  <w:tcW w:w="901" w:type="pct"/>
                  <w:noWrap w:val="0"/>
                  <w:vAlign w:val="center"/>
                </w:tcPr>
                <w:p>
                  <w:pPr>
                    <w:pStyle w:val="161"/>
                    <w:bidi w:val="0"/>
                    <w:rPr>
                      <w:rFonts w:hint="default"/>
                      <w:lang w:val="en-US" w:eastAsia="zh-CN"/>
                    </w:rPr>
                  </w:pPr>
                  <w:r>
                    <w:rPr>
                      <w:rFonts w:hint="eastAsia"/>
                      <w:lang w:eastAsia="zh-CN"/>
                    </w:rPr>
                    <w:t>距离</w:t>
                  </w:r>
                  <w:r>
                    <w:rPr>
                      <w:rFonts w:hint="eastAsia"/>
                      <w:lang w:val="en-US" w:eastAsia="zh-CN"/>
                    </w:rPr>
                    <w:t>/m</w:t>
                  </w:r>
                </w:p>
              </w:tc>
              <w:tc>
                <w:tcPr>
                  <w:tcW w:w="921" w:type="pct"/>
                  <w:noWrap w:val="0"/>
                  <w:vAlign w:val="center"/>
                </w:tcPr>
                <w:p>
                  <w:pPr>
                    <w:pStyle w:val="161"/>
                    <w:bidi w:val="0"/>
                  </w:pPr>
                  <w:r>
                    <w:rPr>
                      <w:rFonts w:hint="eastAsia"/>
                    </w:rPr>
                    <w:t>dB(A)</w:t>
                  </w:r>
                </w:p>
              </w:tc>
              <w:tc>
                <w:tcPr>
                  <w:tcW w:w="1055" w:type="pct"/>
                  <w:vMerge w:val="continue"/>
                  <w:noWrap w:val="0"/>
                  <w:vAlign w:val="center"/>
                </w:tcPr>
                <w:p>
                  <w:pPr>
                    <w:pStyle w:val="161"/>
                    <w:bidi w:val="0"/>
                  </w:pPr>
                </w:p>
              </w:tc>
              <w:tc>
                <w:tcPr>
                  <w:tcW w:w="1101" w:type="pct"/>
                  <w:vMerge w:val="continue"/>
                  <w:noWrap w:val="0"/>
                  <w:vAlign w:val="center"/>
                </w:tcPr>
                <w:p>
                  <w:pPr>
                    <w:pStyle w:val="161"/>
                    <w:bidi w:val="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汽车起重机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81.04</w:t>
                  </w:r>
                </w:p>
              </w:tc>
              <w:tc>
                <w:tcPr>
                  <w:tcW w:w="1055" w:type="pct"/>
                  <w:noWrap w:val="0"/>
                  <w:vAlign w:val="center"/>
                </w:tcPr>
                <w:p>
                  <w:pPr>
                    <w:pStyle w:val="161"/>
                    <w:bidi w:val="0"/>
                    <w:rPr>
                      <w:rFonts w:hint="default"/>
                      <w:lang w:val="en-US" w:eastAsia="zh-CN"/>
                    </w:rPr>
                  </w:pPr>
                  <w:r>
                    <w:rPr>
                      <w:rFonts w:hint="eastAsia"/>
                      <w:lang w:val="en-US" w:eastAsia="zh-CN"/>
                    </w:rPr>
                    <w:t>103</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2"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塔式起重机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84.54</w:t>
                  </w:r>
                </w:p>
              </w:tc>
              <w:tc>
                <w:tcPr>
                  <w:tcW w:w="1055" w:type="pct"/>
                  <w:noWrap w:val="0"/>
                  <w:vAlign w:val="center"/>
                </w:tcPr>
                <w:p>
                  <w:pPr>
                    <w:pStyle w:val="161"/>
                    <w:bidi w:val="0"/>
                    <w:rPr>
                      <w:rFonts w:hint="default"/>
                      <w:lang w:val="en-US" w:eastAsia="zh-CN"/>
                    </w:rPr>
                  </w:pPr>
                  <w:r>
                    <w:rPr>
                      <w:rFonts w:hint="eastAsia"/>
                      <w:lang w:val="en-US" w:eastAsia="zh-CN"/>
                    </w:rPr>
                    <w:t>--</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混凝土输送泵</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88～95</w:t>
                  </w:r>
                </w:p>
              </w:tc>
              <w:tc>
                <w:tcPr>
                  <w:tcW w:w="1055" w:type="pct"/>
                  <w:noWrap w:val="0"/>
                  <w:vAlign w:val="center"/>
                </w:tcPr>
                <w:p>
                  <w:pPr>
                    <w:pStyle w:val="161"/>
                    <w:bidi w:val="0"/>
                    <w:rPr>
                      <w:rFonts w:hint="default"/>
                      <w:lang w:val="en-US" w:eastAsia="zh-CN"/>
                    </w:rPr>
                  </w:pPr>
                  <w:r>
                    <w:rPr>
                      <w:rFonts w:hint="eastAsia"/>
                      <w:lang w:val="en-US" w:eastAsia="zh-CN"/>
                    </w:rPr>
                    <w:t>110.06</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商砼搅拌车</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85～90</w:t>
                  </w:r>
                </w:p>
              </w:tc>
              <w:tc>
                <w:tcPr>
                  <w:tcW w:w="1055" w:type="pct"/>
                  <w:noWrap w:val="0"/>
                  <w:vAlign w:val="center"/>
                </w:tcPr>
                <w:p>
                  <w:pPr>
                    <w:pStyle w:val="161"/>
                    <w:bidi w:val="0"/>
                    <w:rPr>
                      <w:rFonts w:hint="default"/>
                      <w:lang w:val="en-US" w:eastAsia="zh-CN"/>
                    </w:rPr>
                  </w:pPr>
                  <w:r>
                    <w:rPr>
                      <w:rFonts w:hint="eastAsia"/>
                      <w:lang w:val="en-US" w:eastAsia="zh-CN"/>
                    </w:rPr>
                    <w:t>96.0</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混凝土振捣器</w:t>
                  </w:r>
                </w:p>
              </w:tc>
              <w:tc>
                <w:tcPr>
                  <w:tcW w:w="901" w:type="pct"/>
                  <w:noWrap w:val="0"/>
                  <w:vAlign w:val="center"/>
                </w:tcPr>
                <w:p>
                  <w:pPr>
                    <w:pStyle w:val="161"/>
                    <w:bidi w:val="0"/>
                    <w:rPr>
                      <w:rFonts w:hint="default"/>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80～88</w:t>
                  </w:r>
                </w:p>
              </w:tc>
              <w:tc>
                <w:tcPr>
                  <w:tcW w:w="1055" w:type="pct"/>
                  <w:noWrap w:val="0"/>
                  <w:vAlign w:val="center"/>
                </w:tcPr>
                <w:p>
                  <w:pPr>
                    <w:pStyle w:val="161"/>
                    <w:bidi w:val="0"/>
                    <w:rPr>
                      <w:rFonts w:hint="default"/>
                      <w:lang w:val="en-US" w:eastAsia="zh-CN"/>
                    </w:rPr>
                  </w:pPr>
                  <w:r>
                    <w:rPr>
                      <w:rFonts w:hint="eastAsia"/>
                      <w:lang w:val="en-US" w:eastAsia="zh-CN"/>
                    </w:rPr>
                    <w:t>112.0</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木工电锯</w:t>
                  </w:r>
                </w:p>
              </w:tc>
              <w:tc>
                <w:tcPr>
                  <w:tcW w:w="901" w:type="pct"/>
                  <w:noWrap w:val="0"/>
                  <w:vAlign w:val="center"/>
                </w:tcPr>
                <w:p>
                  <w:pPr>
                    <w:pStyle w:val="161"/>
                    <w:bidi w:val="0"/>
                    <w:rPr>
                      <w:rFonts w:hint="default"/>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93～99</w:t>
                  </w:r>
                </w:p>
              </w:tc>
              <w:tc>
                <w:tcPr>
                  <w:tcW w:w="1055" w:type="pct"/>
                  <w:noWrap w:val="0"/>
                  <w:vAlign w:val="center"/>
                </w:tcPr>
                <w:p>
                  <w:pPr>
                    <w:pStyle w:val="161"/>
                    <w:bidi w:val="0"/>
                    <w:rPr>
                      <w:rFonts w:hint="default"/>
                      <w:lang w:val="en-US" w:eastAsia="zh-CN"/>
                    </w:rPr>
                  </w:pPr>
                  <w:r>
                    <w:rPr>
                      <w:rFonts w:hint="eastAsia"/>
                      <w:lang w:val="en-US" w:eastAsia="zh-CN"/>
                    </w:rPr>
                    <w:t>111.0</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tcBorders>
                  <w:noWrap w:val="0"/>
                  <w:vAlign w:val="center"/>
                </w:tcPr>
                <w:p>
                  <w:pPr>
                    <w:pStyle w:val="161"/>
                    <w:bidi w:val="0"/>
                    <w:rPr>
                      <w:rFonts w:hint="eastAsia"/>
                      <w:lang w:eastAsia="zh-CN"/>
                    </w:rPr>
                  </w:pPr>
                  <w:r>
                    <w:rPr>
                      <w:rFonts w:hint="eastAsia"/>
                      <w:lang w:eastAsia="zh-CN"/>
                    </w:rPr>
                    <w:t>移动式发电机</w:t>
                  </w:r>
                </w:p>
              </w:tc>
              <w:tc>
                <w:tcPr>
                  <w:tcW w:w="901" w:type="pct"/>
                  <w:noWrap w:val="0"/>
                  <w:vAlign w:val="center"/>
                </w:tcPr>
                <w:p>
                  <w:pPr>
                    <w:pStyle w:val="161"/>
                    <w:bidi w:val="0"/>
                    <w:rPr>
                      <w:rFonts w:hint="default"/>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95～102</w:t>
                  </w:r>
                </w:p>
              </w:tc>
              <w:tc>
                <w:tcPr>
                  <w:tcW w:w="1055" w:type="pct"/>
                  <w:noWrap w:val="0"/>
                  <w:vAlign w:val="center"/>
                </w:tcPr>
                <w:p>
                  <w:pPr>
                    <w:pStyle w:val="161"/>
                    <w:bidi w:val="0"/>
                    <w:rPr>
                      <w:rFonts w:hint="default"/>
                      <w:lang w:val="en-US" w:eastAsia="zh-CN"/>
                    </w:rPr>
                  </w:pPr>
                  <w:r>
                    <w:rPr>
                      <w:rFonts w:hint="eastAsia"/>
                      <w:lang w:val="en-US" w:eastAsia="zh-CN"/>
                    </w:rPr>
                    <w:t>--</w:t>
                  </w:r>
                </w:p>
              </w:tc>
              <w:tc>
                <w:tcPr>
                  <w:tcW w:w="1101" w:type="pct"/>
                  <w:noWrap w:val="0"/>
                  <w:vAlign w:val="center"/>
                </w:tcPr>
                <w:p>
                  <w:pPr>
                    <w:pStyle w:val="161"/>
                    <w:bidi w:val="0"/>
                    <w:rPr>
                      <w:rFonts w:hint="eastAsia"/>
                      <w:lang w:eastAsia="zh-CN"/>
                    </w:rPr>
                  </w:pPr>
                  <w:r>
                    <w:rPr>
                      <w:rFonts w:hint="eastAsia"/>
                      <w:lang w:eastAsia="zh-CN"/>
                    </w:rPr>
                    <w:t>无</w:t>
                  </w:r>
                </w:p>
              </w:tc>
            </w:tr>
          </w:tbl>
          <w:p>
            <w:pPr>
              <w:pStyle w:val="195"/>
              <w:bidi w:val="0"/>
              <w:rPr>
                <w:rFonts w:hint="eastAsia"/>
                <w:lang w:val="en-US" w:eastAsia="zh-CN"/>
              </w:rPr>
            </w:pPr>
            <w:r>
              <w:rPr>
                <w:rFonts w:hint="eastAsia"/>
                <w:lang w:val="en-US" w:eastAsia="zh-CN"/>
              </w:rPr>
              <w:t>表5-7 装修阶段主要施工机械噪声特性</w:t>
            </w:r>
          </w:p>
          <w:tbl>
            <w:tblPr>
              <w:tblStyle w:val="29"/>
              <w:tblW w:w="499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849"/>
              <w:gridCol w:w="1633"/>
              <w:gridCol w:w="1669"/>
              <w:gridCol w:w="1912"/>
              <w:gridCol w:w="19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9" w:hRule="atLeast"/>
                <w:jc w:val="center"/>
              </w:trPr>
              <w:tc>
                <w:tcPr>
                  <w:tcW w:w="1020" w:type="pct"/>
                  <w:vMerge w:val="restart"/>
                  <w:noWrap w:val="0"/>
                  <w:vAlign w:val="center"/>
                </w:tcPr>
                <w:p>
                  <w:pPr>
                    <w:pStyle w:val="161"/>
                    <w:bidi w:val="0"/>
                    <w:rPr>
                      <w:rFonts w:hint="eastAsia"/>
                      <w:lang w:eastAsia="zh-CN"/>
                    </w:rPr>
                  </w:pPr>
                  <w:r>
                    <w:rPr>
                      <w:rFonts w:hint="eastAsia"/>
                      <w:lang w:eastAsia="zh-CN"/>
                    </w:rPr>
                    <w:t>施工机械名称</w:t>
                  </w:r>
                </w:p>
              </w:tc>
              <w:tc>
                <w:tcPr>
                  <w:tcW w:w="1822" w:type="pct"/>
                  <w:gridSpan w:val="2"/>
                  <w:noWrap w:val="0"/>
                  <w:vAlign w:val="center"/>
                </w:tcPr>
                <w:p>
                  <w:pPr>
                    <w:pStyle w:val="161"/>
                    <w:bidi w:val="0"/>
                    <w:rPr>
                      <w:rFonts w:hint="eastAsia"/>
                      <w:lang w:eastAsia="zh-CN"/>
                    </w:rPr>
                  </w:pPr>
                  <w:r>
                    <w:rPr>
                      <w:rFonts w:hint="eastAsia"/>
                      <w:lang w:eastAsia="zh-CN"/>
                    </w:rPr>
                    <w:t>声级</w:t>
                  </w:r>
                </w:p>
              </w:tc>
              <w:tc>
                <w:tcPr>
                  <w:tcW w:w="1055" w:type="pct"/>
                  <w:vMerge w:val="restart"/>
                  <w:noWrap w:val="0"/>
                  <w:vAlign w:val="center"/>
                </w:tcPr>
                <w:p>
                  <w:pPr>
                    <w:pStyle w:val="161"/>
                    <w:bidi w:val="0"/>
                    <w:rPr>
                      <w:rFonts w:hint="default"/>
                      <w:lang w:val="en-US" w:eastAsia="zh-CN"/>
                    </w:rPr>
                  </w:pPr>
                  <w:r>
                    <w:rPr>
                      <w:rFonts w:hint="eastAsia"/>
                      <w:lang w:val="en-US" w:eastAsia="zh-CN"/>
                    </w:rPr>
                    <w:t>声功率/db</w:t>
                  </w:r>
                </w:p>
              </w:tc>
              <w:tc>
                <w:tcPr>
                  <w:tcW w:w="1101" w:type="pct"/>
                  <w:vMerge w:val="restart"/>
                  <w:noWrap w:val="0"/>
                  <w:vAlign w:val="center"/>
                </w:tcPr>
                <w:p>
                  <w:pPr>
                    <w:pStyle w:val="161"/>
                    <w:bidi w:val="0"/>
                    <w:rPr>
                      <w:rFonts w:hint="eastAsia"/>
                      <w:lang w:eastAsia="zh-CN"/>
                    </w:rPr>
                  </w:pPr>
                  <w:r>
                    <w:rPr>
                      <w:rFonts w:hint="eastAsia"/>
                      <w:lang w:eastAsia="zh-CN"/>
                    </w:rPr>
                    <w:t>指向特性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02" w:hRule="atLeast"/>
                <w:jc w:val="center"/>
              </w:trPr>
              <w:tc>
                <w:tcPr>
                  <w:tcW w:w="1020" w:type="pct"/>
                  <w:vMerge w:val="continue"/>
                  <w:tcBorders>
                    <w:bottom w:val="single" w:color="auto" w:sz="4" w:space="0"/>
                  </w:tcBorders>
                  <w:noWrap w:val="0"/>
                  <w:vAlign w:val="center"/>
                </w:tcPr>
                <w:p>
                  <w:pPr>
                    <w:pStyle w:val="161"/>
                    <w:bidi w:val="0"/>
                  </w:pPr>
                </w:p>
              </w:tc>
              <w:tc>
                <w:tcPr>
                  <w:tcW w:w="901" w:type="pct"/>
                  <w:noWrap w:val="0"/>
                  <w:vAlign w:val="center"/>
                </w:tcPr>
                <w:p>
                  <w:pPr>
                    <w:pStyle w:val="161"/>
                    <w:bidi w:val="0"/>
                    <w:rPr>
                      <w:rFonts w:hint="default"/>
                      <w:lang w:val="en-US" w:eastAsia="zh-CN"/>
                    </w:rPr>
                  </w:pPr>
                  <w:r>
                    <w:rPr>
                      <w:rFonts w:hint="eastAsia"/>
                      <w:lang w:eastAsia="zh-CN"/>
                    </w:rPr>
                    <w:t>距离</w:t>
                  </w:r>
                  <w:r>
                    <w:rPr>
                      <w:rFonts w:hint="eastAsia"/>
                      <w:lang w:val="en-US" w:eastAsia="zh-CN"/>
                    </w:rPr>
                    <w:t>/m</w:t>
                  </w:r>
                </w:p>
              </w:tc>
              <w:tc>
                <w:tcPr>
                  <w:tcW w:w="921" w:type="pct"/>
                  <w:noWrap w:val="0"/>
                  <w:vAlign w:val="center"/>
                </w:tcPr>
                <w:p>
                  <w:pPr>
                    <w:pStyle w:val="161"/>
                    <w:bidi w:val="0"/>
                  </w:pPr>
                  <w:r>
                    <w:rPr>
                      <w:rFonts w:hint="eastAsia"/>
                    </w:rPr>
                    <w:t>dB(A)</w:t>
                  </w:r>
                </w:p>
              </w:tc>
              <w:tc>
                <w:tcPr>
                  <w:tcW w:w="1055" w:type="pct"/>
                  <w:vMerge w:val="continue"/>
                  <w:noWrap w:val="0"/>
                  <w:vAlign w:val="center"/>
                </w:tcPr>
                <w:p>
                  <w:pPr>
                    <w:pStyle w:val="161"/>
                    <w:bidi w:val="0"/>
                  </w:pPr>
                </w:p>
              </w:tc>
              <w:tc>
                <w:tcPr>
                  <w:tcW w:w="1101" w:type="pct"/>
                  <w:vMerge w:val="continue"/>
                  <w:noWrap w:val="0"/>
                  <w:vAlign w:val="center"/>
                </w:tcPr>
                <w:p>
                  <w:pPr>
                    <w:pStyle w:val="161"/>
                    <w:bidi w:val="0"/>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砂轮锯</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82.6</w:t>
                  </w:r>
                </w:p>
              </w:tc>
              <w:tc>
                <w:tcPr>
                  <w:tcW w:w="1055" w:type="pct"/>
                  <w:noWrap w:val="0"/>
                  <w:vAlign w:val="center"/>
                </w:tcPr>
                <w:p>
                  <w:pPr>
                    <w:pStyle w:val="161"/>
                    <w:bidi w:val="0"/>
                    <w:rPr>
                      <w:rFonts w:hint="default"/>
                      <w:lang w:val="en-US" w:eastAsia="zh-CN"/>
                    </w:rPr>
                  </w:pPr>
                  <w:r>
                    <w:rPr>
                      <w:rFonts w:hint="eastAsia"/>
                      <w:lang w:val="en-US" w:eastAsia="zh-CN"/>
                    </w:rPr>
                    <w:t>104.0</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82"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切割机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76.02</w:t>
                  </w:r>
                </w:p>
              </w:tc>
              <w:tc>
                <w:tcPr>
                  <w:tcW w:w="1055" w:type="pct"/>
                  <w:noWrap w:val="0"/>
                  <w:vAlign w:val="center"/>
                </w:tcPr>
                <w:p>
                  <w:pPr>
                    <w:pStyle w:val="161"/>
                    <w:bidi w:val="0"/>
                    <w:rPr>
                      <w:rFonts w:hint="default"/>
                      <w:lang w:val="en-US" w:eastAsia="zh-CN"/>
                    </w:rPr>
                  </w:pPr>
                  <w:r>
                    <w:rPr>
                      <w:rFonts w:hint="eastAsia"/>
                      <w:lang w:val="en-US" w:eastAsia="zh-CN"/>
                    </w:rPr>
                    <w:t>105.0</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3" w:hRule="atLeast"/>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磨石机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68.52</w:t>
                  </w:r>
                </w:p>
              </w:tc>
              <w:tc>
                <w:tcPr>
                  <w:tcW w:w="1055" w:type="pct"/>
                  <w:noWrap w:val="0"/>
                  <w:vAlign w:val="center"/>
                </w:tcPr>
                <w:p>
                  <w:pPr>
                    <w:pStyle w:val="161"/>
                    <w:bidi w:val="0"/>
                    <w:rPr>
                      <w:rFonts w:hint="default"/>
                      <w:lang w:val="en-US" w:eastAsia="zh-CN"/>
                    </w:rPr>
                  </w:pPr>
                  <w:r>
                    <w:rPr>
                      <w:rFonts w:hint="eastAsia"/>
                      <w:lang w:val="en-US" w:eastAsia="zh-CN"/>
                    </w:rPr>
                    <w:t>90.5</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起重机</w:t>
                  </w:r>
                </w:p>
              </w:tc>
              <w:tc>
                <w:tcPr>
                  <w:tcW w:w="901" w:type="pct"/>
                  <w:noWrap w:val="0"/>
                  <w:vAlign w:val="center"/>
                </w:tcPr>
                <w:p>
                  <w:pPr>
                    <w:pStyle w:val="161"/>
                    <w:bidi w:val="0"/>
                    <w:rPr>
                      <w:rFonts w:hint="eastAsia"/>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81.04</w:t>
                  </w:r>
                </w:p>
              </w:tc>
              <w:tc>
                <w:tcPr>
                  <w:tcW w:w="1055" w:type="pct"/>
                  <w:noWrap w:val="0"/>
                  <w:vAlign w:val="center"/>
                </w:tcPr>
                <w:p>
                  <w:pPr>
                    <w:pStyle w:val="161"/>
                    <w:bidi w:val="0"/>
                    <w:rPr>
                      <w:rFonts w:hint="default"/>
                      <w:lang w:val="en-US" w:eastAsia="zh-CN"/>
                    </w:rPr>
                  </w:pPr>
                  <w:r>
                    <w:rPr>
                      <w:rFonts w:hint="eastAsia"/>
                      <w:lang w:val="en-US" w:eastAsia="zh-CN"/>
                    </w:rPr>
                    <w:t>103</w:t>
                  </w:r>
                </w:p>
              </w:tc>
              <w:tc>
                <w:tcPr>
                  <w:tcW w:w="1101" w:type="pct"/>
                  <w:noWrap w:val="0"/>
                  <w:vAlign w:val="center"/>
                </w:tcPr>
                <w:p>
                  <w:pPr>
                    <w:pStyle w:val="161"/>
                    <w:bidi w:val="0"/>
                    <w:rPr>
                      <w:rFonts w:hint="eastAsia"/>
                      <w:lang w:eastAsia="zh-CN"/>
                    </w:rPr>
                  </w:pPr>
                  <w:r>
                    <w:rPr>
                      <w:rFonts w:hint="eastAsia"/>
                      <w:lang w:eastAsia="zh-CN"/>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jc w:val="center"/>
              </w:trPr>
              <w:tc>
                <w:tcPr>
                  <w:tcW w:w="1020" w:type="pct"/>
                  <w:tcBorders>
                    <w:top w:val="single" w:color="auto" w:sz="4" w:space="0"/>
                    <w:bottom w:val="single" w:color="auto" w:sz="4" w:space="0"/>
                  </w:tcBorders>
                  <w:noWrap w:val="0"/>
                  <w:vAlign w:val="center"/>
                </w:tcPr>
                <w:p>
                  <w:pPr>
                    <w:pStyle w:val="161"/>
                    <w:bidi w:val="0"/>
                    <w:rPr>
                      <w:rFonts w:hint="eastAsia"/>
                      <w:lang w:eastAsia="zh-CN"/>
                    </w:rPr>
                  </w:pPr>
                  <w:r>
                    <w:rPr>
                      <w:rFonts w:hint="eastAsia"/>
                      <w:lang w:eastAsia="zh-CN"/>
                    </w:rPr>
                    <w:t>点刨</w:t>
                  </w:r>
                </w:p>
              </w:tc>
              <w:tc>
                <w:tcPr>
                  <w:tcW w:w="901" w:type="pct"/>
                  <w:noWrap w:val="0"/>
                  <w:vAlign w:val="center"/>
                </w:tcPr>
                <w:p>
                  <w:pPr>
                    <w:pStyle w:val="161"/>
                    <w:bidi w:val="0"/>
                    <w:rPr>
                      <w:rFonts w:hint="default"/>
                      <w:lang w:val="en-US" w:eastAsia="zh-CN"/>
                    </w:rPr>
                  </w:pPr>
                  <w:r>
                    <w:rPr>
                      <w:rFonts w:hint="eastAsia"/>
                      <w:lang w:val="en-US" w:eastAsia="zh-CN"/>
                    </w:rPr>
                    <w:t>5</w:t>
                  </w:r>
                </w:p>
              </w:tc>
              <w:tc>
                <w:tcPr>
                  <w:tcW w:w="921" w:type="pct"/>
                  <w:noWrap w:val="0"/>
                  <w:vAlign w:val="center"/>
                </w:tcPr>
                <w:p>
                  <w:pPr>
                    <w:pStyle w:val="161"/>
                    <w:bidi w:val="0"/>
                    <w:rPr>
                      <w:rFonts w:hint="default"/>
                      <w:lang w:val="en-US" w:eastAsia="zh-CN"/>
                    </w:rPr>
                  </w:pPr>
                  <w:r>
                    <w:rPr>
                      <w:rFonts w:hint="eastAsia"/>
                      <w:lang w:val="en-US" w:eastAsia="zh-CN"/>
                    </w:rPr>
                    <w:t>82.4</w:t>
                  </w:r>
                </w:p>
              </w:tc>
              <w:tc>
                <w:tcPr>
                  <w:tcW w:w="1055" w:type="pct"/>
                  <w:noWrap w:val="0"/>
                  <w:vAlign w:val="center"/>
                </w:tcPr>
                <w:p>
                  <w:pPr>
                    <w:pStyle w:val="161"/>
                    <w:bidi w:val="0"/>
                    <w:rPr>
                      <w:rFonts w:hint="default"/>
                      <w:lang w:val="en-US" w:eastAsia="zh-CN"/>
                    </w:rPr>
                  </w:pPr>
                  <w:r>
                    <w:rPr>
                      <w:rFonts w:hint="eastAsia"/>
                      <w:lang w:val="en-US" w:eastAsia="zh-CN"/>
                    </w:rPr>
                    <w:t>--</w:t>
                  </w:r>
                </w:p>
              </w:tc>
              <w:tc>
                <w:tcPr>
                  <w:tcW w:w="1101" w:type="pct"/>
                  <w:noWrap w:val="0"/>
                  <w:vAlign w:val="center"/>
                </w:tcPr>
                <w:p>
                  <w:pPr>
                    <w:pStyle w:val="161"/>
                    <w:bidi w:val="0"/>
                    <w:rPr>
                      <w:rFonts w:hint="eastAsia"/>
                      <w:lang w:eastAsia="zh-CN"/>
                    </w:rPr>
                  </w:pPr>
                  <w:r>
                    <w:rPr>
                      <w:rFonts w:hint="eastAsia"/>
                      <w:lang w:eastAsia="zh-CN"/>
                    </w:rPr>
                    <w:t>无</w:t>
                  </w:r>
                </w:p>
              </w:tc>
            </w:tr>
          </w:tbl>
          <w:p>
            <w:pPr>
              <w:pStyle w:val="97"/>
              <w:bidi w:val="0"/>
              <w:rPr>
                <w:rFonts w:hint="default"/>
                <w:lang w:val="en-US" w:eastAsia="zh-CN"/>
              </w:rPr>
            </w:pPr>
            <w:r>
              <w:rPr>
                <w:rFonts w:hint="default"/>
                <w:lang w:val="en-US" w:eastAsia="zh-CN"/>
              </w:rPr>
              <w:t>由于项目施工场地周边分布有少量散居住户，为防止项目建设对周边住户产生影响，评价要求施工单位应采取如下措施：</w:t>
            </w:r>
          </w:p>
          <w:p>
            <w:pPr>
              <w:pStyle w:val="97"/>
              <w:bidi w:val="0"/>
              <w:rPr>
                <w:rFonts w:hint="default"/>
                <w:lang w:val="en-US" w:eastAsia="zh-CN"/>
              </w:rPr>
            </w:pPr>
            <w:r>
              <w:rPr>
                <w:rFonts w:hint="default"/>
                <w:lang w:val="en-US" w:eastAsia="zh-CN"/>
              </w:rPr>
              <w:t>1）采用低噪声机具，并对施工机械定期维护，合理布置高噪声源，将高噪声机械设备布置在原理敏感目标的区域；</w:t>
            </w:r>
          </w:p>
          <w:p>
            <w:pPr>
              <w:pStyle w:val="97"/>
              <w:bidi w:val="0"/>
              <w:rPr>
                <w:rFonts w:hint="default"/>
                <w:lang w:val="en-US" w:eastAsia="zh-CN"/>
              </w:rPr>
            </w:pPr>
            <w:r>
              <w:rPr>
                <w:rFonts w:hint="default"/>
                <w:lang w:val="en-US" w:eastAsia="zh-CN"/>
              </w:rPr>
              <w:t>2）进行围挡作业，减小施工噪声，禁止夜间（22:00~6:00）、午休（12:00~1:30）期间高噪声施工；</w:t>
            </w:r>
          </w:p>
          <w:p>
            <w:pPr>
              <w:pStyle w:val="97"/>
              <w:bidi w:val="0"/>
              <w:rPr>
                <w:rFonts w:hint="default"/>
                <w:lang w:val="en-US" w:eastAsia="zh-CN"/>
              </w:rPr>
            </w:pPr>
            <w:r>
              <w:rPr>
                <w:rFonts w:hint="default"/>
                <w:lang w:val="en-US" w:eastAsia="zh-CN"/>
              </w:rPr>
              <w:t>3）合理安排物料运输时间，避免在清晨和夜间运输，合理控制车辆运输速度；</w:t>
            </w:r>
          </w:p>
          <w:p>
            <w:pPr>
              <w:pStyle w:val="97"/>
              <w:bidi w:val="0"/>
              <w:rPr>
                <w:rFonts w:hint="default"/>
                <w:lang w:val="en-US" w:eastAsia="zh-CN"/>
              </w:rPr>
            </w:pPr>
            <w:r>
              <w:rPr>
                <w:rFonts w:hint="default"/>
                <w:lang w:val="en-US" w:eastAsia="zh-CN"/>
              </w:rPr>
              <w:t>4）选择敏感目标较少的运输线路，减小交通道路噪声。</w:t>
            </w:r>
          </w:p>
          <w:p>
            <w:pPr>
              <w:pStyle w:val="97"/>
              <w:bidi w:val="0"/>
              <w:rPr>
                <w:rFonts w:hint="default"/>
                <w:lang w:val="en-US" w:eastAsia="zh-CN"/>
              </w:rPr>
            </w:pPr>
            <w:r>
              <w:rPr>
                <w:rFonts w:hint="default"/>
                <w:lang w:val="en-US" w:eastAsia="zh-CN"/>
              </w:rPr>
              <w:t>采取以上措施治理后，施工期昼、夜间噪声值能够满足《建筑施工厂界环境噪声排放标准》（GB12523-2011）标准限值要求。</w:t>
            </w:r>
          </w:p>
          <w:p>
            <w:pPr>
              <w:pStyle w:val="97"/>
              <w:numPr>
                <w:ilvl w:val="0"/>
                <w:numId w:val="0"/>
              </w:numPr>
              <w:bidi w:val="0"/>
              <w:ind w:leftChars="200"/>
              <w:rPr>
                <w:rFonts w:hint="eastAsia"/>
                <w:lang w:val="en-US" w:eastAsia="zh-CN"/>
              </w:rPr>
            </w:pPr>
            <w:r>
              <w:rPr>
                <w:rFonts w:hint="eastAsia"/>
                <w:lang w:val="en-US" w:eastAsia="zh-CN"/>
              </w:rPr>
              <w:t>（4）固体废弃物</w:t>
            </w:r>
          </w:p>
          <w:p>
            <w:pPr>
              <w:pStyle w:val="97"/>
              <w:bidi w:val="0"/>
              <w:rPr>
                <w:rFonts w:hint="eastAsia"/>
                <w:lang w:val="en-US" w:eastAsia="zh-CN"/>
              </w:rPr>
            </w:pPr>
            <w:r>
              <w:rPr>
                <w:rFonts w:hint="eastAsia"/>
                <w:lang w:val="en-US" w:eastAsia="zh-CN"/>
              </w:rPr>
              <w:t>本项目施工期为8个月，高峰期施工工人按20人计，生活垃圾产生量按0.5kg/d·人计，则生活垃圾产生量为10kg/d，施工期生活垃圾产生量为2.7t，经施工场地内设置的垃圾收集桶收集后，交由集镇环卫部门清运处置。</w:t>
            </w:r>
          </w:p>
          <w:p>
            <w:pPr>
              <w:pStyle w:val="97"/>
              <w:bidi w:val="0"/>
              <w:rPr>
                <w:rFonts w:hint="default"/>
                <w:lang w:val="en-US" w:eastAsia="zh-CN"/>
              </w:rPr>
            </w:pPr>
            <w:r>
              <w:rPr>
                <w:rFonts w:hint="eastAsia"/>
                <w:lang w:val="en-US" w:eastAsia="zh-CN"/>
              </w:rPr>
              <w:t>建筑垃圾及装修垃圾主要包括废砖、木屑、废石、废渣、废泡沫包装材料等，建筑及装修垃圾经分类收集后，能综合利用的考虑综合利用，不可利用的部分委托环卫部门统一清运、处理，最终实现零排放。</w:t>
            </w:r>
          </w:p>
          <w:p>
            <w:pPr>
              <w:spacing w:line="360" w:lineRule="auto"/>
              <w:ind w:firstLine="480" w:firstLineChars="200"/>
              <w:rPr>
                <w:rFonts w:eastAsiaTheme="minorEastAsia"/>
                <w:sz w:val="24"/>
              </w:rPr>
            </w:pPr>
            <w:r>
              <w:rPr>
                <w:rFonts w:hint="eastAsia" w:eastAsiaTheme="minorEastAsia"/>
                <w:sz w:val="24"/>
              </w:rPr>
              <w:t>（5）生态</w:t>
            </w:r>
          </w:p>
          <w:p>
            <w:pPr>
              <w:spacing w:line="360" w:lineRule="auto"/>
              <w:ind w:firstLine="480" w:firstLineChars="200"/>
              <w:rPr>
                <w:rFonts w:eastAsiaTheme="minorEastAsia"/>
                <w:sz w:val="24"/>
              </w:rPr>
            </w:pPr>
            <w:r>
              <w:rPr>
                <w:rFonts w:hint="eastAsia" w:eastAsiaTheme="minorEastAsia"/>
                <w:sz w:val="24"/>
              </w:rPr>
              <w:t>工程施工期的施工活动将对当地自然生态环境产生一定影响。工程施工过程因降雨、地表开挖和弃土填埋，可能引起不同程度的水土流失。项目建设地应做好相应的环保措施，防治水土流失的发生。施工过程中，土方填挖、泥土转载装卸作业过程中在堆放时都可能出现散落和水土流失，使土壤暴露情况加剧。施工过程中的水土流失不但影响工程进度和工程质量，还会作为一种废物或污染物往外排放，会对施工场地周围环境产生影响。故在施工期要做好土石工程的平衡，安排好施工计划，减少弃土和泥土的裸露时间，以避免受到暴雨的直接冲刷，做好各项排水、截水、防止水土流失工作。</w:t>
            </w:r>
          </w:p>
          <w:p>
            <w:pPr>
              <w:spacing w:line="360" w:lineRule="auto"/>
              <w:ind w:firstLine="480" w:firstLineChars="200"/>
              <w:rPr>
                <w:rFonts w:eastAsiaTheme="minorEastAsia"/>
                <w:sz w:val="24"/>
              </w:rPr>
            </w:pPr>
            <w:r>
              <w:rPr>
                <w:rFonts w:hint="eastAsia" w:eastAsiaTheme="minorEastAsia"/>
                <w:sz w:val="24"/>
              </w:rPr>
              <w:t>治理措施：施工现场需建设相应容积的沉淀池和排水沟，收集施工过程中产生的泥浆水，废水经沉淀除渣后排入周边灌溉沟渠。运土、砂石要保持完好，运输不宜太满，保证运载过程中不散落。临时裸露地表应采用防尘布覆盖，做好项目施工期的水土流失防治工作。</w:t>
            </w:r>
          </w:p>
          <w:p>
            <w:pPr>
              <w:spacing w:line="360" w:lineRule="auto"/>
              <w:ind w:firstLine="482" w:firstLineChars="200"/>
              <w:rPr>
                <w:rFonts w:eastAsiaTheme="minorEastAsia"/>
                <w:b/>
                <w:sz w:val="24"/>
              </w:rPr>
            </w:pPr>
            <w:r>
              <w:rPr>
                <w:rFonts w:hint="eastAsia" w:eastAsiaTheme="minorEastAsia"/>
                <w:b/>
                <w:sz w:val="24"/>
                <w:lang w:eastAsia="zh-CN"/>
              </w:rPr>
              <w:t>（二）</w:t>
            </w:r>
            <w:r>
              <w:rPr>
                <w:rFonts w:eastAsiaTheme="minorEastAsia"/>
                <w:b/>
                <w:sz w:val="24"/>
              </w:rPr>
              <w:t>运营期污染源强分析及污染防治措施</w:t>
            </w:r>
          </w:p>
          <w:p>
            <w:pPr>
              <w:spacing w:line="360" w:lineRule="auto"/>
              <w:ind w:firstLine="482" w:firstLineChars="200"/>
              <w:rPr>
                <w:rFonts w:hint="eastAsia" w:eastAsiaTheme="minorEastAsia"/>
                <w:b/>
                <w:bCs w:val="0"/>
                <w:sz w:val="24"/>
                <w:lang w:eastAsia="zh-CN"/>
              </w:rPr>
            </w:pPr>
            <w:r>
              <w:rPr>
                <w:rFonts w:hint="eastAsia" w:eastAsiaTheme="minorEastAsia"/>
                <w:b/>
                <w:bCs w:val="0"/>
                <w:sz w:val="24"/>
                <w:lang w:val="en-US" w:eastAsia="zh-CN"/>
              </w:rPr>
              <w:t>1、</w:t>
            </w:r>
            <w:r>
              <w:rPr>
                <w:rFonts w:hint="eastAsia" w:eastAsiaTheme="minorEastAsia"/>
                <w:b/>
                <w:bCs w:val="0"/>
                <w:sz w:val="24"/>
                <w:lang w:eastAsia="zh-CN"/>
              </w:rPr>
              <w:t>大气污染物及排放治理</w:t>
            </w:r>
          </w:p>
          <w:p>
            <w:pPr>
              <w:tabs>
                <w:tab w:val="left" w:pos="660"/>
              </w:tabs>
              <w:spacing w:line="360" w:lineRule="auto"/>
              <w:ind w:firstLine="482" w:firstLineChars="200"/>
              <w:rPr>
                <w:rFonts w:hint="eastAsia" w:eastAsiaTheme="minorEastAsia"/>
                <w:b/>
                <w:bCs/>
                <w:sz w:val="24"/>
                <w:lang w:val="en-US" w:eastAsia="zh-CN"/>
              </w:rPr>
            </w:pPr>
            <w:r>
              <w:rPr>
                <w:rFonts w:hint="eastAsia" w:eastAsiaTheme="minorEastAsia"/>
                <w:b/>
                <w:bCs/>
                <w:sz w:val="24"/>
                <w:lang w:val="en-US" w:eastAsia="zh-CN"/>
              </w:rPr>
              <w:t>1）加注工艺产生的有机废气</w:t>
            </w:r>
          </w:p>
          <w:p>
            <w:pPr>
              <w:tabs>
                <w:tab w:val="left" w:pos="660"/>
              </w:tabs>
              <w:spacing w:line="360" w:lineRule="auto"/>
              <w:ind w:firstLine="482" w:firstLineChars="200"/>
              <w:rPr>
                <w:rFonts w:hint="eastAsia" w:eastAsiaTheme="minorEastAsia"/>
                <w:b/>
                <w:bCs/>
                <w:sz w:val="24"/>
                <w:lang w:val="en-US" w:eastAsia="zh-CN"/>
              </w:rPr>
            </w:pPr>
            <w:r>
              <w:rPr>
                <w:rFonts w:hint="eastAsia" w:eastAsiaTheme="minorEastAsia"/>
                <w:b/>
                <w:bCs/>
                <w:sz w:val="24"/>
                <w:lang w:val="en-US" w:eastAsia="zh-CN"/>
              </w:rPr>
              <w:t>①卸车、储存和加气过程</w:t>
            </w:r>
          </w:p>
          <w:p>
            <w:pPr>
              <w:tabs>
                <w:tab w:val="left" w:pos="660"/>
              </w:tabs>
              <w:spacing w:line="360" w:lineRule="auto"/>
              <w:ind w:firstLine="480" w:firstLineChars="200"/>
              <w:rPr>
                <w:rFonts w:hint="eastAsia" w:eastAsiaTheme="minorEastAsia"/>
                <w:sz w:val="24"/>
                <w:lang w:val="en-US" w:eastAsia="zh-CN"/>
              </w:rPr>
            </w:pPr>
            <w:r>
              <w:rPr>
                <w:rFonts w:hint="eastAsia" w:eastAsiaTheme="minorEastAsia"/>
                <w:sz w:val="24"/>
                <w:lang w:val="en-US" w:eastAsia="zh-CN"/>
              </w:rPr>
              <w:t>LNG 卸车、加气过程中逸出的少量天然气。LNG 卸车、加气过程中，接头处难免有微量天然气逸出，产生的天然气对空自然排放。</w:t>
            </w:r>
          </w:p>
          <w:p>
            <w:pPr>
              <w:tabs>
                <w:tab w:val="left" w:pos="660"/>
              </w:tabs>
              <w:spacing w:line="360" w:lineRule="auto"/>
              <w:ind w:firstLine="480" w:firstLineChars="200"/>
              <w:rPr>
                <w:rFonts w:hint="eastAsia" w:eastAsiaTheme="minorEastAsia"/>
                <w:color w:val="FF0000"/>
                <w:sz w:val="24"/>
                <w:lang w:val="en-US" w:eastAsia="zh-CN"/>
              </w:rPr>
            </w:pPr>
            <w:r>
              <w:rPr>
                <w:rFonts w:hint="eastAsia" w:eastAsiaTheme="minorEastAsia"/>
                <w:color w:val="auto"/>
                <w:sz w:val="24"/>
                <w:lang w:val="en-US" w:eastAsia="zh-CN"/>
              </w:rPr>
              <w:t>根据设计资料，项目日最大加气量为15万Nm³/d。根据同类型加气站有关资料和类比调查，加气站天然气无组织排放量约为加气量的万分之一，据此，本项目设计日加气能力为15万Nm³/d（5400万Nm³/a）,则天然气的泄漏量约为15m³/d（5400m³/a），天燃气的密度取0.68kg/m³，则无组织废气排放量为0.425kg/h（3672kg/a）。根据天然气组分及性质，其中甲烷占98.9%，非甲烷总烃占0.2%，则甲烷的排放量为0.420kg/h（3631kg/a），非甲烷的排放量为0.0009kg/h（7.3kg/a）。</w:t>
            </w:r>
          </w:p>
          <w:p>
            <w:pPr>
              <w:tabs>
                <w:tab w:val="left" w:pos="660"/>
              </w:tabs>
              <w:spacing w:line="360" w:lineRule="auto"/>
              <w:ind w:firstLine="482" w:firstLineChars="200"/>
              <w:rPr>
                <w:rFonts w:hint="default" w:eastAsiaTheme="minorEastAsia"/>
                <w:b/>
                <w:bCs/>
                <w:sz w:val="24"/>
                <w:lang w:val="en-US" w:eastAsia="zh-CN"/>
              </w:rPr>
            </w:pPr>
            <w:r>
              <w:rPr>
                <w:rFonts w:hint="eastAsia" w:eastAsiaTheme="minorEastAsia"/>
                <w:b/>
                <w:bCs/>
                <w:sz w:val="24"/>
                <w:lang w:val="en-US" w:eastAsia="zh-CN"/>
              </w:rPr>
              <w:t>②LNG储罐闪蒸汽</w:t>
            </w:r>
          </w:p>
          <w:p>
            <w:pPr>
              <w:tabs>
                <w:tab w:val="left" w:pos="660"/>
              </w:tabs>
              <w:spacing w:line="360" w:lineRule="auto"/>
              <w:ind w:firstLine="480" w:firstLineChars="200"/>
              <w:rPr>
                <w:rFonts w:hint="default" w:eastAsiaTheme="minorEastAsia"/>
                <w:color w:val="auto"/>
                <w:sz w:val="24"/>
                <w:lang w:val="en-US" w:eastAsia="zh-CN"/>
              </w:rPr>
            </w:pPr>
            <w:r>
              <w:rPr>
                <w:rFonts w:hint="eastAsia" w:eastAsiaTheme="minorEastAsia"/>
                <w:color w:val="auto"/>
                <w:sz w:val="24"/>
                <w:lang w:val="en-US" w:eastAsia="zh-CN"/>
              </w:rPr>
              <w:t>LNG储罐闪蒸汽主要以总烃的形式存在。根据类比分析及储罐总容积，LNG储罐的日蒸发率≤0.3%，所以本项目总容积60m³的LNG储罐闪蒸汽最大产生量为108m³/d。排放量为0.16kg/h（1.42t/a），根据天然气组分及性质，其中甲烷占98.9%，非甲烷总烃占0.2%，则放散管的甲烷排放量为0.158kg/h（1.38t/a），非甲烷总烃的排放量为0.0003kg/h（3kg/a）</w:t>
            </w:r>
          </w:p>
          <w:p>
            <w:pPr>
              <w:tabs>
                <w:tab w:val="left" w:pos="660"/>
              </w:tabs>
              <w:spacing w:line="360" w:lineRule="auto"/>
              <w:ind w:firstLine="482" w:firstLineChars="200"/>
              <w:rPr>
                <w:rFonts w:hint="eastAsia" w:eastAsiaTheme="minorEastAsia"/>
                <w:b/>
                <w:bCs/>
                <w:sz w:val="24"/>
                <w:lang w:val="en-US" w:eastAsia="zh-CN"/>
              </w:rPr>
            </w:pPr>
            <w:r>
              <w:rPr>
                <w:rFonts w:hint="eastAsia" w:eastAsiaTheme="minorEastAsia"/>
                <w:b/>
                <w:bCs/>
                <w:sz w:val="24"/>
                <w:lang w:val="en-US" w:eastAsia="zh-CN"/>
              </w:rPr>
              <w:t>③加气废气</w:t>
            </w:r>
          </w:p>
          <w:p>
            <w:pPr>
              <w:tabs>
                <w:tab w:val="left" w:pos="660"/>
              </w:tabs>
              <w:spacing w:line="360" w:lineRule="auto"/>
              <w:ind w:firstLine="480" w:firstLineChars="200"/>
              <w:rPr>
                <w:rFonts w:hint="eastAsia" w:eastAsiaTheme="minorEastAsia"/>
                <w:sz w:val="24"/>
                <w:lang w:val="en-US" w:eastAsia="zh-CN"/>
              </w:rPr>
            </w:pPr>
            <w:r>
              <w:rPr>
                <w:rFonts w:hint="eastAsia" w:eastAsiaTheme="minorEastAsia"/>
                <w:sz w:val="24"/>
                <w:lang w:val="en-US" w:eastAsia="zh-CN"/>
              </w:rPr>
              <w:t>向汽车加注 LNG 时，由于车载 LNG 储气瓶内温度、压力较高，将产生少量气相天然气。通过加气机自带尾气回收装置及加气枪的气相管回到 LNG 储罐，未收集到的少量天然气很快扩散，对环境空气质量影响甚微。</w:t>
            </w:r>
          </w:p>
          <w:p>
            <w:pPr>
              <w:tabs>
                <w:tab w:val="left" w:pos="660"/>
              </w:tabs>
              <w:spacing w:line="360" w:lineRule="auto"/>
              <w:ind w:firstLine="482" w:firstLineChars="200"/>
              <w:rPr>
                <w:rFonts w:hint="eastAsia" w:eastAsiaTheme="minorEastAsia"/>
                <w:b/>
                <w:bCs/>
                <w:sz w:val="24"/>
                <w:lang w:val="en-US" w:eastAsia="zh-CN"/>
              </w:rPr>
            </w:pPr>
            <w:r>
              <w:rPr>
                <w:rFonts w:hint="eastAsia" w:eastAsiaTheme="minorEastAsia"/>
                <w:b/>
                <w:bCs/>
                <w:sz w:val="24"/>
                <w:lang w:val="en-US" w:eastAsia="zh-CN"/>
              </w:rPr>
              <w:t>④逸出天然气</w:t>
            </w:r>
          </w:p>
          <w:p>
            <w:pPr>
              <w:tabs>
                <w:tab w:val="left" w:pos="660"/>
              </w:tabs>
              <w:spacing w:line="360" w:lineRule="auto"/>
              <w:ind w:firstLine="480" w:firstLineChars="200"/>
              <w:rPr>
                <w:rFonts w:hint="eastAsia" w:eastAsiaTheme="minorEastAsia"/>
                <w:sz w:val="24"/>
                <w:lang w:val="en-US" w:eastAsia="zh-CN"/>
              </w:rPr>
            </w:pPr>
            <w:r>
              <w:rPr>
                <w:rFonts w:hint="eastAsia" w:eastAsiaTheme="minorEastAsia"/>
                <w:sz w:val="24"/>
                <w:lang w:val="en-US" w:eastAsia="zh-CN"/>
              </w:rPr>
              <w:t>项目卸车工序中接头处及 LNG 加注工序中加注过程逸出的微量天然气，逸漏的天然气均未达到可燃气体报警系统检出限值，同时由于天然气基本不含有毒物质，比重轻，且属间断、无规律性排放，其泄漏的少量天然气很快扩散，对环境空气质量影响甚微。本项目按照规范要求在作业区等危险场所设置可燃气体泄漏检测装置，防止气体泄漏。</w:t>
            </w:r>
          </w:p>
          <w:p>
            <w:pPr>
              <w:pStyle w:val="97"/>
              <w:bidi w:val="0"/>
              <w:rPr>
                <w:rFonts w:hint="eastAsia"/>
                <w:lang w:val="en-US" w:eastAsia="zh-CN"/>
              </w:rPr>
            </w:pPr>
            <w:r>
              <w:rPr>
                <w:rFonts w:hint="eastAsia"/>
                <w:lang w:val="en-US" w:eastAsia="zh-CN"/>
              </w:rPr>
              <w:t>综上所述，本项目运营期卸车、储存和加气过程系统逸出的少量天然气及低温放散系统 LNG 系统工艺设备和管道检修逸出的少量天然气共 0.578kg/h，5011t/a。其中，C2H6、C3H8 等非甲烷总烃排放量约 0.2%，为 0.012kg/h（10.3kg/a）。本项目设置一套 EAG 放散系统，放散经 LNG 卸压时产生的废气。放散天然气经过 EAG 系统加热后，使比空气更重的天然气比重变低，密度低于空气，再由放散管排放。由于放散量小，天然气相对空气的比重较低，放散天然气会迅速进入大气层而不会聚集。</w:t>
            </w:r>
          </w:p>
          <w:p>
            <w:pPr>
              <w:tabs>
                <w:tab w:val="left" w:pos="660"/>
              </w:tabs>
              <w:spacing w:line="360" w:lineRule="auto"/>
              <w:ind w:firstLine="482" w:firstLineChars="200"/>
              <w:rPr>
                <w:rFonts w:hint="eastAsia" w:eastAsiaTheme="minorEastAsia"/>
                <w:b/>
                <w:bCs/>
                <w:sz w:val="24"/>
                <w:lang w:val="en-US" w:eastAsia="zh-CN"/>
              </w:rPr>
            </w:pPr>
            <w:r>
              <w:rPr>
                <w:rFonts w:hint="eastAsia" w:eastAsiaTheme="minorEastAsia"/>
                <w:b/>
                <w:bCs/>
                <w:sz w:val="24"/>
                <w:lang w:val="en-US" w:eastAsia="zh-CN"/>
              </w:rPr>
              <w:t>本项目加气区废气拟采取的污染防治措施：</w:t>
            </w:r>
          </w:p>
          <w:p>
            <w:pPr>
              <w:tabs>
                <w:tab w:val="left" w:pos="660"/>
              </w:tabs>
              <w:spacing w:line="360" w:lineRule="auto"/>
              <w:ind w:firstLine="480" w:firstLineChars="200"/>
              <w:rPr>
                <w:rFonts w:hint="eastAsia" w:eastAsiaTheme="minorEastAsia"/>
                <w:sz w:val="24"/>
                <w:lang w:val="en-US" w:eastAsia="zh-CN"/>
              </w:rPr>
            </w:pPr>
            <w:r>
              <w:rPr>
                <w:rFonts w:hint="eastAsia" w:eastAsiaTheme="minorEastAsia"/>
                <w:sz w:val="24"/>
                <w:lang w:val="en-US" w:eastAsia="zh-CN"/>
              </w:rPr>
              <w:t>为减轻天然气放散对周围人群的影响，放散管应远离周边敏感点。根据《汽车加油加气站设计与施工规范》(GB50156-2012)，2014 修订版，天然气放散管管口与站外三类建、构筑物之间至少有 15m 的防火距离，与项目外生产厂房之间至少有20m 的防火距离；根据前文可知，本项目放散管管口与站外建(构)筑物防护距离满足规定中 15m 的要求。</w:t>
            </w:r>
          </w:p>
          <w:p>
            <w:pPr>
              <w:pStyle w:val="97"/>
              <w:bidi w:val="0"/>
              <w:rPr>
                <w:rFonts w:hint="eastAsia"/>
                <w:lang w:val="en-US" w:eastAsia="zh-CN"/>
              </w:rPr>
            </w:pPr>
            <w:r>
              <w:rPr>
                <w:rFonts w:hint="eastAsia"/>
                <w:lang w:val="en-US" w:eastAsia="zh-CN"/>
              </w:rPr>
              <w:t>本项目设置一套 EAG 放散系统，放散经 LNG 卸压时产生的废气。放散天然气经过 EAG 系统加热后，使比空气更重的天然气比重变低，密度低于空气，再由放散管排放。由于放散量小，天然气相对空气的比重较低，放散天然气会迅速进入大气层而不会聚集。</w:t>
            </w:r>
          </w:p>
          <w:p>
            <w:pPr>
              <w:pStyle w:val="97"/>
              <w:bidi w:val="0"/>
              <w:rPr>
                <w:rFonts w:hint="eastAsia"/>
                <w:lang w:val="en-US" w:eastAsia="zh-CN"/>
              </w:rPr>
            </w:pPr>
            <w:r>
              <w:rPr>
                <w:rFonts w:hint="eastAsia"/>
                <w:lang w:val="en-US" w:eastAsia="zh-CN"/>
              </w:rPr>
              <w:t>LNG 系统在整个接收、调压、加注过程中因吸收热能 LNG 气化间歇产生闪蒸汽（BOG），产生的闪蒸汽经回收管道收集，通过 BOG 回收系统回收至储罐内。并且业主需对项目天然气易漏点应加强巡检，在 LNG 储罐附近设置可燃气体报警器，防止空气中有害物质积累超标。同时由于天然气基本不含有毒物质，比重轻， 其泄漏的少量天然气很快扩散，对环境空气质量影响甚微。</w:t>
            </w:r>
          </w:p>
          <w:p>
            <w:pPr>
              <w:pStyle w:val="97"/>
              <w:bidi w:val="0"/>
              <w:rPr>
                <w:rFonts w:hint="eastAsia"/>
                <w:lang w:val="en-US" w:eastAsia="zh-CN"/>
              </w:rPr>
            </w:pPr>
            <w:r>
              <w:rPr>
                <w:rFonts w:hint="eastAsia"/>
                <w:lang w:val="en-US" w:eastAsia="zh-CN"/>
              </w:rPr>
              <w:t>由于天然气比重较轻，相对比重为 0.7513（对空气），放散的天然气会迅速排入大气，不会形成聚集，不会对周边环境构成明显的危害，放散量远远低于国家标准准许排放量，不会对周边大气产生大的污染。本项目在工艺区放置可燃气体报警器，电器设备和仪表均按 Q-2 级防爆选型，灯具为防爆灯具。</w:t>
            </w:r>
          </w:p>
          <w:p>
            <w:pPr>
              <w:pStyle w:val="97"/>
              <w:bidi w:val="0"/>
              <w:rPr>
                <w:rFonts w:hint="eastAsia"/>
                <w:b/>
                <w:bCs/>
                <w:lang w:val="en-US" w:eastAsia="zh-CN"/>
              </w:rPr>
            </w:pPr>
            <w:r>
              <w:rPr>
                <w:rFonts w:hint="eastAsia"/>
                <w:b/>
                <w:bCs/>
                <w:lang w:val="en-US" w:eastAsia="zh-CN"/>
              </w:rPr>
              <w:t>通过以上措施，闪蒸汽不会造成大面积泄露，不会影响周围居民。</w:t>
            </w:r>
          </w:p>
          <w:p>
            <w:pPr>
              <w:pStyle w:val="97"/>
              <w:bidi w:val="0"/>
              <w:rPr>
                <w:rFonts w:hint="eastAsia"/>
                <w:b/>
                <w:bCs/>
                <w:lang w:val="en-US" w:eastAsia="zh-CN"/>
              </w:rPr>
            </w:pPr>
            <w:r>
              <w:rPr>
                <w:rFonts w:hint="eastAsia"/>
                <w:b/>
                <w:bCs/>
                <w:lang w:val="en-US" w:eastAsia="zh-CN"/>
              </w:rPr>
              <w:t>2）汽车尾气</w:t>
            </w:r>
          </w:p>
          <w:p>
            <w:pPr>
              <w:pStyle w:val="97"/>
              <w:bidi w:val="0"/>
              <w:rPr>
                <w:rFonts w:hint="eastAsia"/>
                <w:lang w:val="en-US" w:eastAsia="zh-CN"/>
              </w:rPr>
            </w:pPr>
            <w:r>
              <w:rPr>
                <w:rFonts w:hint="eastAsia"/>
                <w:lang w:val="en-US" w:eastAsia="zh-CN"/>
              </w:rPr>
              <w:t>进出加气站的车辆会产生少量汽车尾气，其特点是排放量小，且属间断性无组织排放，由于这一特点，应通过控制车辆行驶速度降低影响，通过大气的自净作用可以得到净化，鉴于项目场地开阔，扩散条件良好，因此对大气环境的影响甚微。</w:t>
            </w:r>
          </w:p>
          <w:p>
            <w:pPr>
              <w:pStyle w:val="97"/>
              <w:bidi w:val="0"/>
              <w:rPr>
                <w:rFonts w:hint="eastAsia"/>
                <w:b/>
                <w:bCs/>
                <w:color w:val="auto"/>
                <w:lang w:val="en-US" w:eastAsia="zh-CN"/>
              </w:rPr>
            </w:pPr>
            <w:r>
              <w:rPr>
                <w:rFonts w:hint="eastAsia"/>
                <w:b/>
                <w:bCs/>
                <w:color w:val="auto"/>
                <w:lang w:val="en-US" w:eastAsia="zh-CN"/>
              </w:rPr>
              <w:t>2、水污染物排放及治理</w:t>
            </w:r>
          </w:p>
          <w:p>
            <w:pPr>
              <w:pStyle w:val="97"/>
              <w:bidi w:val="0"/>
              <w:rPr>
                <w:rFonts w:hint="eastAsia"/>
                <w:lang w:val="en-US" w:eastAsia="zh-CN"/>
              </w:rPr>
            </w:pPr>
            <w:r>
              <w:rPr>
                <w:rFonts w:hint="eastAsia"/>
                <w:lang w:val="en-US" w:eastAsia="zh-CN"/>
              </w:rPr>
              <w:t>本项目使用净化后的成品 LNG 加注，不涉及脱硫、加臭、脱水等工艺，也不涉及 LNG 的生产和汽车清洗、维修服务。由工程工艺流程可知，项目无生产工艺废水。</w:t>
            </w:r>
          </w:p>
          <w:p>
            <w:pPr>
              <w:pStyle w:val="97"/>
              <w:bidi w:val="0"/>
              <w:rPr>
                <w:rFonts w:hint="eastAsia"/>
                <w:lang w:val="en-US" w:eastAsia="zh-CN"/>
              </w:rPr>
            </w:pPr>
            <w:r>
              <w:rPr>
                <w:rFonts w:hint="eastAsia"/>
                <w:lang w:val="en-US" w:eastAsia="zh-CN"/>
              </w:rPr>
              <w:t>本项目废水主要为生活废水、和地面冲洗废水，本项目不涉及洗车，无洗车废水。</w:t>
            </w:r>
          </w:p>
          <w:p>
            <w:pPr>
              <w:pStyle w:val="97"/>
              <w:bidi w:val="0"/>
              <w:rPr>
                <w:rFonts w:hint="eastAsia"/>
                <w:lang w:val="en-US" w:eastAsia="zh-CN"/>
              </w:rPr>
            </w:pPr>
            <w:r>
              <w:rPr>
                <w:rFonts w:hint="eastAsia"/>
                <w:lang w:val="en-US" w:eastAsia="zh-CN"/>
              </w:rPr>
              <w:t>拟采取治理措施：本项目站内生活污水经化粪池处理后用作农肥，不外排。由于进出站的车辆车轮会携带少量粉尘和泥沙，因此场地冲洗废水需设置沉淀池进行沉淀后外排或回用。</w:t>
            </w:r>
          </w:p>
          <w:p>
            <w:pPr>
              <w:pStyle w:val="97"/>
              <w:bidi w:val="0"/>
              <w:rPr>
                <w:rFonts w:hint="eastAsia"/>
                <w:lang w:val="en-US" w:eastAsia="zh-CN"/>
              </w:rPr>
            </w:pPr>
            <w:r>
              <w:rPr>
                <w:rFonts w:hint="eastAsia"/>
                <w:lang w:val="en-US" w:eastAsia="zh-CN"/>
              </w:rPr>
              <w:t>因此，本项目的运营对区域地表水的水质不会产生明显的不良影响。</w:t>
            </w:r>
          </w:p>
          <w:p>
            <w:pPr>
              <w:pStyle w:val="97"/>
              <w:bidi w:val="0"/>
              <w:rPr>
                <w:rFonts w:hint="eastAsia"/>
                <w:b/>
                <w:bCs/>
                <w:lang w:val="en-US" w:eastAsia="zh-CN"/>
              </w:rPr>
            </w:pPr>
            <w:r>
              <w:rPr>
                <w:rFonts w:hint="eastAsia"/>
                <w:b/>
                <w:bCs/>
                <w:lang w:val="en-US" w:eastAsia="zh-CN"/>
              </w:rPr>
              <w:t>3、噪声污染物排放及治理</w:t>
            </w:r>
          </w:p>
          <w:p>
            <w:pPr>
              <w:pStyle w:val="97"/>
              <w:bidi w:val="0"/>
              <w:rPr>
                <w:rFonts w:hint="eastAsia"/>
                <w:lang w:val="en-US" w:eastAsia="zh-CN"/>
              </w:rPr>
            </w:pPr>
            <w:r>
              <w:rPr>
                <w:rFonts w:hint="eastAsia"/>
                <w:lang w:val="en-US" w:eastAsia="zh-CN"/>
              </w:rPr>
              <w:t>项目噪声主要来自设备噪声（潜液泵、加气机、仪表风系统的小型空压机和增压器）、进出车辆噪声，源强约为 60~80dB（A）。</w:t>
            </w:r>
          </w:p>
          <w:p>
            <w:pPr>
              <w:pStyle w:val="195"/>
              <w:bidi w:val="0"/>
              <w:rPr>
                <w:rFonts w:hint="eastAsia"/>
                <w:lang w:val="en-US" w:eastAsia="zh-CN"/>
              </w:rPr>
            </w:pPr>
            <w:r>
              <w:rPr>
                <w:rFonts w:hint="eastAsia"/>
                <w:lang w:val="en-US" w:eastAsia="zh-CN"/>
              </w:rPr>
              <w:t>表 5-8 主要噪声源及防治措施</w:t>
            </w:r>
          </w:p>
          <w:tbl>
            <w:tblPr>
              <w:tblStyle w:val="2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7"/>
              <w:gridCol w:w="1355"/>
              <w:gridCol w:w="907"/>
              <w:gridCol w:w="2166"/>
              <w:gridCol w:w="1281"/>
              <w:gridCol w:w="1359"/>
              <w:gridCol w:w="13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351" w:type="pct"/>
                  <w:tcBorders>
                    <w:top w:val="single" w:color="000000" w:sz="12" w:space="0"/>
                    <w:left w:val="nil"/>
                    <w:bottom w:val="single" w:color="000000" w:sz="6" w:space="0"/>
                    <w:right w:val="single" w:color="000000" w:sz="6" w:space="0"/>
                    <w:tl2br w:val="nil"/>
                    <w:tr2bl w:val="nil"/>
                  </w:tcBorders>
                  <w:noWrap w:val="0"/>
                  <w:vAlign w:val="center"/>
                </w:tcPr>
                <w:p>
                  <w:pPr>
                    <w:pStyle w:val="193"/>
                    <w:bidi w:val="0"/>
                    <w:jc w:val="center"/>
                    <w:rPr>
                      <w:rFonts w:hint="eastAsia"/>
                    </w:rPr>
                  </w:pPr>
                  <w:r>
                    <w:rPr>
                      <w:rFonts w:hint="eastAsia"/>
                    </w:rPr>
                    <w:t>序号</w:t>
                  </w:r>
                </w:p>
              </w:tc>
              <w:tc>
                <w:tcPr>
                  <w:tcW w:w="747" w:type="pct"/>
                  <w:tcBorders>
                    <w:top w:val="single" w:color="000000" w:sz="12"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主要噪声源</w:t>
                  </w:r>
                </w:p>
              </w:tc>
              <w:tc>
                <w:tcPr>
                  <w:tcW w:w="500" w:type="pct"/>
                  <w:tcBorders>
                    <w:top w:val="single" w:color="000000" w:sz="12"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位置</w:t>
                  </w:r>
                </w:p>
              </w:tc>
              <w:tc>
                <w:tcPr>
                  <w:tcW w:w="1194" w:type="pct"/>
                  <w:tcBorders>
                    <w:top w:val="single" w:color="000000" w:sz="12"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噪声防治措施</w:t>
                  </w:r>
                </w:p>
              </w:tc>
              <w:tc>
                <w:tcPr>
                  <w:tcW w:w="706" w:type="pct"/>
                  <w:tcBorders>
                    <w:top w:val="single" w:color="000000" w:sz="12"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default"/>
                    </w:rPr>
                  </w:pPr>
                  <w:r>
                    <w:rPr>
                      <w:rFonts w:hint="eastAsia"/>
                    </w:rPr>
                    <w:t xml:space="preserve">治理前 </w:t>
                  </w:r>
                  <w:r>
                    <w:rPr>
                      <w:rFonts w:hint="default"/>
                    </w:rPr>
                    <w:t>dB(A)</w:t>
                  </w:r>
                </w:p>
              </w:tc>
              <w:tc>
                <w:tcPr>
                  <w:tcW w:w="749" w:type="pct"/>
                  <w:tcBorders>
                    <w:top w:val="single" w:color="000000" w:sz="12"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eastAsia"/>
                    </w:rPr>
                    <w:t xml:space="preserve">治理后 </w:t>
                  </w:r>
                  <w:r>
                    <w:rPr>
                      <w:rFonts w:hint="default"/>
                    </w:rPr>
                    <w:t>dB(A)</w:t>
                  </w:r>
                </w:p>
              </w:tc>
              <w:tc>
                <w:tcPr>
                  <w:tcW w:w="749" w:type="pct"/>
                  <w:tcBorders>
                    <w:top w:val="single" w:color="000000" w:sz="12" w:space="0"/>
                    <w:left w:val="single" w:color="000000" w:sz="6" w:space="0"/>
                    <w:bottom w:val="single" w:color="000000" w:sz="6" w:space="0"/>
                    <w:right w:val="nil"/>
                    <w:tl2br w:val="nil"/>
                    <w:tr2bl w:val="nil"/>
                  </w:tcBorders>
                  <w:noWrap w:val="0"/>
                  <w:vAlign w:val="center"/>
                </w:tcPr>
                <w:p>
                  <w:pPr>
                    <w:pStyle w:val="203"/>
                    <w:bidi w:val="0"/>
                    <w:jc w:val="center"/>
                    <w:rPr>
                      <w:rFonts w:hint="eastAsia" w:eastAsia="宋体"/>
                      <w:lang w:eastAsia="zh-CN"/>
                    </w:rPr>
                  </w:pPr>
                  <w:r>
                    <w:rPr>
                      <w:rFonts w:hint="eastAsia"/>
                      <w:lang w:eastAsia="zh-CN"/>
                    </w:rPr>
                    <w:t>噪声特性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1" w:type="pct"/>
                  <w:tcBorders>
                    <w:top w:val="single" w:color="000000" w:sz="6" w:space="0"/>
                    <w:left w:val="nil"/>
                    <w:bottom w:val="single" w:color="000000" w:sz="6" w:space="0"/>
                    <w:right w:val="single" w:color="000000" w:sz="6" w:space="0"/>
                    <w:tl2br w:val="nil"/>
                    <w:tr2bl w:val="nil"/>
                  </w:tcBorders>
                  <w:noWrap w:val="0"/>
                  <w:vAlign w:val="center"/>
                </w:tcPr>
                <w:p>
                  <w:pPr>
                    <w:pStyle w:val="203"/>
                    <w:bidi w:val="0"/>
                    <w:jc w:val="center"/>
                    <w:rPr>
                      <w:rFonts w:hint="default"/>
                    </w:rPr>
                  </w:pPr>
                  <w:r>
                    <w:rPr>
                      <w:rFonts w:hint="default"/>
                    </w:rPr>
                    <w:t>1</w:t>
                  </w:r>
                </w:p>
              </w:tc>
              <w:tc>
                <w:tcPr>
                  <w:tcW w:w="747"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空压机</w:t>
                  </w:r>
                </w:p>
              </w:tc>
              <w:tc>
                <w:tcPr>
                  <w:tcW w:w="500"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站房内</w:t>
                  </w:r>
                </w:p>
              </w:tc>
              <w:tc>
                <w:tcPr>
                  <w:tcW w:w="11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both"/>
                    <w:rPr>
                      <w:rFonts w:hint="eastAsia" w:eastAsia="宋体"/>
                      <w:lang w:eastAsia="zh-CN"/>
                    </w:rPr>
                  </w:pPr>
                  <w:r>
                    <w:rPr>
                      <w:rFonts w:hint="eastAsia"/>
                    </w:rPr>
                    <w:t>低噪声设备</w:t>
                  </w:r>
                  <w:r>
                    <w:rPr>
                      <w:rFonts w:hint="eastAsia"/>
                      <w:lang w:eastAsia="zh-CN"/>
                    </w:rPr>
                    <w:t>、设置隔声间、减震、安装消声器</w:t>
                  </w:r>
                </w:p>
              </w:tc>
              <w:tc>
                <w:tcPr>
                  <w:tcW w:w="706"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default"/>
                    </w:rPr>
                  </w:pPr>
                  <w:r>
                    <w:rPr>
                      <w:rFonts w:hint="default"/>
                    </w:rPr>
                    <w:t>80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rPr>
                    <w:t>&lt;</w:t>
                  </w:r>
                  <w:r>
                    <w:rPr>
                      <w:rFonts w:hint="eastAsia"/>
                      <w:lang w:val="en-US" w:eastAsia="zh-CN"/>
                    </w:rPr>
                    <w:t>7</w:t>
                  </w:r>
                  <w:r>
                    <w:rPr>
                      <w:rFonts w:hint="default"/>
                    </w:rPr>
                    <w:t>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eastAsia" w:eastAsia="宋体"/>
                      <w:lang w:eastAsia="zh-CN"/>
                    </w:rPr>
                  </w:pPr>
                  <w:r>
                    <w:rPr>
                      <w:rFonts w:hint="eastAsia"/>
                      <w:lang w:eastAsia="zh-CN"/>
                    </w:rPr>
                    <w:t>间歇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51" w:type="pct"/>
                  <w:tcBorders>
                    <w:top w:val="single" w:color="000000" w:sz="6" w:space="0"/>
                    <w:left w:val="nil"/>
                    <w:bottom w:val="single" w:color="000000" w:sz="6" w:space="0"/>
                    <w:right w:val="single" w:color="000000" w:sz="6" w:space="0"/>
                    <w:tl2br w:val="nil"/>
                    <w:tr2bl w:val="nil"/>
                  </w:tcBorders>
                  <w:noWrap w:val="0"/>
                  <w:vAlign w:val="center"/>
                </w:tcPr>
                <w:p>
                  <w:pPr>
                    <w:pStyle w:val="203"/>
                    <w:bidi w:val="0"/>
                    <w:jc w:val="center"/>
                    <w:rPr>
                      <w:rFonts w:hint="default"/>
                    </w:rPr>
                  </w:pPr>
                  <w:r>
                    <w:rPr>
                      <w:rFonts w:hint="default"/>
                    </w:rPr>
                    <w:t>2</w:t>
                  </w:r>
                </w:p>
              </w:tc>
              <w:tc>
                <w:tcPr>
                  <w:tcW w:w="747"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低温泵</w:t>
                  </w:r>
                </w:p>
              </w:tc>
              <w:tc>
                <w:tcPr>
                  <w:tcW w:w="500"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加气岛</w:t>
                  </w:r>
                </w:p>
                <w:p>
                  <w:pPr>
                    <w:pStyle w:val="203"/>
                    <w:bidi w:val="0"/>
                    <w:jc w:val="center"/>
                    <w:rPr>
                      <w:rFonts w:hint="eastAsia"/>
                    </w:rPr>
                  </w:pPr>
                  <w:r>
                    <w:rPr>
                      <w:rFonts w:hint="eastAsia"/>
                    </w:rPr>
                    <w:t>罩棚内</w:t>
                  </w:r>
                </w:p>
              </w:tc>
              <w:tc>
                <w:tcPr>
                  <w:tcW w:w="11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both"/>
                    <w:rPr>
                      <w:rFonts w:hint="eastAsia"/>
                    </w:rPr>
                  </w:pPr>
                  <w:r>
                    <w:rPr>
                      <w:rFonts w:hint="eastAsia"/>
                    </w:rPr>
                    <w:t>合理布局、减震、消音</w:t>
                  </w:r>
                </w:p>
              </w:tc>
              <w:tc>
                <w:tcPr>
                  <w:tcW w:w="706"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default" w:eastAsia="宋体"/>
                      <w:lang w:val="en-US" w:eastAsia="zh-CN"/>
                    </w:rPr>
                  </w:pPr>
                  <w:r>
                    <w:rPr>
                      <w:rFonts w:hint="eastAsia"/>
                      <w:lang w:val="en-US" w:eastAsia="zh-CN"/>
                    </w:rPr>
                    <w:t>80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rPr>
                    <w:t>&lt;60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lang w:eastAsia="zh-CN"/>
                    </w:rPr>
                    <w:t>间歇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1" w:type="pct"/>
                  <w:tcBorders>
                    <w:top w:val="single" w:color="000000" w:sz="6" w:space="0"/>
                    <w:left w:val="nil"/>
                    <w:bottom w:val="single" w:color="000000" w:sz="6" w:space="0"/>
                    <w:right w:val="single" w:color="000000" w:sz="6" w:space="0"/>
                    <w:tl2br w:val="nil"/>
                    <w:tr2bl w:val="nil"/>
                  </w:tcBorders>
                  <w:noWrap w:val="0"/>
                  <w:vAlign w:val="center"/>
                </w:tcPr>
                <w:p>
                  <w:pPr>
                    <w:pStyle w:val="203"/>
                    <w:bidi w:val="0"/>
                    <w:jc w:val="center"/>
                    <w:rPr>
                      <w:rFonts w:hint="default"/>
                    </w:rPr>
                  </w:pPr>
                  <w:r>
                    <w:rPr>
                      <w:rFonts w:hint="default"/>
                    </w:rPr>
                    <w:t>3</w:t>
                  </w:r>
                </w:p>
              </w:tc>
              <w:tc>
                <w:tcPr>
                  <w:tcW w:w="747"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default"/>
                    </w:rPr>
                    <w:t>LNG</w:t>
                  </w:r>
                  <w:r>
                    <w:rPr>
                      <w:rFonts w:hint="eastAsia"/>
                    </w:rPr>
                    <w:t>加气机</w:t>
                  </w:r>
                </w:p>
              </w:tc>
              <w:tc>
                <w:tcPr>
                  <w:tcW w:w="500"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加气岛</w:t>
                  </w:r>
                </w:p>
                <w:p>
                  <w:pPr>
                    <w:pStyle w:val="203"/>
                    <w:bidi w:val="0"/>
                    <w:jc w:val="center"/>
                    <w:rPr>
                      <w:rFonts w:hint="eastAsia"/>
                    </w:rPr>
                  </w:pPr>
                  <w:r>
                    <w:rPr>
                      <w:rFonts w:hint="eastAsia"/>
                    </w:rPr>
                    <w:t>罩棚内</w:t>
                  </w:r>
                </w:p>
              </w:tc>
              <w:tc>
                <w:tcPr>
                  <w:tcW w:w="11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both"/>
                    <w:rPr>
                      <w:rFonts w:hint="eastAsia"/>
                    </w:rPr>
                  </w:pPr>
                  <w:r>
                    <w:rPr>
                      <w:rFonts w:hint="eastAsia"/>
                    </w:rPr>
                    <w:t>间歇运作、合理布局、消声、基础减振</w:t>
                  </w:r>
                </w:p>
              </w:tc>
              <w:tc>
                <w:tcPr>
                  <w:tcW w:w="706"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eastAsia="宋体"/>
                      <w:lang w:eastAsia="zh-CN"/>
                    </w:rPr>
                  </w:pPr>
                  <w:r>
                    <w:rPr>
                      <w:rFonts w:hint="default"/>
                    </w:rPr>
                    <w:t>7</w:t>
                  </w:r>
                  <w:r>
                    <w:rPr>
                      <w:rFonts w:hint="eastAsia"/>
                      <w:lang w:val="en-US" w:eastAsia="zh-CN"/>
                    </w:rPr>
                    <w:t>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eastAsia"/>
                    </w:rPr>
                  </w:pPr>
                  <w:r>
                    <w:rPr>
                      <w:rFonts w:hint="default"/>
                    </w:rPr>
                    <w:t>&lt;60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lang w:eastAsia="zh-CN"/>
                    </w:rPr>
                    <w:t>间歇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1" w:type="pct"/>
                  <w:tcBorders>
                    <w:top w:val="single" w:color="000000" w:sz="6" w:space="0"/>
                    <w:left w:val="nil"/>
                    <w:bottom w:val="single" w:color="000000" w:sz="6" w:space="0"/>
                    <w:right w:val="single" w:color="000000" w:sz="6" w:space="0"/>
                    <w:tl2br w:val="nil"/>
                    <w:tr2bl w:val="nil"/>
                  </w:tcBorders>
                  <w:noWrap w:val="0"/>
                  <w:vAlign w:val="center"/>
                </w:tcPr>
                <w:p>
                  <w:pPr>
                    <w:pStyle w:val="203"/>
                    <w:bidi w:val="0"/>
                    <w:jc w:val="center"/>
                    <w:rPr>
                      <w:rFonts w:hint="eastAsia" w:eastAsia="宋体"/>
                      <w:lang w:val="en-US" w:eastAsia="zh-CN"/>
                    </w:rPr>
                  </w:pPr>
                  <w:r>
                    <w:rPr>
                      <w:rFonts w:hint="eastAsia"/>
                      <w:lang w:val="en-US" w:eastAsia="zh-CN"/>
                    </w:rPr>
                    <w:t>4</w:t>
                  </w:r>
                </w:p>
              </w:tc>
              <w:tc>
                <w:tcPr>
                  <w:tcW w:w="747"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default"/>
                    </w:rPr>
                  </w:pPr>
                  <w:r>
                    <w:rPr>
                      <w:rFonts w:hint="default"/>
                    </w:rPr>
                    <w:t>LNG加气机</w:t>
                  </w:r>
                </w:p>
              </w:tc>
              <w:tc>
                <w:tcPr>
                  <w:tcW w:w="500"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加气岛</w:t>
                  </w:r>
                </w:p>
                <w:p>
                  <w:pPr>
                    <w:pStyle w:val="203"/>
                    <w:bidi w:val="0"/>
                    <w:jc w:val="center"/>
                    <w:rPr>
                      <w:rFonts w:hint="eastAsia"/>
                    </w:rPr>
                  </w:pPr>
                  <w:r>
                    <w:rPr>
                      <w:rFonts w:hint="eastAsia"/>
                    </w:rPr>
                    <w:t>罩棚内</w:t>
                  </w:r>
                </w:p>
              </w:tc>
              <w:tc>
                <w:tcPr>
                  <w:tcW w:w="11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both"/>
                    <w:rPr>
                      <w:rFonts w:hint="eastAsia"/>
                    </w:rPr>
                  </w:pPr>
                  <w:r>
                    <w:rPr>
                      <w:rFonts w:hint="eastAsia"/>
                    </w:rPr>
                    <w:t>间歇运作、合理布局、消声、基础减振</w:t>
                  </w:r>
                </w:p>
              </w:tc>
              <w:tc>
                <w:tcPr>
                  <w:tcW w:w="706"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default" w:eastAsia="宋体"/>
                      <w:lang w:val="en-US" w:eastAsia="zh-CN"/>
                    </w:rPr>
                  </w:pPr>
                  <w:r>
                    <w:rPr>
                      <w:rFonts w:hint="eastAsia"/>
                      <w:lang w:val="en-US" w:eastAsia="zh-CN"/>
                    </w:rPr>
                    <w:t>70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rPr>
                    <w:t>&lt;60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lang w:eastAsia="zh-CN"/>
                    </w:rPr>
                  </w:pPr>
                  <w:r>
                    <w:rPr>
                      <w:rFonts w:hint="default"/>
                      <w:lang w:eastAsia="zh-CN"/>
                    </w:rPr>
                    <w:t>间歇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351" w:type="pct"/>
                  <w:tcBorders>
                    <w:top w:val="single" w:color="000000" w:sz="6" w:space="0"/>
                    <w:left w:val="nil"/>
                    <w:bottom w:val="single" w:color="000000" w:sz="6" w:space="0"/>
                    <w:right w:val="single" w:color="000000" w:sz="6" w:space="0"/>
                    <w:tl2br w:val="nil"/>
                    <w:tr2bl w:val="nil"/>
                  </w:tcBorders>
                  <w:noWrap w:val="0"/>
                  <w:vAlign w:val="center"/>
                </w:tcPr>
                <w:p>
                  <w:pPr>
                    <w:pStyle w:val="203"/>
                    <w:bidi w:val="0"/>
                    <w:jc w:val="center"/>
                    <w:rPr>
                      <w:rFonts w:hint="eastAsia" w:eastAsia="宋体"/>
                      <w:lang w:val="en-US" w:eastAsia="zh-CN"/>
                    </w:rPr>
                  </w:pPr>
                  <w:r>
                    <w:rPr>
                      <w:rFonts w:hint="eastAsia"/>
                      <w:lang w:val="en-US" w:eastAsia="zh-CN"/>
                    </w:rPr>
                    <w:t>5</w:t>
                  </w:r>
                </w:p>
              </w:tc>
              <w:tc>
                <w:tcPr>
                  <w:tcW w:w="747"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default"/>
                    </w:rPr>
                  </w:pPr>
                  <w:r>
                    <w:rPr>
                      <w:rFonts w:hint="default"/>
                    </w:rPr>
                    <w:t>LNG加气机</w:t>
                  </w:r>
                </w:p>
              </w:tc>
              <w:tc>
                <w:tcPr>
                  <w:tcW w:w="500"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加气岛</w:t>
                  </w:r>
                </w:p>
                <w:p>
                  <w:pPr>
                    <w:pStyle w:val="203"/>
                    <w:bidi w:val="0"/>
                    <w:jc w:val="center"/>
                    <w:rPr>
                      <w:rFonts w:hint="eastAsia"/>
                    </w:rPr>
                  </w:pPr>
                  <w:r>
                    <w:rPr>
                      <w:rFonts w:hint="eastAsia"/>
                    </w:rPr>
                    <w:t>罩棚内</w:t>
                  </w:r>
                </w:p>
              </w:tc>
              <w:tc>
                <w:tcPr>
                  <w:tcW w:w="11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both"/>
                    <w:rPr>
                      <w:rFonts w:hint="eastAsia"/>
                    </w:rPr>
                  </w:pPr>
                  <w:r>
                    <w:rPr>
                      <w:rFonts w:hint="eastAsia"/>
                    </w:rPr>
                    <w:t>间歇运作、合理布局、消声、基础减振</w:t>
                  </w:r>
                </w:p>
              </w:tc>
              <w:tc>
                <w:tcPr>
                  <w:tcW w:w="706"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default" w:eastAsia="宋体"/>
                      <w:lang w:val="en-US" w:eastAsia="zh-CN"/>
                    </w:rPr>
                  </w:pPr>
                  <w:r>
                    <w:rPr>
                      <w:rFonts w:hint="eastAsia"/>
                      <w:lang w:val="en-US" w:eastAsia="zh-CN"/>
                    </w:rPr>
                    <w:t>70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rPr>
                    <w:t>&lt;60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lang w:eastAsia="zh-CN"/>
                    </w:rPr>
                  </w:pPr>
                  <w:r>
                    <w:rPr>
                      <w:rFonts w:hint="default"/>
                      <w:lang w:eastAsia="zh-CN"/>
                    </w:rPr>
                    <w:t>间歇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1" w:type="pct"/>
                  <w:tcBorders>
                    <w:top w:val="single" w:color="000000" w:sz="6" w:space="0"/>
                    <w:left w:val="nil"/>
                    <w:bottom w:val="single" w:color="000000" w:sz="6" w:space="0"/>
                    <w:right w:val="single" w:color="000000" w:sz="6" w:space="0"/>
                    <w:tl2br w:val="nil"/>
                    <w:tr2bl w:val="nil"/>
                  </w:tcBorders>
                  <w:noWrap w:val="0"/>
                  <w:vAlign w:val="center"/>
                </w:tcPr>
                <w:p>
                  <w:pPr>
                    <w:pStyle w:val="203"/>
                    <w:bidi w:val="0"/>
                    <w:jc w:val="center"/>
                    <w:rPr>
                      <w:rFonts w:hint="eastAsia" w:eastAsia="宋体"/>
                      <w:lang w:eastAsia="zh-CN"/>
                    </w:rPr>
                  </w:pPr>
                  <w:r>
                    <w:rPr>
                      <w:rFonts w:hint="eastAsia"/>
                      <w:lang w:val="en-US" w:eastAsia="zh-CN"/>
                    </w:rPr>
                    <w:t>6</w:t>
                  </w:r>
                </w:p>
              </w:tc>
              <w:tc>
                <w:tcPr>
                  <w:tcW w:w="747"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增压器</w:t>
                  </w:r>
                </w:p>
              </w:tc>
              <w:tc>
                <w:tcPr>
                  <w:tcW w:w="500"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储罐区</w:t>
                  </w:r>
                </w:p>
              </w:tc>
              <w:tc>
                <w:tcPr>
                  <w:tcW w:w="11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rPr>
                  </w:pPr>
                  <w:r>
                    <w:rPr>
                      <w:rFonts w:hint="eastAsia"/>
                    </w:rPr>
                    <w:t>合理布局、基础减振</w:t>
                  </w:r>
                </w:p>
              </w:tc>
              <w:tc>
                <w:tcPr>
                  <w:tcW w:w="706"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jc w:val="center"/>
                    <w:rPr>
                      <w:rFonts w:hint="eastAsia" w:eastAsia="宋体"/>
                      <w:lang w:eastAsia="zh-CN"/>
                    </w:rPr>
                  </w:pPr>
                  <w:r>
                    <w:rPr>
                      <w:rFonts w:hint="default"/>
                    </w:rPr>
                    <w:t>7</w:t>
                  </w:r>
                  <w:r>
                    <w:rPr>
                      <w:rFonts w:hint="eastAsia"/>
                      <w:lang w:val="en-US" w:eastAsia="zh-CN"/>
                    </w:rPr>
                    <w:t>5</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rPr>
                    <w:t>&lt;60</w:t>
                  </w:r>
                </w:p>
              </w:tc>
              <w:tc>
                <w:tcPr>
                  <w:tcW w:w="749" w:type="pct"/>
                  <w:tcBorders>
                    <w:top w:val="single" w:color="000000" w:sz="6" w:space="0"/>
                    <w:left w:val="single" w:color="000000" w:sz="6" w:space="0"/>
                    <w:bottom w:val="single" w:color="000000" w:sz="6" w:space="0"/>
                    <w:right w:val="nil"/>
                    <w:tl2br w:val="nil"/>
                    <w:tr2bl w:val="nil"/>
                  </w:tcBorders>
                  <w:noWrap w:val="0"/>
                  <w:vAlign w:val="center"/>
                </w:tcPr>
                <w:p>
                  <w:pPr>
                    <w:pStyle w:val="203"/>
                    <w:bidi w:val="0"/>
                    <w:jc w:val="center"/>
                    <w:rPr>
                      <w:rFonts w:hint="default"/>
                    </w:rPr>
                  </w:pPr>
                  <w:r>
                    <w:rPr>
                      <w:rFonts w:hint="default"/>
                      <w:lang w:eastAsia="zh-CN"/>
                    </w:rPr>
                    <w:t>间歇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351" w:type="pct"/>
                  <w:tcBorders>
                    <w:top w:val="single" w:color="000000" w:sz="6" w:space="0"/>
                    <w:left w:val="nil"/>
                    <w:bottom w:val="single" w:color="000000" w:sz="12" w:space="0"/>
                    <w:right w:val="single" w:color="000000" w:sz="6" w:space="0"/>
                    <w:tl2br w:val="nil"/>
                    <w:tr2bl w:val="nil"/>
                  </w:tcBorders>
                  <w:noWrap w:val="0"/>
                  <w:vAlign w:val="center"/>
                </w:tcPr>
                <w:p>
                  <w:pPr>
                    <w:pStyle w:val="203"/>
                    <w:bidi w:val="0"/>
                    <w:jc w:val="center"/>
                    <w:rPr>
                      <w:rFonts w:hint="default"/>
                    </w:rPr>
                  </w:pPr>
                  <w:r>
                    <w:rPr>
                      <w:rFonts w:hint="eastAsia"/>
                      <w:lang w:val="en-US" w:eastAsia="zh-CN"/>
                    </w:rPr>
                    <w:t>7</w:t>
                  </w:r>
                </w:p>
              </w:tc>
              <w:tc>
                <w:tcPr>
                  <w:tcW w:w="747" w:type="pct"/>
                  <w:tcBorders>
                    <w:top w:val="single" w:color="000000" w:sz="6" w:space="0"/>
                    <w:left w:val="single" w:color="000000" w:sz="6" w:space="0"/>
                    <w:bottom w:val="single" w:color="000000" w:sz="12" w:space="0"/>
                    <w:right w:val="single" w:color="000000" w:sz="6" w:space="0"/>
                    <w:tl2br w:val="nil"/>
                    <w:tr2bl w:val="nil"/>
                  </w:tcBorders>
                  <w:noWrap w:val="0"/>
                  <w:vAlign w:val="center"/>
                </w:tcPr>
                <w:p>
                  <w:pPr>
                    <w:pStyle w:val="203"/>
                    <w:bidi w:val="0"/>
                    <w:jc w:val="center"/>
                    <w:rPr>
                      <w:rFonts w:hint="eastAsia"/>
                    </w:rPr>
                  </w:pPr>
                </w:p>
                <w:p>
                  <w:pPr>
                    <w:pStyle w:val="203"/>
                    <w:bidi w:val="0"/>
                    <w:jc w:val="center"/>
                    <w:rPr>
                      <w:rFonts w:hint="eastAsia"/>
                    </w:rPr>
                  </w:pPr>
                  <w:r>
                    <w:rPr>
                      <w:rFonts w:hint="eastAsia"/>
                    </w:rPr>
                    <w:t>进出车辆</w:t>
                  </w:r>
                </w:p>
              </w:tc>
              <w:tc>
                <w:tcPr>
                  <w:tcW w:w="500" w:type="pct"/>
                  <w:tcBorders>
                    <w:top w:val="single" w:color="000000" w:sz="6" w:space="0"/>
                    <w:left w:val="single" w:color="000000" w:sz="6" w:space="0"/>
                    <w:bottom w:val="single" w:color="000000" w:sz="12" w:space="0"/>
                    <w:right w:val="single" w:color="000000" w:sz="6" w:space="0"/>
                    <w:tl2br w:val="nil"/>
                    <w:tr2bl w:val="nil"/>
                  </w:tcBorders>
                  <w:noWrap w:val="0"/>
                  <w:vAlign w:val="center"/>
                </w:tcPr>
                <w:p>
                  <w:pPr>
                    <w:pStyle w:val="203"/>
                    <w:bidi w:val="0"/>
                    <w:jc w:val="center"/>
                    <w:rPr>
                      <w:rFonts w:hint="eastAsia"/>
                    </w:rPr>
                  </w:pPr>
                </w:p>
                <w:p>
                  <w:pPr>
                    <w:pStyle w:val="203"/>
                    <w:bidi w:val="0"/>
                    <w:jc w:val="center"/>
                    <w:rPr>
                      <w:rFonts w:hint="eastAsia" w:eastAsia="宋体"/>
                      <w:lang w:eastAsia="zh-CN"/>
                    </w:rPr>
                  </w:pPr>
                  <w:r>
                    <w:rPr>
                      <w:rFonts w:hint="eastAsia"/>
                      <w:lang w:val="en-US" w:eastAsia="zh-CN"/>
                    </w:rPr>
                    <w:t>/</w:t>
                  </w:r>
                </w:p>
              </w:tc>
              <w:tc>
                <w:tcPr>
                  <w:tcW w:w="1194" w:type="pct"/>
                  <w:tcBorders>
                    <w:top w:val="single" w:color="000000" w:sz="6" w:space="0"/>
                    <w:left w:val="single" w:color="000000" w:sz="6" w:space="0"/>
                    <w:bottom w:val="single" w:color="000000" w:sz="12" w:space="0"/>
                    <w:right w:val="single" w:color="000000" w:sz="6" w:space="0"/>
                    <w:tl2br w:val="nil"/>
                    <w:tr2bl w:val="nil"/>
                  </w:tcBorders>
                  <w:noWrap w:val="0"/>
                  <w:vAlign w:val="center"/>
                </w:tcPr>
                <w:p>
                  <w:pPr>
                    <w:pStyle w:val="203"/>
                    <w:bidi w:val="0"/>
                    <w:jc w:val="both"/>
                    <w:rPr>
                      <w:rFonts w:hint="eastAsia"/>
                    </w:rPr>
                  </w:pPr>
                  <w:r>
                    <w:rPr>
                      <w:rFonts w:hint="eastAsia"/>
                    </w:rPr>
                    <w:t>减少机动车频繁启运和怠速，规范加气站秩序，严禁鸣笛，并减速慢行</w:t>
                  </w:r>
                </w:p>
              </w:tc>
              <w:tc>
                <w:tcPr>
                  <w:tcW w:w="706" w:type="pct"/>
                  <w:tcBorders>
                    <w:top w:val="single" w:color="000000" w:sz="6" w:space="0"/>
                    <w:left w:val="single" w:color="000000" w:sz="6" w:space="0"/>
                    <w:bottom w:val="single" w:color="000000" w:sz="12" w:space="0"/>
                    <w:right w:val="single" w:color="000000" w:sz="6" w:space="0"/>
                    <w:tl2br w:val="nil"/>
                    <w:tr2bl w:val="nil"/>
                  </w:tcBorders>
                  <w:noWrap w:val="0"/>
                  <w:vAlign w:val="center"/>
                </w:tcPr>
                <w:p>
                  <w:pPr>
                    <w:pStyle w:val="203"/>
                    <w:bidi w:val="0"/>
                    <w:jc w:val="center"/>
                    <w:rPr>
                      <w:rFonts w:hint="eastAsia"/>
                    </w:rPr>
                  </w:pPr>
                </w:p>
                <w:p>
                  <w:pPr>
                    <w:pStyle w:val="203"/>
                    <w:bidi w:val="0"/>
                    <w:jc w:val="center"/>
                    <w:rPr>
                      <w:rFonts w:hint="default" w:eastAsia="宋体"/>
                      <w:lang w:val="en-US" w:eastAsia="zh-CN"/>
                    </w:rPr>
                  </w:pPr>
                  <w:r>
                    <w:rPr>
                      <w:rFonts w:hint="eastAsia"/>
                      <w:lang w:val="en-US" w:eastAsia="zh-CN"/>
                    </w:rPr>
                    <w:t>80</w:t>
                  </w:r>
                </w:p>
              </w:tc>
              <w:tc>
                <w:tcPr>
                  <w:tcW w:w="749" w:type="pct"/>
                  <w:tcBorders>
                    <w:top w:val="single" w:color="000000" w:sz="6" w:space="0"/>
                    <w:left w:val="single" w:color="000000" w:sz="6" w:space="0"/>
                    <w:bottom w:val="single" w:color="000000" w:sz="12" w:space="0"/>
                    <w:right w:val="nil"/>
                    <w:tl2br w:val="nil"/>
                    <w:tr2bl w:val="nil"/>
                  </w:tcBorders>
                  <w:noWrap w:val="0"/>
                  <w:vAlign w:val="center"/>
                </w:tcPr>
                <w:p>
                  <w:pPr>
                    <w:pStyle w:val="203"/>
                    <w:bidi w:val="0"/>
                    <w:jc w:val="center"/>
                    <w:rPr>
                      <w:rFonts w:hint="eastAsia"/>
                    </w:rPr>
                  </w:pPr>
                </w:p>
                <w:p>
                  <w:pPr>
                    <w:pStyle w:val="203"/>
                    <w:bidi w:val="0"/>
                    <w:jc w:val="center"/>
                    <w:rPr>
                      <w:rFonts w:hint="default" w:eastAsia="宋体"/>
                      <w:lang w:val="en-US" w:eastAsia="zh-CN"/>
                    </w:rPr>
                  </w:pPr>
                  <w:r>
                    <w:rPr>
                      <w:rFonts w:hint="default"/>
                    </w:rPr>
                    <w:t>&lt;</w:t>
                  </w:r>
                  <w:r>
                    <w:rPr>
                      <w:rFonts w:hint="eastAsia"/>
                      <w:lang w:val="en-US" w:eastAsia="zh-CN"/>
                    </w:rPr>
                    <w:t>70</w:t>
                  </w:r>
                </w:p>
              </w:tc>
              <w:tc>
                <w:tcPr>
                  <w:tcW w:w="749" w:type="pct"/>
                  <w:tcBorders>
                    <w:top w:val="single" w:color="000000" w:sz="6" w:space="0"/>
                    <w:left w:val="single" w:color="000000" w:sz="6" w:space="0"/>
                    <w:bottom w:val="single" w:color="000000" w:sz="12" w:space="0"/>
                    <w:right w:val="nil"/>
                    <w:tl2br w:val="nil"/>
                    <w:tr2bl w:val="nil"/>
                  </w:tcBorders>
                  <w:noWrap w:val="0"/>
                  <w:vAlign w:val="center"/>
                </w:tcPr>
                <w:p>
                  <w:pPr>
                    <w:pStyle w:val="203"/>
                    <w:bidi w:val="0"/>
                    <w:jc w:val="center"/>
                    <w:rPr>
                      <w:rFonts w:hint="default"/>
                    </w:rPr>
                  </w:pPr>
                  <w:r>
                    <w:rPr>
                      <w:rFonts w:hint="default"/>
                      <w:lang w:eastAsia="zh-CN"/>
                    </w:rPr>
                    <w:t>间歇</w:t>
                  </w:r>
                </w:p>
              </w:tc>
            </w:tr>
          </w:tbl>
          <w:p>
            <w:pPr>
              <w:pStyle w:val="97"/>
              <w:bidi w:val="0"/>
              <w:rPr>
                <w:rFonts w:hint="eastAsia"/>
                <w:lang w:val="en-US" w:eastAsia="zh-CN"/>
              </w:rPr>
            </w:pPr>
            <w:r>
              <w:rPr>
                <w:rFonts w:hint="eastAsia"/>
                <w:lang w:val="en-US" w:eastAsia="zh-CN"/>
              </w:rPr>
              <w:t>噪声源经相应的降噪措施处理后通过墙壁的吸收、屏蔽及阻挡作用，将大幅度的衰减。具体的降噪措施有：</w:t>
            </w:r>
          </w:p>
          <w:p>
            <w:pPr>
              <w:pStyle w:val="97"/>
              <w:bidi w:val="0"/>
              <w:rPr>
                <w:rFonts w:hint="eastAsia"/>
                <w:lang w:val="en-US" w:eastAsia="zh-CN"/>
              </w:rPr>
            </w:pPr>
            <w:r>
              <w:rPr>
                <w:rFonts w:hint="eastAsia"/>
                <w:lang w:val="en-US" w:eastAsia="zh-CN"/>
              </w:rPr>
              <w:t>①合理布局：主要声源设备均布置在 LNG 撬装设备内；</w:t>
            </w:r>
          </w:p>
          <w:p>
            <w:pPr>
              <w:pStyle w:val="97"/>
              <w:bidi w:val="0"/>
              <w:rPr>
                <w:rFonts w:hint="eastAsia"/>
                <w:lang w:val="en-US" w:eastAsia="zh-CN"/>
              </w:rPr>
            </w:pPr>
            <w:r>
              <w:rPr>
                <w:rFonts w:hint="eastAsia"/>
                <w:lang w:val="en-US" w:eastAsia="zh-CN"/>
              </w:rPr>
              <w:t>②合理选型：所有声源设备选用低噪声设备，从源头削减噪声强度；</w:t>
            </w:r>
          </w:p>
          <w:p>
            <w:pPr>
              <w:pStyle w:val="97"/>
              <w:bidi w:val="0"/>
              <w:rPr>
                <w:rFonts w:hint="eastAsia"/>
                <w:lang w:val="en-US" w:eastAsia="zh-CN"/>
              </w:rPr>
            </w:pPr>
            <w:r>
              <w:rPr>
                <w:rFonts w:hint="eastAsia"/>
                <w:lang w:val="en-US" w:eastAsia="zh-CN"/>
              </w:rPr>
              <w:t>③工程措施：加强设备的日常运行维护，确保设备正常运转，避免故障引起高噪声；在进站、出站口设置减速带，尽量减少刹车制动，车辆进站时减速、禁止鸣笛。</w:t>
            </w:r>
          </w:p>
          <w:p>
            <w:pPr>
              <w:pStyle w:val="97"/>
              <w:bidi w:val="0"/>
              <w:rPr>
                <w:rFonts w:hint="eastAsia" w:eastAsiaTheme="minorEastAsia"/>
                <w:sz w:val="24"/>
                <w:lang w:val="en-US" w:eastAsia="zh-CN"/>
              </w:rPr>
            </w:pPr>
            <w:r>
              <w:rPr>
                <w:rFonts w:hint="eastAsia"/>
                <w:lang w:val="en-US" w:eastAsia="zh-CN"/>
              </w:rPr>
              <w:t>通过采取减震、隔声等治理措施后，本项目的噪声源强可降噪 5~15dB(A)。</w:t>
            </w:r>
          </w:p>
          <w:p>
            <w:pPr>
              <w:spacing w:line="360" w:lineRule="auto"/>
              <w:ind w:firstLine="482" w:firstLineChars="200"/>
              <w:contextualSpacing/>
              <w:rPr>
                <w:rFonts w:hint="default" w:eastAsiaTheme="minorEastAsia"/>
                <w:b/>
                <w:bCs/>
                <w:sz w:val="24"/>
                <w:lang w:val="en-US" w:eastAsia="zh-CN"/>
              </w:rPr>
            </w:pPr>
            <w:r>
              <w:rPr>
                <w:rFonts w:hint="eastAsia" w:eastAsiaTheme="minorEastAsia"/>
                <w:b/>
                <w:bCs/>
                <w:sz w:val="24"/>
                <w:lang w:val="en-US" w:eastAsia="zh-CN"/>
              </w:rPr>
              <w:t>4、固体废物排放及治理</w:t>
            </w:r>
          </w:p>
          <w:p>
            <w:pPr>
              <w:spacing w:line="360" w:lineRule="auto"/>
              <w:ind w:firstLine="480" w:firstLineChars="200"/>
              <w:contextualSpacing/>
              <w:rPr>
                <w:rFonts w:eastAsiaTheme="minorEastAsia"/>
                <w:sz w:val="24"/>
              </w:rPr>
            </w:pPr>
            <w:r>
              <w:rPr>
                <w:rFonts w:hint="eastAsia" w:eastAsiaTheme="minorEastAsia"/>
                <w:sz w:val="24"/>
                <w:lang w:eastAsia="zh-CN"/>
              </w:rPr>
              <w:t>本项目固体废物主要为员工生活垃圾，为一般固体废物。</w:t>
            </w:r>
            <w:r>
              <w:rPr>
                <w:rFonts w:hint="eastAsia" w:eastAsiaTheme="minorEastAsia"/>
                <w:sz w:val="24"/>
              </w:rPr>
              <w:t>本</w:t>
            </w:r>
            <w:r>
              <w:rPr>
                <w:rFonts w:hint="eastAsia" w:eastAsiaTheme="minorEastAsia"/>
                <w:sz w:val="24"/>
                <w:lang w:eastAsia="zh-CN"/>
              </w:rPr>
              <w:t>加气站建成之后，</w:t>
            </w:r>
            <w:r>
              <w:rPr>
                <w:rFonts w:hint="eastAsia" w:eastAsiaTheme="minorEastAsia"/>
                <w:sz w:val="24"/>
              </w:rPr>
              <w:t>运营期间劳动定员</w:t>
            </w:r>
            <w:r>
              <w:rPr>
                <w:rFonts w:hint="eastAsia" w:eastAsiaTheme="minorEastAsia"/>
                <w:sz w:val="24"/>
                <w:lang w:val="en-US" w:eastAsia="zh-CN"/>
              </w:rPr>
              <w:t>11</w:t>
            </w:r>
            <w:r>
              <w:rPr>
                <w:rFonts w:hint="eastAsia" w:eastAsiaTheme="minorEastAsia"/>
                <w:sz w:val="24"/>
              </w:rPr>
              <w:t>人，生活垃圾按0.5kg/人•d计算，则运营期间生活垃圾产生量为</w:t>
            </w:r>
            <w:r>
              <w:rPr>
                <w:rFonts w:hint="eastAsia" w:eastAsiaTheme="minorEastAsia"/>
                <w:sz w:val="24"/>
                <w:lang w:val="en-US" w:eastAsia="zh-CN"/>
              </w:rPr>
              <w:t>5.5kg/d，2</w:t>
            </w:r>
            <w:r>
              <w:rPr>
                <w:rFonts w:hint="eastAsia" w:eastAsiaTheme="minorEastAsia"/>
                <w:sz w:val="24"/>
              </w:rPr>
              <w:t>t/a。</w:t>
            </w:r>
          </w:p>
          <w:p>
            <w:pPr>
              <w:spacing w:line="360" w:lineRule="auto"/>
              <w:ind w:firstLine="480" w:firstLineChars="200"/>
              <w:contextualSpacing/>
              <w:rPr>
                <w:rFonts w:eastAsiaTheme="minorEastAsia"/>
                <w:sz w:val="24"/>
              </w:rPr>
            </w:pPr>
            <w:r>
              <w:rPr>
                <w:rFonts w:hint="eastAsia" w:eastAsiaTheme="minorEastAsia"/>
                <w:sz w:val="24"/>
              </w:rPr>
              <w:t>治理措施：经垃圾收集桶收集后，</w:t>
            </w:r>
            <w:r>
              <w:rPr>
                <w:rFonts w:hint="eastAsia" w:eastAsiaTheme="minorEastAsia"/>
                <w:sz w:val="24"/>
                <w:lang w:eastAsia="zh-CN"/>
              </w:rPr>
              <w:t>除可回收利用部分，其余垃圾</w:t>
            </w:r>
            <w:r>
              <w:rPr>
                <w:rFonts w:hint="eastAsia" w:eastAsiaTheme="minorEastAsia"/>
                <w:sz w:val="24"/>
              </w:rPr>
              <w:t>统一清运至集镇生活垃圾转运点，交由当地环卫部门集中清运处置，不外排。</w:t>
            </w:r>
          </w:p>
          <w:p>
            <w:pPr>
              <w:spacing w:line="360" w:lineRule="auto"/>
              <w:ind w:firstLine="480" w:firstLineChars="200"/>
              <w:jc w:val="left"/>
              <w:rPr>
                <w:rFonts w:eastAsiaTheme="minorEastAsia"/>
                <w:sz w:val="24"/>
              </w:rPr>
            </w:pPr>
          </w:p>
        </w:tc>
      </w:tr>
      <w:bookmarkEnd w:id="16"/>
    </w:tbl>
    <w:p>
      <w:pPr>
        <w:pStyle w:val="4"/>
        <w:spacing w:before="0" w:after="0" w:line="240" w:lineRule="auto"/>
        <w:rPr>
          <w:rFonts w:ascii="Times New Roman" w:hAnsi="Times New Roman" w:eastAsiaTheme="minorEastAsia"/>
        </w:rPr>
      </w:pPr>
      <w:bookmarkStart w:id="19" w:name="_Toc165893212"/>
      <w:r>
        <w:rPr>
          <w:rFonts w:ascii="Times New Roman" w:hAnsi="Times New Roman" w:eastAsiaTheme="minorEastAsia"/>
        </w:rPr>
        <w:br w:type="page"/>
      </w:r>
      <w:r>
        <w:rPr>
          <w:rFonts w:ascii="Times New Roman" w:hAnsi="Times New Roman" w:eastAsiaTheme="minorEastAsia"/>
        </w:rPr>
        <w:t>项目主要污染物产生及预计排放情况</w:t>
      </w:r>
      <w:bookmarkEnd w:id="19"/>
      <w:r>
        <w:rPr>
          <w:rFonts w:ascii="Times New Roman" w:hAnsi="Times New Roman" w:eastAsiaTheme="minorEastAsia"/>
          <w:color w:val="FF0000"/>
        </w:rPr>
        <w:t xml:space="preserve">  </w:t>
      </w:r>
      <w:r>
        <w:rPr>
          <w:rFonts w:ascii="Times New Roman" w:hAnsi="Times New Roman" w:eastAsiaTheme="minorEastAsia"/>
        </w:rPr>
        <w:t xml:space="preserve">              （表六）</w:t>
      </w:r>
    </w:p>
    <w:tbl>
      <w:tblPr>
        <w:tblStyle w:val="2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971" w:hRule="atLeast"/>
        </w:trPr>
        <w:tc>
          <w:tcPr>
            <w:tcW w:w="9322" w:type="dxa"/>
            <w:tcBorders>
              <w:top w:val="single" w:color="auto" w:sz="6" w:space="0"/>
              <w:left w:val="single" w:color="auto" w:sz="6" w:space="0"/>
              <w:bottom w:val="single" w:color="auto" w:sz="6" w:space="0"/>
              <w:right w:val="single" w:color="auto" w:sz="6" w:space="0"/>
            </w:tcBorders>
          </w:tcPr>
          <w:tbl>
            <w:tblPr>
              <w:tblStyle w:val="29"/>
              <w:tblpPr w:leftFromText="180" w:rightFromText="180" w:vertAnchor="page" w:horzAnchor="page" w:tblpX="14" w:tblpY="-46"/>
              <w:tblOverlap w:val="never"/>
              <w:tblW w:w="9289" w:type="dxa"/>
              <w:tblInd w:w="0" w:type="dxa"/>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133"/>
              <w:gridCol w:w="709"/>
              <w:gridCol w:w="1559"/>
              <w:gridCol w:w="1560"/>
              <w:gridCol w:w="2269"/>
              <w:gridCol w:w="11"/>
              <w:gridCol w:w="2048"/>
            </w:tblGrid>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42" w:hRule="atLeast"/>
                <w:tblHeader/>
              </w:trPr>
              <w:tc>
                <w:tcPr>
                  <w:tcW w:w="1133" w:type="dxa"/>
                  <w:tcBorders>
                    <w:top w:val="single" w:color="auto" w:sz="2" w:space="0"/>
                    <w:left w:val="nil"/>
                    <w:bottom w:val="single" w:color="auto" w:sz="2" w:space="0"/>
                    <w:right w:val="single" w:color="auto" w:sz="2" w:space="0"/>
                    <w:tl2br w:val="single" w:color="auto" w:sz="4" w:space="0"/>
                  </w:tcBorders>
                  <w:tcMar>
                    <w:top w:w="15" w:type="dxa"/>
                    <w:left w:w="15" w:type="dxa"/>
                    <w:bottom w:w="0" w:type="dxa"/>
                    <w:right w:w="15" w:type="dxa"/>
                  </w:tcMar>
                  <w:vAlign w:val="center"/>
                </w:tcPr>
                <w:p>
                  <w:pPr>
                    <w:pStyle w:val="161"/>
                    <w:bidi w:val="0"/>
                  </w:pPr>
                  <w:bookmarkStart w:id="20" w:name="_Toc165893213"/>
                  <w:r>
                    <w:t xml:space="preserve">  内容</w:t>
                  </w:r>
                </w:p>
                <w:p>
                  <w:pPr>
                    <w:pStyle w:val="161"/>
                    <w:bidi w:val="0"/>
                  </w:pPr>
                  <w:r>
                    <w:t>类型</w:t>
                  </w:r>
                </w:p>
              </w:tc>
              <w:tc>
                <w:tcPr>
                  <w:tcW w:w="2268" w:type="dxa"/>
                  <w:gridSpan w:val="2"/>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t>排放源(编号)</w:t>
                  </w:r>
                </w:p>
              </w:tc>
              <w:tc>
                <w:tcPr>
                  <w:tcW w:w="1560" w:type="dxa"/>
                  <w:tcBorders>
                    <w:top w:val="single" w:color="auto" w:sz="2" w:space="0"/>
                    <w:left w:val="single" w:color="auto" w:sz="2" w:space="0"/>
                    <w:bottom w:val="single" w:color="auto" w:sz="2" w:space="0"/>
                    <w:right w:val="single" w:color="auto" w:sz="2" w:space="0"/>
                  </w:tcBorders>
                  <w:vAlign w:val="center"/>
                </w:tcPr>
                <w:p>
                  <w:pPr>
                    <w:pStyle w:val="161"/>
                    <w:bidi w:val="0"/>
                  </w:pPr>
                  <w:r>
                    <w:t>污染物名称</w:t>
                  </w:r>
                </w:p>
              </w:tc>
              <w:tc>
                <w:tcPr>
                  <w:tcW w:w="2269" w:type="dxa"/>
                  <w:tcBorders>
                    <w:top w:val="single" w:color="auto" w:sz="2" w:space="0"/>
                    <w:left w:val="single" w:color="auto" w:sz="2" w:space="0"/>
                    <w:bottom w:val="single" w:color="auto" w:sz="2" w:space="0"/>
                    <w:right w:val="single" w:color="auto" w:sz="2" w:space="0"/>
                  </w:tcBorders>
                  <w:vAlign w:val="center"/>
                </w:tcPr>
                <w:p>
                  <w:pPr>
                    <w:pStyle w:val="161"/>
                    <w:bidi w:val="0"/>
                  </w:pPr>
                  <w:r>
                    <w:t>处理前产生浓度</w:t>
                  </w:r>
                </w:p>
                <w:p>
                  <w:pPr>
                    <w:pStyle w:val="161"/>
                    <w:bidi w:val="0"/>
                  </w:pPr>
                  <w:r>
                    <w:t>及产生量</w:t>
                  </w:r>
                </w:p>
              </w:tc>
              <w:tc>
                <w:tcPr>
                  <w:tcW w:w="2059" w:type="dxa"/>
                  <w:gridSpan w:val="2"/>
                  <w:tcBorders>
                    <w:top w:val="single" w:color="auto" w:sz="2" w:space="0"/>
                    <w:left w:val="single" w:color="auto" w:sz="2" w:space="0"/>
                    <w:bottom w:val="single" w:color="auto" w:sz="2" w:space="0"/>
                    <w:right w:val="nil"/>
                  </w:tcBorders>
                  <w:vAlign w:val="center"/>
                </w:tcPr>
                <w:p>
                  <w:pPr>
                    <w:pStyle w:val="161"/>
                    <w:bidi w:val="0"/>
                  </w:pPr>
                  <w:r>
                    <w:t>排放浓度</w:t>
                  </w:r>
                </w:p>
                <w:p>
                  <w:pPr>
                    <w:pStyle w:val="161"/>
                    <w:bidi w:val="0"/>
                  </w:pPr>
                  <w:r>
                    <w:t>及排放量</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17" w:hRule="atLeast"/>
                <w:tblHeader/>
              </w:trPr>
              <w:tc>
                <w:tcPr>
                  <w:tcW w:w="1133" w:type="dxa"/>
                  <w:vMerge w:val="restart"/>
                  <w:tcBorders>
                    <w:top w:val="single" w:color="auto" w:sz="2" w:space="0"/>
                    <w:left w:val="nil"/>
                    <w:right w:val="single" w:color="auto" w:sz="2" w:space="0"/>
                  </w:tcBorders>
                  <w:vAlign w:val="center"/>
                </w:tcPr>
                <w:p>
                  <w:pPr>
                    <w:pStyle w:val="161"/>
                    <w:bidi w:val="0"/>
                  </w:pPr>
                  <w:r>
                    <w:t>大气污染物</w:t>
                  </w:r>
                </w:p>
              </w:tc>
              <w:tc>
                <w:tcPr>
                  <w:tcW w:w="709" w:type="dxa"/>
                  <w:tcBorders>
                    <w:top w:val="single" w:color="auto" w:sz="2" w:space="0"/>
                    <w:left w:val="single" w:color="auto" w:sz="2" w:space="0"/>
                    <w:right w:val="single" w:color="auto" w:sz="2" w:space="0"/>
                  </w:tcBorders>
                  <w:vAlign w:val="center"/>
                </w:tcPr>
                <w:p>
                  <w:pPr>
                    <w:pStyle w:val="161"/>
                    <w:bidi w:val="0"/>
                  </w:pPr>
                  <w:r>
                    <w:t>施工期</w:t>
                  </w: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pPr>
                  <w:r>
                    <w:t>施工扬尘</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rPr>
                      <w:lang w:val="en-US" w:eastAsia="zh-CN"/>
                    </w:rPr>
                  </w:pPr>
                  <w:bookmarkStart w:id="21" w:name="_Toc469068918"/>
                  <w:bookmarkStart w:id="22" w:name="_Toc469068981"/>
                  <w:bookmarkStart w:id="23" w:name="_Toc469069165"/>
                  <w:r>
                    <w:rPr>
                      <w:lang w:val="en-US" w:eastAsia="zh-CN"/>
                    </w:rPr>
                    <w:t>TSP</w:t>
                  </w:r>
                  <w:bookmarkEnd w:id="21"/>
                  <w:bookmarkEnd w:id="22"/>
                  <w:bookmarkEnd w:id="23"/>
                </w:p>
              </w:tc>
              <w:tc>
                <w:tcPr>
                  <w:tcW w:w="2269" w:type="dxa"/>
                  <w:tcBorders>
                    <w:top w:val="single" w:color="auto" w:sz="2" w:space="0"/>
                    <w:left w:val="single" w:color="auto" w:sz="2" w:space="0"/>
                    <w:bottom w:val="single" w:color="auto" w:sz="2" w:space="0"/>
                    <w:right w:val="single" w:color="auto" w:sz="2" w:space="0"/>
                  </w:tcBorders>
                  <w:vAlign w:val="center"/>
                </w:tcPr>
                <w:p>
                  <w:pPr>
                    <w:pStyle w:val="161"/>
                    <w:bidi w:val="0"/>
                  </w:pPr>
                  <w:r>
                    <w:rPr>
                      <w:rFonts w:hint="eastAsia"/>
                    </w:rPr>
                    <w:t>3.5mg/m</w:t>
                  </w:r>
                  <w:r>
                    <w:rPr>
                      <w:rFonts w:hint="eastAsia"/>
                      <w:vertAlign w:val="superscript"/>
                    </w:rPr>
                    <w:t>3</w:t>
                  </w:r>
                  <w:r>
                    <w:rPr>
                      <w:rFonts w:hint="eastAsia"/>
                    </w:rPr>
                    <w:t>；</w:t>
                  </w:r>
                  <w:r>
                    <w:t>少量</w:t>
                  </w:r>
                </w:p>
              </w:tc>
              <w:tc>
                <w:tcPr>
                  <w:tcW w:w="2059" w:type="dxa"/>
                  <w:gridSpan w:val="2"/>
                  <w:tcBorders>
                    <w:top w:val="single" w:color="auto" w:sz="2" w:space="0"/>
                    <w:left w:val="single" w:color="auto" w:sz="2" w:space="0"/>
                    <w:bottom w:val="single" w:color="auto" w:sz="2" w:space="0"/>
                    <w:right w:val="nil"/>
                  </w:tcBorders>
                  <w:vAlign w:val="center"/>
                </w:tcPr>
                <w:p>
                  <w:pPr>
                    <w:pStyle w:val="161"/>
                    <w:bidi w:val="0"/>
                  </w:pPr>
                  <w:r>
                    <w:rPr>
                      <w:rFonts w:hint="eastAsia"/>
                    </w:rPr>
                    <w:t>3.5mg/m</w:t>
                  </w:r>
                  <w:r>
                    <w:rPr>
                      <w:rFonts w:hint="eastAsia"/>
                      <w:vertAlign w:val="superscript"/>
                    </w:rPr>
                    <w:t>3</w:t>
                  </w:r>
                  <w:r>
                    <w:rPr>
                      <w:rFonts w:hint="eastAsia"/>
                    </w:rPr>
                    <w:t>；少量</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21" w:hRule="atLeast"/>
                <w:tblHeader/>
              </w:trPr>
              <w:tc>
                <w:tcPr>
                  <w:tcW w:w="1133" w:type="dxa"/>
                  <w:vMerge w:val="continue"/>
                  <w:tcBorders>
                    <w:left w:val="nil"/>
                    <w:right w:val="single" w:color="auto" w:sz="2" w:space="0"/>
                  </w:tcBorders>
                  <w:vAlign w:val="center"/>
                </w:tcPr>
                <w:p>
                  <w:pPr>
                    <w:pStyle w:val="161"/>
                    <w:bidi w:val="0"/>
                  </w:pPr>
                </w:p>
              </w:tc>
              <w:tc>
                <w:tcPr>
                  <w:tcW w:w="709" w:type="dxa"/>
                  <w:vMerge w:val="restart"/>
                  <w:tcBorders>
                    <w:top w:val="single" w:color="auto" w:sz="2" w:space="0"/>
                    <w:left w:val="single" w:color="auto" w:sz="2" w:space="0"/>
                    <w:right w:val="single" w:color="auto" w:sz="2" w:space="0"/>
                  </w:tcBorders>
                  <w:vAlign w:val="center"/>
                </w:tcPr>
                <w:p>
                  <w:pPr>
                    <w:pStyle w:val="161"/>
                    <w:bidi w:val="0"/>
                  </w:pPr>
                  <w:r>
                    <w:t>运营期</w:t>
                  </w: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rPr>
                      <w:rFonts w:hint="eastAsia" w:eastAsia="宋体"/>
                      <w:lang w:eastAsia="zh-CN"/>
                    </w:rPr>
                  </w:pPr>
                  <w:r>
                    <w:rPr>
                      <w:rFonts w:hint="eastAsia" w:eastAsia="宋体"/>
                      <w:lang w:eastAsia="zh-CN"/>
                    </w:rPr>
                    <w:t>闪蒸汽</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rPr>
                      <w:rFonts w:hint="eastAsia" w:eastAsia="宋体"/>
                      <w:lang w:eastAsia="zh-CN"/>
                    </w:rPr>
                  </w:pPr>
                  <w:r>
                    <w:rPr>
                      <w:rFonts w:hint="eastAsia" w:eastAsia="宋体"/>
                      <w:lang w:eastAsia="zh-CN"/>
                    </w:rPr>
                    <w:t>非甲烷总烃</w:t>
                  </w:r>
                </w:p>
              </w:tc>
              <w:tc>
                <w:tcPr>
                  <w:tcW w:w="4328" w:type="dxa"/>
                  <w:gridSpan w:val="3"/>
                  <w:tcBorders>
                    <w:top w:val="single" w:color="auto" w:sz="2" w:space="0"/>
                    <w:left w:val="single" w:color="auto" w:sz="2" w:space="0"/>
                    <w:bottom w:val="single" w:color="auto" w:sz="2" w:space="0"/>
                    <w:right w:val="nil"/>
                  </w:tcBorders>
                  <w:vAlign w:val="center"/>
                </w:tcPr>
                <w:p>
                  <w:pPr>
                    <w:pStyle w:val="161"/>
                    <w:bidi w:val="0"/>
                    <w:rPr>
                      <w:color w:val="auto"/>
                    </w:rPr>
                  </w:pPr>
                  <w:r>
                    <w:rPr>
                      <w:rFonts w:hint="eastAsia" w:eastAsia="宋体"/>
                      <w:color w:val="auto"/>
                      <w:lang w:val="en-US" w:eastAsia="zh-CN"/>
                    </w:rPr>
                    <w:t>10.3kg/a，加气系统均为封闭状态，逸漏量很少，且均为无组织排放。站场异常超压及设备检修排放的天然气，送至站外放散管集中排放</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21" w:hRule="atLeast"/>
                <w:tblHeader/>
              </w:trPr>
              <w:tc>
                <w:tcPr>
                  <w:tcW w:w="1133" w:type="dxa"/>
                  <w:vMerge w:val="continue"/>
                  <w:tcBorders>
                    <w:left w:val="nil"/>
                    <w:bottom w:val="single" w:color="auto" w:sz="2" w:space="0"/>
                    <w:right w:val="single" w:color="auto" w:sz="2" w:space="0"/>
                  </w:tcBorders>
                  <w:vAlign w:val="center"/>
                </w:tcPr>
                <w:p>
                  <w:pPr>
                    <w:pStyle w:val="161"/>
                    <w:bidi w:val="0"/>
                  </w:pPr>
                </w:p>
              </w:tc>
              <w:tc>
                <w:tcPr>
                  <w:tcW w:w="709" w:type="dxa"/>
                  <w:vMerge w:val="continue"/>
                  <w:tcBorders>
                    <w:left w:val="single" w:color="auto" w:sz="2" w:space="0"/>
                    <w:bottom w:val="single" w:color="auto" w:sz="2" w:space="0"/>
                    <w:right w:val="single" w:color="auto" w:sz="2" w:space="0"/>
                  </w:tcBorders>
                  <w:vAlign w:val="center"/>
                </w:tcPr>
                <w:p>
                  <w:pPr>
                    <w:pStyle w:val="161"/>
                    <w:bidi w:val="0"/>
                  </w:pPr>
                </w:p>
              </w:tc>
              <w:tc>
                <w:tcPr>
                  <w:tcW w:w="1559" w:type="dxa"/>
                  <w:tcBorders>
                    <w:left w:val="single" w:color="auto" w:sz="2" w:space="0"/>
                    <w:bottom w:val="single" w:color="auto" w:sz="2" w:space="0"/>
                    <w:right w:val="single" w:color="auto" w:sz="2" w:space="0"/>
                  </w:tcBorders>
                  <w:vAlign w:val="center"/>
                </w:tcPr>
                <w:p>
                  <w:pPr>
                    <w:pStyle w:val="161"/>
                    <w:bidi w:val="0"/>
                    <w:rPr>
                      <w:rFonts w:hint="eastAsia"/>
                      <w:lang w:eastAsia="zh-CN"/>
                    </w:rPr>
                  </w:pPr>
                  <w:r>
                    <w:rPr>
                      <w:rFonts w:hint="eastAsia"/>
                      <w:lang w:eastAsia="zh-CN"/>
                    </w:rPr>
                    <w:t>汽车尾气</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rPr>
                      <w:rFonts w:hint="eastAsia"/>
                      <w:lang w:eastAsia="zh-CN"/>
                    </w:rPr>
                  </w:pPr>
                  <w:r>
                    <w:rPr>
                      <w:rFonts w:hint="eastAsia"/>
                      <w:lang w:eastAsia="zh-CN"/>
                    </w:rPr>
                    <w:t>烟气</w:t>
                  </w:r>
                </w:p>
              </w:tc>
              <w:tc>
                <w:tcPr>
                  <w:tcW w:w="4328" w:type="dxa"/>
                  <w:gridSpan w:val="3"/>
                  <w:tcBorders>
                    <w:top w:val="single" w:color="auto" w:sz="2" w:space="0"/>
                    <w:left w:val="single" w:color="auto" w:sz="2" w:space="0"/>
                    <w:bottom w:val="single" w:color="auto" w:sz="2" w:space="0"/>
                    <w:right w:val="nil"/>
                  </w:tcBorders>
                  <w:vAlign w:val="center"/>
                </w:tcPr>
                <w:p>
                  <w:pPr>
                    <w:pStyle w:val="161"/>
                    <w:bidi w:val="0"/>
                  </w:pPr>
                  <w:r>
                    <w:rPr>
                      <w:rFonts w:hint="eastAsia"/>
                    </w:rPr>
                    <w:t>间断性排放，排放量小，可忽略不计，对周围环境无明显影响</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56" w:hRule="atLeast"/>
                <w:tblHeader/>
              </w:trPr>
              <w:tc>
                <w:tcPr>
                  <w:tcW w:w="1133" w:type="dxa"/>
                  <w:vMerge w:val="restart"/>
                  <w:tcBorders>
                    <w:top w:val="single" w:color="auto" w:sz="2" w:space="0"/>
                    <w:left w:val="nil"/>
                    <w:right w:val="single" w:color="auto" w:sz="2" w:space="0"/>
                  </w:tcBorders>
                  <w:vAlign w:val="center"/>
                </w:tcPr>
                <w:p>
                  <w:pPr>
                    <w:pStyle w:val="161"/>
                    <w:bidi w:val="0"/>
                  </w:pPr>
                  <w:r>
                    <w:t>水污染物</w:t>
                  </w:r>
                </w:p>
              </w:tc>
              <w:tc>
                <w:tcPr>
                  <w:tcW w:w="709" w:type="dxa"/>
                  <w:tcBorders>
                    <w:top w:val="single" w:color="auto" w:sz="2" w:space="0"/>
                    <w:left w:val="single" w:color="auto" w:sz="2" w:space="0"/>
                    <w:right w:val="single" w:color="auto" w:sz="2" w:space="0"/>
                  </w:tcBorders>
                  <w:vAlign w:val="center"/>
                </w:tcPr>
                <w:p>
                  <w:pPr>
                    <w:pStyle w:val="161"/>
                    <w:bidi w:val="0"/>
                  </w:pPr>
                  <w:r>
                    <w:t>施工期</w:t>
                  </w: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pPr>
                  <w:r>
                    <w:t>生活污水</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t>COD、BOD、SS、NH3-N</w:t>
                  </w:r>
                </w:p>
              </w:tc>
              <w:tc>
                <w:tcPr>
                  <w:tcW w:w="2269" w:type="dxa"/>
                  <w:tcBorders>
                    <w:top w:val="single" w:color="auto" w:sz="2" w:space="0"/>
                    <w:left w:val="single" w:color="auto" w:sz="2" w:space="0"/>
                    <w:bottom w:val="single" w:color="auto" w:sz="2" w:space="0"/>
                    <w:right w:val="single" w:color="auto" w:sz="2" w:space="0"/>
                  </w:tcBorders>
                  <w:vAlign w:val="center"/>
                </w:tcPr>
                <w:p>
                  <w:pPr>
                    <w:pStyle w:val="161"/>
                    <w:bidi w:val="0"/>
                    <w:rPr>
                      <w:lang w:val="fr-FR"/>
                    </w:rPr>
                  </w:pPr>
                  <w:r>
                    <w:t>水量</w:t>
                  </w:r>
                  <w:r>
                    <w:rPr>
                      <w:lang w:val="fr-FR"/>
                    </w:rPr>
                    <w:t>：</w:t>
                  </w:r>
                  <w:r>
                    <w:rPr>
                      <w:rFonts w:hint="eastAsia" w:eastAsia="宋体"/>
                      <w:lang w:val="en-US" w:eastAsia="zh-CN"/>
                    </w:rPr>
                    <w:t>384</w:t>
                  </w:r>
                  <w:r>
                    <w:rPr>
                      <w:lang w:val="fr-FR"/>
                    </w:rPr>
                    <w:t>m</w:t>
                  </w:r>
                  <w:r>
                    <w:rPr>
                      <w:vertAlign w:val="superscript"/>
                      <w:lang w:val="fr-FR"/>
                    </w:rPr>
                    <w:t>3</w:t>
                  </w:r>
                  <w:r>
                    <w:rPr>
                      <w:lang w:val="fr-FR"/>
                    </w:rPr>
                    <w:t>/</w:t>
                  </w:r>
                  <w:r>
                    <w:rPr>
                      <w:rFonts w:hint="eastAsia"/>
                      <w:lang w:val="fr-FR"/>
                    </w:rPr>
                    <w:t>施工期</w:t>
                  </w:r>
                </w:p>
                <w:p>
                  <w:pPr>
                    <w:pStyle w:val="161"/>
                    <w:bidi w:val="0"/>
                    <w:rPr>
                      <w:lang w:val="fr-FR"/>
                    </w:rPr>
                  </w:pPr>
                  <w:r>
                    <w:rPr>
                      <w:lang w:val="fr-FR"/>
                    </w:rPr>
                    <w:t>CODCr:350mg/L，</w:t>
                  </w:r>
                  <w:r>
                    <w:rPr>
                      <w:rFonts w:hint="eastAsia"/>
                      <w:lang w:val="en-US" w:eastAsia="zh-CN"/>
                    </w:rPr>
                    <w:t>134</w:t>
                  </w:r>
                  <w:r>
                    <w:rPr>
                      <w:lang w:val="fr-FR"/>
                    </w:rPr>
                    <w:t>kg</w:t>
                  </w:r>
                </w:p>
                <w:p>
                  <w:pPr>
                    <w:pStyle w:val="161"/>
                    <w:bidi w:val="0"/>
                    <w:rPr>
                      <w:lang w:val="fr-FR"/>
                    </w:rPr>
                  </w:pPr>
                  <w:r>
                    <w:rPr>
                      <w:lang w:val="fr-FR"/>
                    </w:rPr>
                    <w:t>BOD5: 200mg/L，</w:t>
                  </w:r>
                  <w:r>
                    <w:rPr>
                      <w:rFonts w:hint="eastAsia" w:eastAsia="宋体"/>
                      <w:lang w:val="en-US" w:eastAsia="zh-CN"/>
                    </w:rPr>
                    <w:t>76.8</w:t>
                  </w:r>
                  <w:r>
                    <w:rPr>
                      <w:lang w:val="fr-FR"/>
                    </w:rPr>
                    <w:t>kg</w:t>
                  </w:r>
                </w:p>
                <w:p>
                  <w:pPr>
                    <w:pStyle w:val="161"/>
                    <w:bidi w:val="0"/>
                    <w:rPr>
                      <w:lang w:val="fr-FR"/>
                    </w:rPr>
                  </w:pPr>
                  <w:r>
                    <w:rPr>
                      <w:lang w:val="fr-FR"/>
                    </w:rPr>
                    <w:t>NH3-N:35mg/L，</w:t>
                  </w:r>
                  <w:r>
                    <w:rPr>
                      <w:rFonts w:hint="eastAsia" w:eastAsia="宋体"/>
                      <w:lang w:val="en-US" w:eastAsia="zh-CN"/>
                    </w:rPr>
                    <w:t>13.4</w:t>
                  </w:r>
                  <w:r>
                    <w:rPr>
                      <w:lang w:val="fr-FR"/>
                    </w:rPr>
                    <w:t>kg</w:t>
                  </w:r>
                </w:p>
                <w:p>
                  <w:pPr>
                    <w:pStyle w:val="161"/>
                    <w:bidi w:val="0"/>
                    <w:rPr>
                      <w:lang w:val="fr-FR"/>
                    </w:rPr>
                  </w:pPr>
                  <w:r>
                    <w:rPr>
                      <w:lang w:val="fr-FR"/>
                    </w:rPr>
                    <w:t>SS: 180mg/L，</w:t>
                  </w:r>
                  <w:r>
                    <w:rPr>
                      <w:rFonts w:hint="eastAsia" w:eastAsia="宋体"/>
                      <w:lang w:val="en-US" w:eastAsia="zh-CN"/>
                    </w:rPr>
                    <w:t>69.1</w:t>
                  </w:r>
                  <w:r>
                    <w:rPr>
                      <w:lang w:val="fr-FR"/>
                    </w:rPr>
                    <w:t>kg</w:t>
                  </w:r>
                </w:p>
              </w:tc>
              <w:tc>
                <w:tcPr>
                  <w:tcW w:w="2059" w:type="dxa"/>
                  <w:gridSpan w:val="2"/>
                  <w:vMerge w:val="restart"/>
                  <w:tcBorders>
                    <w:top w:val="single" w:color="auto" w:sz="2" w:space="0"/>
                    <w:left w:val="single" w:color="auto" w:sz="2" w:space="0"/>
                    <w:right w:val="nil"/>
                  </w:tcBorders>
                  <w:vAlign w:val="center"/>
                </w:tcPr>
                <w:p>
                  <w:pPr>
                    <w:pStyle w:val="161"/>
                    <w:bidi w:val="0"/>
                  </w:pPr>
                  <w:r>
                    <w:rPr>
                      <w:rFonts w:hint="eastAsia"/>
                      <w:lang w:val="fr-FR"/>
                    </w:rPr>
                    <w:t>依托周边已有化粪池处理后，用作周边农田农肥，不外排</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29" w:hRule="atLeast"/>
                <w:tblHeader/>
              </w:trPr>
              <w:tc>
                <w:tcPr>
                  <w:tcW w:w="1133" w:type="dxa"/>
                  <w:vMerge w:val="continue"/>
                  <w:tcBorders>
                    <w:left w:val="nil"/>
                    <w:right w:val="single" w:color="auto" w:sz="2" w:space="0"/>
                  </w:tcBorders>
                  <w:vAlign w:val="center"/>
                </w:tcPr>
                <w:p>
                  <w:pPr>
                    <w:pStyle w:val="161"/>
                    <w:bidi w:val="0"/>
                  </w:pPr>
                </w:p>
              </w:tc>
              <w:tc>
                <w:tcPr>
                  <w:tcW w:w="709" w:type="dxa"/>
                  <w:vMerge w:val="restart"/>
                  <w:tcBorders>
                    <w:left w:val="single" w:color="auto" w:sz="2" w:space="0"/>
                    <w:right w:val="single" w:color="auto" w:sz="2" w:space="0"/>
                  </w:tcBorders>
                  <w:vAlign w:val="center"/>
                </w:tcPr>
                <w:p>
                  <w:pPr>
                    <w:pStyle w:val="161"/>
                    <w:bidi w:val="0"/>
                  </w:pPr>
                  <w:r>
                    <w:rPr>
                      <w:rFonts w:hint="eastAsia"/>
                    </w:rPr>
                    <w:t>运营</w:t>
                  </w:r>
                  <w:r>
                    <w:t>期</w:t>
                  </w: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pPr>
                  <w:r>
                    <w:rPr>
                      <w:rFonts w:hint="eastAsia"/>
                    </w:rPr>
                    <w:t>生活污水</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t>COD、BOD、SS、NH3-N</w:t>
                  </w:r>
                </w:p>
              </w:tc>
              <w:tc>
                <w:tcPr>
                  <w:tcW w:w="2269" w:type="dxa"/>
                  <w:tcBorders>
                    <w:top w:val="single" w:color="auto" w:sz="2" w:space="0"/>
                    <w:left w:val="single" w:color="auto" w:sz="2" w:space="0"/>
                    <w:bottom w:val="single" w:color="auto" w:sz="2" w:space="0"/>
                    <w:right w:val="single" w:color="auto" w:sz="2" w:space="0"/>
                  </w:tcBorders>
                  <w:vAlign w:val="center"/>
                </w:tcPr>
                <w:p>
                  <w:pPr>
                    <w:pStyle w:val="161"/>
                    <w:bidi w:val="0"/>
                    <w:rPr>
                      <w:lang w:val="fr-FR"/>
                    </w:rPr>
                  </w:pPr>
                  <w:r>
                    <w:t>水量</w:t>
                  </w:r>
                  <w:r>
                    <w:rPr>
                      <w:lang w:val="fr-FR"/>
                    </w:rPr>
                    <w:t>：</w:t>
                  </w:r>
                  <w:r>
                    <w:rPr>
                      <w:rFonts w:hint="eastAsia" w:eastAsia="宋体"/>
                      <w:lang w:val="en-US" w:eastAsia="zh-CN"/>
                    </w:rPr>
                    <w:t>186</w:t>
                  </w:r>
                  <w:r>
                    <w:rPr>
                      <w:lang w:val="fr-FR"/>
                    </w:rPr>
                    <w:t>m</w:t>
                  </w:r>
                  <w:r>
                    <w:rPr>
                      <w:vertAlign w:val="superscript"/>
                      <w:lang w:val="fr-FR"/>
                    </w:rPr>
                    <w:t>3</w:t>
                  </w:r>
                  <w:r>
                    <w:rPr>
                      <w:lang w:val="fr-FR"/>
                    </w:rPr>
                    <w:t>/a</w:t>
                  </w:r>
                </w:p>
                <w:p>
                  <w:pPr>
                    <w:pStyle w:val="161"/>
                    <w:bidi w:val="0"/>
                    <w:rPr>
                      <w:lang w:val="fr-FR"/>
                    </w:rPr>
                  </w:pPr>
                  <w:r>
                    <w:rPr>
                      <w:lang w:val="fr-FR"/>
                    </w:rPr>
                    <w:t>CODCr:350mg/L，</w:t>
                  </w:r>
                  <w:r>
                    <w:rPr>
                      <w:rFonts w:hint="eastAsia"/>
                      <w:lang w:val="en-US" w:eastAsia="zh-CN"/>
                    </w:rPr>
                    <w:t>65.1</w:t>
                  </w:r>
                  <w:r>
                    <w:rPr>
                      <w:lang w:val="fr-FR"/>
                    </w:rPr>
                    <w:t>kg</w:t>
                  </w:r>
                </w:p>
                <w:p>
                  <w:pPr>
                    <w:pStyle w:val="161"/>
                    <w:bidi w:val="0"/>
                    <w:rPr>
                      <w:lang w:val="fr-FR"/>
                    </w:rPr>
                  </w:pPr>
                  <w:r>
                    <w:rPr>
                      <w:lang w:val="fr-FR"/>
                    </w:rPr>
                    <w:t>BOD5: 200mg/L，</w:t>
                  </w:r>
                  <w:r>
                    <w:rPr>
                      <w:rFonts w:hint="eastAsia" w:eastAsia="宋体"/>
                      <w:lang w:val="en-US" w:eastAsia="zh-CN"/>
                    </w:rPr>
                    <w:t>37.2</w:t>
                  </w:r>
                  <w:r>
                    <w:rPr>
                      <w:lang w:val="fr-FR"/>
                    </w:rPr>
                    <w:t>kg</w:t>
                  </w:r>
                </w:p>
                <w:p>
                  <w:pPr>
                    <w:pStyle w:val="161"/>
                    <w:bidi w:val="0"/>
                    <w:rPr>
                      <w:lang w:val="fr-FR"/>
                    </w:rPr>
                  </w:pPr>
                  <w:r>
                    <w:rPr>
                      <w:lang w:val="fr-FR"/>
                    </w:rPr>
                    <w:t>NH3-N:35mg/L，</w:t>
                  </w:r>
                  <w:r>
                    <w:rPr>
                      <w:rFonts w:hint="eastAsia" w:eastAsia="宋体"/>
                      <w:lang w:val="en-US" w:eastAsia="zh-CN"/>
                    </w:rPr>
                    <w:t>6.51</w:t>
                  </w:r>
                  <w:r>
                    <w:rPr>
                      <w:lang w:val="fr-FR"/>
                    </w:rPr>
                    <w:t>kg</w:t>
                  </w:r>
                </w:p>
                <w:p>
                  <w:pPr>
                    <w:pStyle w:val="161"/>
                    <w:bidi w:val="0"/>
                  </w:pPr>
                  <w:r>
                    <w:rPr>
                      <w:lang w:val="fr-FR"/>
                    </w:rPr>
                    <w:t>SS: 180mg/L，</w:t>
                  </w:r>
                  <w:r>
                    <w:rPr>
                      <w:rFonts w:hint="eastAsia" w:eastAsia="宋体"/>
                      <w:lang w:val="en-US" w:eastAsia="zh-CN"/>
                    </w:rPr>
                    <w:t>33.0</w:t>
                  </w:r>
                  <w:r>
                    <w:rPr>
                      <w:lang w:val="fr-FR"/>
                    </w:rPr>
                    <w:t>kg</w:t>
                  </w:r>
                </w:p>
              </w:tc>
              <w:tc>
                <w:tcPr>
                  <w:tcW w:w="2059" w:type="dxa"/>
                  <w:gridSpan w:val="2"/>
                  <w:vMerge w:val="continue"/>
                  <w:tcBorders>
                    <w:left w:val="single" w:color="auto" w:sz="2" w:space="0"/>
                    <w:bottom w:val="single" w:color="auto" w:sz="2" w:space="0"/>
                    <w:right w:val="nil"/>
                  </w:tcBorders>
                  <w:vAlign w:val="center"/>
                </w:tcPr>
                <w:p>
                  <w:pPr>
                    <w:pStyle w:val="161"/>
                    <w:bidi w:val="0"/>
                  </w:pP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29" w:hRule="atLeast"/>
                <w:tblHeader/>
              </w:trPr>
              <w:tc>
                <w:tcPr>
                  <w:tcW w:w="1133" w:type="dxa"/>
                  <w:vMerge w:val="continue"/>
                  <w:tcBorders>
                    <w:left w:val="nil"/>
                    <w:right w:val="single" w:color="auto" w:sz="2" w:space="0"/>
                  </w:tcBorders>
                  <w:vAlign w:val="center"/>
                </w:tcPr>
                <w:p>
                  <w:pPr>
                    <w:pStyle w:val="161"/>
                    <w:bidi w:val="0"/>
                  </w:pPr>
                </w:p>
              </w:tc>
              <w:tc>
                <w:tcPr>
                  <w:tcW w:w="709" w:type="dxa"/>
                  <w:vMerge w:val="continue"/>
                  <w:tcBorders>
                    <w:left w:val="single" w:color="auto" w:sz="2" w:space="0"/>
                    <w:right w:val="single" w:color="auto" w:sz="2" w:space="0"/>
                  </w:tcBorders>
                  <w:vAlign w:val="center"/>
                </w:tcPr>
                <w:p>
                  <w:pPr>
                    <w:pStyle w:val="161"/>
                    <w:bidi w:val="0"/>
                  </w:pP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rPr>
                      <w:rFonts w:hint="eastAsia" w:eastAsia="宋体"/>
                      <w:lang w:eastAsia="zh-CN"/>
                    </w:rPr>
                  </w:pPr>
                  <w:r>
                    <w:rPr>
                      <w:rFonts w:hint="eastAsia" w:eastAsia="宋体"/>
                      <w:lang w:eastAsia="zh-CN"/>
                    </w:rPr>
                    <w:t>绿化用水</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rPr>
                      <w:rFonts w:hint="eastAsia"/>
                    </w:rPr>
                    <w:t>SS</w:t>
                  </w:r>
                </w:p>
              </w:tc>
              <w:tc>
                <w:tcPr>
                  <w:tcW w:w="2269" w:type="dxa"/>
                  <w:tcBorders>
                    <w:top w:val="single" w:color="auto" w:sz="2" w:space="0"/>
                    <w:left w:val="single" w:color="auto" w:sz="2" w:space="0"/>
                    <w:bottom w:val="single" w:color="auto" w:sz="2" w:space="0"/>
                    <w:right w:val="single" w:color="auto" w:sz="2" w:space="0"/>
                  </w:tcBorders>
                  <w:vAlign w:val="center"/>
                </w:tcPr>
                <w:p>
                  <w:pPr>
                    <w:pStyle w:val="161"/>
                    <w:bidi w:val="0"/>
                    <w:rPr>
                      <w:lang w:val="fr-FR"/>
                    </w:rPr>
                  </w:pPr>
                  <w:r>
                    <w:rPr>
                      <w:rFonts w:hint="eastAsia" w:eastAsia="宋体"/>
                      <w:lang w:val="en-US" w:eastAsia="zh-CN"/>
                    </w:rPr>
                    <w:t>2.29</w:t>
                  </w:r>
                  <w:r>
                    <w:rPr>
                      <w:lang w:val="fr-FR"/>
                    </w:rPr>
                    <w:t xml:space="preserve"> m</w:t>
                  </w:r>
                  <w:r>
                    <w:rPr>
                      <w:vertAlign w:val="superscript"/>
                      <w:lang w:val="fr-FR"/>
                    </w:rPr>
                    <w:t>3</w:t>
                  </w:r>
                  <w:r>
                    <w:rPr>
                      <w:lang w:val="fr-FR"/>
                    </w:rPr>
                    <w:t>/d</w:t>
                  </w:r>
                </w:p>
              </w:tc>
              <w:tc>
                <w:tcPr>
                  <w:tcW w:w="2059" w:type="dxa"/>
                  <w:gridSpan w:val="2"/>
                  <w:tcBorders>
                    <w:top w:val="single" w:color="auto" w:sz="2" w:space="0"/>
                    <w:left w:val="single" w:color="auto" w:sz="2" w:space="0"/>
                    <w:bottom w:val="single" w:color="auto" w:sz="2" w:space="0"/>
                    <w:right w:val="nil"/>
                  </w:tcBorders>
                  <w:vAlign w:val="center"/>
                </w:tcPr>
                <w:p>
                  <w:pPr>
                    <w:pStyle w:val="161"/>
                    <w:bidi w:val="0"/>
                    <w:rPr>
                      <w:rFonts w:hint="eastAsia" w:eastAsia="宋体"/>
                      <w:lang w:eastAsia="zh-CN"/>
                    </w:rPr>
                  </w:pPr>
                  <w:r>
                    <w:rPr>
                      <w:rFonts w:hint="eastAsia" w:eastAsia="宋体"/>
                      <w:lang w:eastAsia="zh-CN"/>
                    </w:rPr>
                    <w:t>蒸发下渗</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29" w:hRule="atLeast"/>
                <w:tblHeader/>
              </w:trPr>
              <w:tc>
                <w:tcPr>
                  <w:tcW w:w="1133" w:type="dxa"/>
                  <w:vMerge w:val="continue"/>
                  <w:tcBorders>
                    <w:left w:val="nil"/>
                    <w:right w:val="single" w:color="auto" w:sz="2" w:space="0"/>
                  </w:tcBorders>
                  <w:vAlign w:val="center"/>
                </w:tcPr>
                <w:p>
                  <w:pPr>
                    <w:pStyle w:val="161"/>
                    <w:bidi w:val="0"/>
                  </w:pPr>
                </w:p>
              </w:tc>
              <w:tc>
                <w:tcPr>
                  <w:tcW w:w="709" w:type="dxa"/>
                  <w:vMerge w:val="continue"/>
                  <w:tcBorders>
                    <w:left w:val="single" w:color="auto" w:sz="2" w:space="0"/>
                    <w:right w:val="single" w:color="auto" w:sz="2" w:space="0"/>
                  </w:tcBorders>
                  <w:vAlign w:val="center"/>
                </w:tcPr>
                <w:p>
                  <w:pPr>
                    <w:pStyle w:val="161"/>
                    <w:bidi w:val="0"/>
                  </w:pP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rPr>
                      <w:rFonts w:hint="eastAsia" w:eastAsia="宋体"/>
                      <w:lang w:eastAsia="zh-CN"/>
                    </w:rPr>
                  </w:pPr>
                  <w:r>
                    <w:rPr>
                      <w:rFonts w:hint="eastAsia" w:eastAsia="宋体"/>
                      <w:lang w:eastAsia="zh-CN"/>
                    </w:rPr>
                    <w:t>地面冲洗废水</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rPr>
                      <w:rFonts w:hint="eastAsia"/>
                    </w:rPr>
                    <w:t>S</w:t>
                  </w:r>
                  <w:r>
                    <w:t>S</w:t>
                  </w:r>
                </w:p>
              </w:tc>
              <w:tc>
                <w:tcPr>
                  <w:tcW w:w="2269" w:type="dxa"/>
                  <w:tcBorders>
                    <w:top w:val="single" w:color="auto" w:sz="2" w:space="0"/>
                    <w:left w:val="single" w:color="auto" w:sz="2" w:space="0"/>
                    <w:bottom w:val="single" w:color="auto" w:sz="2" w:space="0"/>
                    <w:right w:val="single" w:color="auto" w:sz="2" w:space="0"/>
                  </w:tcBorders>
                  <w:vAlign w:val="center"/>
                </w:tcPr>
                <w:p>
                  <w:pPr>
                    <w:pStyle w:val="161"/>
                    <w:bidi w:val="0"/>
                    <w:rPr>
                      <w:rFonts w:hint="eastAsia" w:eastAsia="宋体"/>
                      <w:lang w:eastAsia="zh-CN"/>
                    </w:rPr>
                  </w:pPr>
                  <w:r>
                    <w:rPr>
                      <w:rFonts w:hint="eastAsia" w:eastAsia="宋体"/>
                      <w:lang w:eastAsia="zh-CN"/>
                    </w:rPr>
                    <w:t>少量</w:t>
                  </w:r>
                </w:p>
              </w:tc>
              <w:tc>
                <w:tcPr>
                  <w:tcW w:w="2059" w:type="dxa"/>
                  <w:gridSpan w:val="2"/>
                  <w:tcBorders>
                    <w:top w:val="single" w:color="auto" w:sz="2" w:space="0"/>
                    <w:left w:val="single" w:color="auto" w:sz="2" w:space="0"/>
                    <w:bottom w:val="single" w:color="auto" w:sz="2" w:space="0"/>
                    <w:right w:val="nil"/>
                  </w:tcBorders>
                  <w:vAlign w:val="center"/>
                </w:tcPr>
                <w:p>
                  <w:pPr>
                    <w:pStyle w:val="161"/>
                    <w:bidi w:val="0"/>
                    <w:rPr>
                      <w:rFonts w:hint="eastAsia" w:eastAsia="宋体"/>
                      <w:lang w:eastAsia="zh-CN"/>
                    </w:rPr>
                  </w:pPr>
                  <w:r>
                    <w:rPr>
                      <w:rFonts w:hint="eastAsia" w:eastAsia="宋体"/>
                      <w:lang w:eastAsia="zh-CN"/>
                    </w:rPr>
                    <w:t>经沉淀池沉淀之后循环使用</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85" w:hRule="atLeast"/>
                <w:tblHeader/>
              </w:trPr>
              <w:tc>
                <w:tcPr>
                  <w:tcW w:w="1133" w:type="dxa"/>
                  <w:vMerge w:val="restart"/>
                  <w:tcBorders>
                    <w:top w:val="single" w:color="auto" w:sz="2" w:space="0"/>
                    <w:left w:val="nil"/>
                    <w:right w:val="single" w:color="auto" w:sz="2" w:space="0"/>
                  </w:tcBorders>
                  <w:vAlign w:val="center"/>
                </w:tcPr>
                <w:p>
                  <w:pPr>
                    <w:pStyle w:val="161"/>
                    <w:bidi w:val="0"/>
                  </w:pPr>
                  <w:r>
                    <w:t>噪声</w:t>
                  </w:r>
                </w:p>
              </w:tc>
              <w:tc>
                <w:tcPr>
                  <w:tcW w:w="709" w:type="dxa"/>
                  <w:tcBorders>
                    <w:top w:val="single" w:color="auto" w:sz="2" w:space="0"/>
                    <w:left w:val="single" w:color="auto" w:sz="2" w:space="0"/>
                    <w:bottom w:val="single" w:color="auto" w:sz="2" w:space="0"/>
                    <w:right w:val="single" w:color="auto" w:sz="2" w:space="0"/>
                  </w:tcBorders>
                  <w:vAlign w:val="center"/>
                </w:tcPr>
                <w:p>
                  <w:pPr>
                    <w:pStyle w:val="161"/>
                    <w:bidi w:val="0"/>
                  </w:pPr>
                  <w:r>
                    <w:t>施工期</w:t>
                  </w: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pPr>
                  <w:r>
                    <w:t>机械设备、车辆</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t>噪声</w:t>
                  </w:r>
                </w:p>
              </w:tc>
              <w:tc>
                <w:tcPr>
                  <w:tcW w:w="2269" w:type="dxa"/>
                  <w:tcBorders>
                    <w:top w:val="single" w:color="auto" w:sz="2" w:space="0"/>
                    <w:left w:val="single" w:color="auto" w:sz="2" w:space="0"/>
                    <w:bottom w:val="single" w:color="auto" w:sz="2" w:space="0"/>
                    <w:right w:val="single" w:color="auto" w:sz="4" w:space="0"/>
                  </w:tcBorders>
                  <w:vAlign w:val="center"/>
                </w:tcPr>
                <w:p>
                  <w:pPr>
                    <w:pStyle w:val="161"/>
                    <w:bidi w:val="0"/>
                  </w:pPr>
                  <w:r>
                    <w:t>85dB（A）~100dB（A）</w:t>
                  </w:r>
                </w:p>
              </w:tc>
              <w:tc>
                <w:tcPr>
                  <w:tcW w:w="2059" w:type="dxa"/>
                  <w:gridSpan w:val="2"/>
                  <w:tcBorders>
                    <w:top w:val="single" w:color="auto" w:sz="2" w:space="0"/>
                    <w:left w:val="single" w:color="auto" w:sz="4" w:space="0"/>
                    <w:bottom w:val="single" w:color="auto" w:sz="2" w:space="0"/>
                    <w:right w:val="nil"/>
                  </w:tcBorders>
                  <w:vAlign w:val="center"/>
                </w:tcPr>
                <w:p>
                  <w:pPr>
                    <w:pStyle w:val="161"/>
                    <w:bidi w:val="0"/>
                  </w:pPr>
                  <w:r>
                    <w:t>昼间≤70dB（A）</w:t>
                  </w:r>
                </w:p>
                <w:p>
                  <w:pPr>
                    <w:pStyle w:val="161"/>
                    <w:bidi w:val="0"/>
                  </w:pPr>
                  <w:r>
                    <w:t>夜间≤55dB（A）</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34" w:hRule="atLeast"/>
                <w:tblHeader/>
              </w:trPr>
              <w:tc>
                <w:tcPr>
                  <w:tcW w:w="1133" w:type="dxa"/>
                  <w:vMerge w:val="continue"/>
                  <w:tcBorders>
                    <w:left w:val="nil"/>
                    <w:right w:val="single" w:color="auto" w:sz="2" w:space="0"/>
                  </w:tcBorders>
                  <w:vAlign w:val="center"/>
                </w:tcPr>
                <w:p>
                  <w:pPr>
                    <w:pStyle w:val="161"/>
                    <w:bidi w:val="0"/>
                  </w:pPr>
                </w:p>
              </w:tc>
              <w:tc>
                <w:tcPr>
                  <w:tcW w:w="709" w:type="dxa"/>
                  <w:tcBorders>
                    <w:top w:val="single" w:color="auto" w:sz="2" w:space="0"/>
                    <w:left w:val="single" w:color="auto" w:sz="2" w:space="0"/>
                    <w:bottom w:val="single" w:color="auto" w:sz="2" w:space="0"/>
                    <w:right w:val="single" w:color="auto" w:sz="2" w:space="0"/>
                  </w:tcBorders>
                  <w:vAlign w:val="center"/>
                </w:tcPr>
                <w:p>
                  <w:pPr>
                    <w:pStyle w:val="161"/>
                    <w:bidi w:val="0"/>
                  </w:pPr>
                  <w:r>
                    <w:t>运营期</w:t>
                  </w:r>
                </w:p>
              </w:tc>
              <w:tc>
                <w:tcPr>
                  <w:tcW w:w="1559" w:type="dxa"/>
                  <w:tcBorders>
                    <w:top w:val="single" w:color="auto" w:sz="2" w:space="0"/>
                    <w:left w:val="single" w:color="auto" w:sz="2" w:space="0"/>
                    <w:bottom w:val="single" w:color="auto" w:sz="2" w:space="0"/>
                    <w:right w:val="single" w:color="auto" w:sz="2" w:space="0"/>
                  </w:tcBorders>
                  <w:vAlign w:val="center"/>
                </w:tcPr>
                <w:p>
                  <w:pPr>
                    <w:pStyle w:val="161"/>
                    <w:bidi w:val="0"/>
                    <w:rPr>
                      <w:rFonts w:hint="eastAsia" w:eastAsia="宋体"/>
                      <w:lang w:eastAsia="zh-CN"/>
                    </w:rPr>
                  </w:pPr>
                  <w:r>
                    <w:rPr>
                      <w:rFonts w:hint="eastAsia" w:eastAsia="宋体"/>
                      <w:lang w:eastAsia="zh-CN"/>
                    </w:rPr>
                    <w:t>加气站设备和进出站区车辆</w:t>
                  </w:r>
                </w:p>
              </w:tc>
              <w:tc>
                <w:tcPr>
                  <w:tcW w:w="1560" w:type="dxa"/>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t>噪声</w:t>
                  </w:r>
                </w:p>
              </w:tc>
              <w:tc>
                <w:tcPr>
                  <w:tcW w:w="2280" w:type="dxa"/>
                  <w:gridSpan w:val="2"/>
                  <w:tcBorders>
                    <w:top w:val="single" w:color="auto" w:sz="2" w:space="0"/>
                    <w:left w:val="single" w:color="auto" w:sz="2" w:space="0"/>
                    <w:bottom w:val="single" w:color="auto" w:sz="2" w:space="0"/>
                    <w:right w:val="single" w:color="auto" w:sz="4" w:space="0"/>
                  </w:tcBorders>
                  <w:vAlign w:val="center"/>
                </w:tcPr>
                <w:p>
                  <w:pPr>
                    <w:pStyle w:val="161"/>
                    <w:bidi w:val="0"/>
                  </w:pPr>
                  <w:r>
                    <w:rPr>
                      <w:rFonts w:hint="eastAsia" w:eastAsia="宋体"/>
                      <w:lang w:val="en-US" w:eastAsia="zh-CN"/>
                    </w:rPr>
                    <w:t>59</w:t>
                  </w:r>
                  <w:r>
                    <w:t>dB（A）~</w:t>
                  </w:r>
                  <w:r>
                    <w:rPr>
                      <w:rFonts w:hint="eastAsia" w:eastAsia="宋体"/>
                      <w:lang w:val="en-US" w:eastAsia="zh-CN"/>
                    </w:rPr>
                    <w:t>85</w:t>
                  </w:r>
                  <w:r>
                    <w:t>dB（A）</w:t>
                  </w:r>
                </w:p>
              </w:tc>
              <w:tc>
                <w:tcPr>
                  <w:tcW w:w="2048" w:type="dxa"/>
                  <w:tcBorders>
                    <w:top w:val="single" w:color="auto" w:sz="2" w:space="0"/>
                    <w:left w:val="single" w:color="auto" w:sz="4" w:space="0"/>
                    <w:bottom w:val="single" w:color="auto" w:sz="2" w:space="0"/>
                    <w:right w:val="nil"/>
                  </w:tcBorders>
                  <w:vAlign w:val="center"/>
                </w:tcPr>
                <w:p>
                  <w:pPr>
                    <w:pStyle w:val="161"/>
                    <w:bidi w:val="0"/>
                  </w:pPr>
                  <w:r>
                    <w:t>昼间≤60dB（A）</w:t>
                  </w:r>
                </w:p>
                <w:p>
                  <w:pPr>
                    <w:pStyle w:val="161"/>
                    <w:bidi w:val="0"/>
                  </w:pPr>
                  <w:r>
                    <w:t>夜间≤50dB（A）</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50" w:hRule="atLeast"/>
              </w:trPr>
              <w:tc>
                <w:tcPr>
                  <w:tcW w:w="1133" w:type="dxa"/>
                  <w:vMerge w:val="restart"/>
                  <w:tcBorders>
                    <w:top w:val="single" w:color="auto" w:sz="2" w:space="0"/>
                    <w:left w:val="nil"/>
                    <w:bottom w:val="nil"/>
                    <w:right w:val="single" w:color="auto" w:sz="2" w:space="0"/>
                  </w:tcBorders>
                  <w:tcMar>
                    <w:top w:w="15" w:type="dxa"/>
                    <w:left w:w="15" w:type="dxa"/>
                    <w:bottom w:w="0" w:type="dxa"/>
                    <w:right w:w="15" w:type="dxa"/>
                  </w:tcMar>
                  <w:vAlign w:val="center"/>
                </w:tcPr>
                <w:p>
                  <w:pPr>
                    <w:pStyle w:val="161"/>
                    <w:bidi w:val="0"/>
                  </w:pPr>
                  <w:r>
                    <w:t>固体废物</w:t>
                  </w:r>
                </w:p>
              </w:tc>
              <w:tc>
                <w:tcPr>
                  <w:tcW w:w="709" w:type="dxa"/>
                  <w:vMerge w:val="restart"/>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r>
                    <w:t>施工期</w:t>
                  </w:r>
                </w:p>
              </w:tc>
              <w:tc>
                <w:tcPr>
                  <w:tcW w:w="3119" w:type="dxa"/>
                  <w:gridSpan w:val="2"/>
                  <w:tcBorders>
                    <w:top w:val="single" w:color="auto" w:sz="2" w:space="0"/>
                    <w:left w:val="single" w:color="auto" w:sz="2" w:space="0"/>
                    <w:bottom w:val="single" w:color="auto" w:sz="2" w:space="0"/>
                    <w:right w:val="single" w:color="auto" w:sz="2" w:space="0"/>
                  </w:tcBorders>
                  <w:vAlign w:val="center"/>
                </w:tcPr>
                <w:p>
                  <w:pPr>
                    <w:pStyle w:val="161"/>
                    <w:bidi w:val="0"/>
                  </w:pPr>
                  <w:r>
                    <w:t>生活垃圾</w:t>
                  </w:r>
                </w:p>
              </w:tc>
              <w:tc>
                <w:tcPr>
                  <w:tcW w:w="2269" w:type="dxa"/>
                  <w:tcBorders>
                    <w:top w:val="single" w:color="auto" w:sz="2" w:space="0"/>
                    <w:left w:val="single" w:color="auto" w:sz="2" w:space="0"/>
                    <w:bottom w:val="single" w:color="auto" w:sz="2" w:space="0"/>
                    <w:right w:val="single" w:color="auto" w:sz="4" w:space="0"/>
                  </w:tcBorders>
                  <w:vAlign w:val="center"/>
                </w:tcPr>
                <w:p>
                  <w:pPr>
                    <w:pStyle w:val="161"/>
                    <w:bidi w:val="0"/>
                    <w:rPr>
                      <w:lang w:val="en-US" w:eastAsia="zh-CN"/>
                    </w:rPr>
                  </w:pPr>
                  <w:r>
                    <w:rPr>
                      <w:rFonts w:hint="eastAsia"/>
                      <w:lang w:val="en-US" w:eastAsia="zh-CN"/>
                    </w:rPr>
                    <w:t>2.7</w:t>
                  </w:r>
                  <w:r>
                    <w:rPr>
                      <w:rFonts w:hint="eastAsia"/>
                      <w:lang w:eastAsia="zh-CN"/>
                    </w:rPr>
                    <w:t>t/施工期</w:t>
                  </w:r>
                </w:p>
              </w:tc>
              <w:tc>
                <w:tcPr>
                  <w:tcW w:w="2059" w:type="dxa"/>
                  <w:gridSpan w:val="2"/>
                  <w:tcBorders>
                    <w:top w:val="single" w:color="auto" w:sz="2" w:space="0"/>
                    <w:left w:val="single" w:color="auto" w:sz="4" w:space="0"/>
                    <w:bottom w:val="single" w:color="auto" w:sz="2" w:space="0"/>
                    <w:right w:val="nil"/>
                  </w:tcBorders>
                  <w:vAlign w:val="center"/>
                </w:tcPr>
                <w:p>
                  <w:pPr>
                    <w:pStyle w:val="161"/>
                    <w:bidi w:val="0"/>
                  </w:pPr>
                  <w:r>
                    <w:rPr>
                      <w:rFonts w:hint="eastAsia"/>
                    </w:rPr>
                    <w:t>定点收集后送环卫部门统一清运处理</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150" w:hRule="atLeast"/>
              </w:trPr>
              <w:tc>
                <w:tcPr>
                  <w:tcW w:w="1133" w:type="dxa"/>
                  <w:vMerge w:val="continue"/>
                  <w:tcBorders>
                    <w:left w:val="nil"/>
                    <w:bottom w:val="nil"/>
                    <w:right w:val="single" w:color="auto" w:sz="2" w:space="0"/>
                  </w:tcBorders>
                  <w:tcMar>
                    <w:top w:w="15" w:type="dxa"/>
                    <w:left w:w="15" w:type="dxa"/>
                    <w:bottom w:w="0" w:type="dxa"/>
                    <w:right w:w="15" w:type="dxa"/>
                  </w:tcMar>
                  <w:vAlign w:val="center"/>
                </w:tcPr>
                <w:p>
                  <w:pPr>
                    <w:pStyle w:val="161"/>
                    <w:bidi w:val="0"/>
                  </w:pPr>
                </w:p>
              </w:tc>
              <w:tc>
                <w:tcPr>
                  <w:tcW w:w="709" w:type="dxa"/>
                  <w:vMerge w:val="continue"/>
                  <w:tcBorders>
                    <w:top w:val="single" w:color="auto" w:sz="2" w:space="0"/>
                    <w:left w:val="single" w:color="auto" w:sz="2" w:space="0"/>
                    <w:bottom w:val="single" w:color="auto" w:sz="2" w:space="0"/>
                    <w:right w:val="single" w:color="auto" w:sz="2" w:space="0"/>
                  </w:tcBorders>
                  <w:tcMar>
                    <w:top w:w="15" w:type="dxa"/>
                    <w:left w:w="15" w:type="dxa"/>
                    <w:bottom w:w="0" w:type="dxa"/>
                    <w:right w:w="15" w:type="dxa"/>
                  </w:tcMar>
                  <w:vAlign w:val="center"/>
                </w:tcPr>
                <w:p>
                  <w:pPr>
                    <w:pStyle w:val="161"/>
                    <w:bidi w:val="0"/>
                  </w:pPr>
                </w:p>
              </w:tc>
              <w:tc>
                <w:tcPr>
                  <w:tcW w:w="3119" w:type="dxa"/>
                  <w:gridSpan w:val="2"/>
                  <w:tcBorders>
                    <w:top w:val="single" w:color="auto" w:sz="2" w:space="0"/>
                    <w:left w:val="single" w:color="auto" w:sz="2" w:space="0"/>
                    <w:bottom w:val="single" w:color="auto" w:sz="2" w:space="0"/>
                    <w:right w:val="single" w:color="auto" w:sz="2" w:space="0"/>
                  </w:tcBorders>
                  <w:vAlign w:val="center"/>
                </w:tcPr>
                <w:p>
                  <w:pPr>
                    <w:pStyle w:val="161"/>
                    <w:bidi w:val="0"/>
                    <w:rPr>
                      <w:rFonts w:hint="eastAsia" w:eastAsia="宋体"/>
                      <w:lang w:eastAsia="zh-CN"/>
                    </w:rPr>
                  </w:pPr>
                  <w:r>
                    <w:rPr>
                      <w:rFonts w:hint="eastAsia" w:eastAsia="宋体"/>
                      <w:lang w:eastAsia="zh-CN"/>
                    </w:rPr>
                    <w:t>废石废渣</w:t>
                  </w:r>
                </w:p>
              </w:tc>
              <w:tc>
                <w:tcPr>
                  <w:tcW w:w="2269" w:type="dxa"/>
                  <w:tcBorders>
                    <w:top w:val="single" w:color="auto" w:sz="2" w:space="0"/>
                    <w:left w:val="single" w:color="auto" w:sz="2" w:space="0"/>
                    <w:bottom w:val="single" w:color="auto" w:sz="2" w:space="0"/>
                    <w:right w:val="single" w:color="auto" w:sz="4" w:space="0"/>
                  </w:tcBorders>
                  <w:vAlign w:val="center"/>
                </w:tcPr>
                <w:p>
                  <w:pPr>
                    <w:pStyle w:val="161"/>
                    <w:bidi w:val="0"/>
                    <w:rPr>
                      <w:lang w:val="en-US" w:eastAsia="zh-CN"/>
                    </w:rPr>
                  </w:pPr>
                  <w:r>
                    <w:rPr>
                      <w:rFonts w:hint="eastAsia"/>
                      <w:lang w:val="en-US" w:eastAsia="zh-CN"/>
                    </w:rPr>
                    <w:t>/</w:t>
                  </w:r>
                </w:p>
              </w:tc>
              <w:tc>
                <w:tcPr>
                  <w:tcW w:w="2059" w:type="dxa"/>
                  <w:gridSpan w:val="2"/>
                  <w:tcBorders>
                    <w:top w:val="single" w:color="auto" w:sz="2" w:space="0"/>
                    <w:left w:val="single" w:color="auto" w:sz="4" w:space="0"/>
                    <w:bottom w:val="single" w:color="auto" w:sz="2" w:space="0"/>
                    <w:right w:val="nil"/>
                  </w:tcBorders>
                  <w:vAlign w:val="center"/>
                </w:tcPr>
                <w:p>
                  <w:pPr>
                    <w:pStyle w:val="161"/>
                    <w:bidi w:val="0"/>
                  </w:pPr>
                  <w:r>
                    <w:rPr>
                      <w:rFonts w:hint="eastAsia"/>
                    </w:rPr>
                    <w:t>建筑垃圾</w:t>
                  </w:r>
                  <w:r>
                    <w:rPr>
                      <w:rFonts w:hint="eastAsia" w:eastAsia="宋体"/>
                      <w:lang w:eastAsia="zh-CN"/>
                    </w:rPr>
                    <w:t>综合利用</w:t>
                  </w:r>
                  <w:r>
                    <w:rPr>
                      <w:rFonts w:hint="eastAsia"/>
                    </w:rPr>
                    <w:t>，剩余</w:t>
                  </w:r>
                  <w:r>
                    <w:rPr>
                      <w:rFonts w:hint="eastAsia" w:eastAsia="宋体"/>
                      <w:lang w:eastAsia="zh-CN"/>
                    </w:rPr>
                    <w:t>不可利用</w:t>
                  </w:r>
                  <w:r>
                    <w:rPr>
                      <w:rFonts w:hint="eastAsia"/>
                    </w:rPr>
                    <w:t>部分堆放达一定量时应及时清运到指定的建筑垃圾场处理</w:t>
                  </w:r>
                </w:p>
              </w:tc>
            </w:tr>
            <w:tr>
              <w:tblPrEx>
                <w:tblBorders>
                  <w:top w:val="single" w:color="auto" w:sz="12" w:space="0"/>
                  <w:left w:val="none" w:color="auto" w:sz="0" w:space="0"/>
                  <w:bottom w:val="single" w:color="000000"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74" w:hRule="atLeast"/>
              </w:trPr>
              <w:tc>
                <w:tcPr>
                  <w:tcW w:w="1133" w:type="dxa"/>
                  <w:vMerge w:val="continue"/>
                  <w:tcBorders>
                    <w:left w:val="nil"/>
                    <w:right w:val="single" w:color="auto" w:sz="2" w:space="0"/>
                  </w:tcBorders>
                  <w:tcMar>
                    <w:top w:w="15" w:type="dxa"/>
                    <w:left w:w="15" w:type="dxa"/>
                    <w:bottom w:w="0" w:type="dxa"/>
                    <w:right w:w="15" w:type="dxa"/>
                  </w:tcMar>
                  <w:vAlign w:val="center"/>
                </w:tcPr>
                <w:p>
                  <w:pPr>
                    <w:pStyle w:val="161"/>
                    <w:bidi w:val="0"/>
                  </w:pPr>
                </w:p>
              </w:tc>
              <w:tc>
                <w:tcPr>
                  <w:tcW w:w="709" w:type="dxa"/>
                  <w:tcBorders>
                    <w:top w:val="single" w:color="auto" w:sz="4" w:space="0"/>
                    <w:left w:val="single" w:color="auto" w:sz="2" w:space="0"/>
                    <w:right w:val="single" w:color="auto" w:sz="2" w:space="0"/>
                  </w:tcBorders>
                  <w:tcMar>
                    <w:top w:w="15" w:type="dxa"/>
                    <w:left w:w="15" w:type="dxa"/>
                    <w:bottom w:w="0" w:type="dxa"/>
                    <w:right w:w="15" w:type="dxa"/>
                  </w:tcMar>
                  <w:vAlign w:val="center"/>
                </w:tcPr>
                <w:p>
                  <w:pPr>
                    <w:pStyle w:val="161"/>
                    <w:bidi w:val="0"/>
                  </w:pPr>
                  <w:r>
                    <w:t>运营期</w:t>
                  </w:r>
                </w:p>
              </w:tc>
              <w:tc>
                <w:tcPr>
                  <w:tcW w:w="3119" w:type="dxa"/>
                  <w:gridSpan w:val="2"/>
                  <w:tcBorders>
                    <w:top w:val="single" w:color="auto" w:sz="2" w:space="0"/>
                    <w:left w:val="single" w:color="auto" w:sz="2" w:space="0"/>
                    <w:right w:val="single" w:color="auto" w:sz="2" w:space="0"/>
                  </w:tcBorders>
                  <w:vAlign w:val="center"/>
                </w:tcPr>
                <w:p>
                  <w:pPr>
                    <w:pStyle w:val="161"/>
                    <w:bidi w:val="0"/>
                  </w:pPr>
                  <w:r>
                    <w:rPr>
                      <w:rFonts w:hint="eastAsia"/>
                    </w:rPr>
                    <w:t>生活垃圾</w:t>
                  </w:r>
                </w:p>
              </w:tc>
              <w:tc>
                <w:tcPr>
                  <w:tcW w:w="2269" w:type="dxa"/>
                  <w:tcBorders>
                    <w:top w:val="single" w:color="auto" w:sz="2" w:space="0"/>
                    <w:left w:val="single" w:color="auto" w:sz="2" w:space="0"/>
                    <w:right w:val="single" w:color="auto" w:sz="2" w:space="0"/>
                  </w:tcBorders>
                  <w:vAlign w:val="center"/>
                </w:tcPr>
                <w:p>
                  <w:pPr>
                    <w:pStyle w:val="161"/>
                    <w:bidi w:val="0"/>
                    <w:rPr>
                      <w:lang w:val="en-US" w:eastAsia="zh-CN"/>
                    </w:rPr>
                  </w:pPr>
                  <w:r>
                    <w:rPr>
                      <w:rFonts w:hint="eastAsia"/>
                      <w:lang w:val="en-US" w:eastAsia="zh-CN"/>
                    </w:rPr>
                    <w:t>2</w:t>
                  </w:r>
                  <w:r>
                    <w:rPr>
                      <w:lang w:val="en-US" w:eastAsia="zh-CN"/>
                    </w:rPr>
                    <w:t>t/a</w:t>
                  </w:r>
                </w:p>
              </w:tc>
              <w:tc>
                <w:tcPr>
                  <w:tcW w:w="2059" w:type="dxa"/>
                  <w:gridSpan w:val="2"/>
                  <w:tcBorders>
                    <w:top w:val="single" w:color="auto" w:sz="2" w:space="0"/>
                    <w:left w:val="single" w:color="auto" w:sz="2" w:space="0"/>
                    <w:right w:val="nil"/>
                  </w:tcBorders>
                  <w:vAlign w:val="center"/>
                </w:tcPr>
                <w:p>
                  <w:pPr>
                    <w:pStyle w:val="161"/>
                    <w:bidi w:val="0"/>
                  </w:pPr>
                  <w:r>
                    <w:rPr>
                      <w:rFonts w:hint="eastAsia"/>
                    </w:rPr>
                    <w:t>交由当地环卫部门统一处理</w:t>
                  </w:r>
                </w:p>
              </w:tc>
            </w:tr>
            <w:bookmarkEnd w:id="20"/>
          </w:tbl>
          <w:p>
            <w:pPr>
              <w:spacing w:line="360" w:lineRule="auto"/>
              <w:jc w:val="left"/>
              <w:rPr>
                <w:rFonts w:eastAsiaTheme="minorEastAsia"/>
                <w:b/>
                <w:sz w:val="24"/>
              </w:rPr>
            </w:pPr>
            <w:r>
              <w:rPr>
                <w:rFonts w:eastAsiaTheme="minorEastAsia"/>
                <w:b/>
                <w:sz w:val="24"/>
              </w:rPr>
              <w:t>主要生态影响</w:t>
            </w:r>
          </w:p>
          <w:p>
            <w:pPr>
              <w:spacing w:line="360" w:lineRule="auto"/>
              <w:ind w:firstLine="482" w:firstLineChars="200"/>
              <w:rPr>
                <w:rFonts w:eastAsiaTheme="minorEastAsia"/>
                <w:b/>
                <w:sz w:val="24"/>
              </w:rPr>
            </w:pPr>
            <w:r>
              <w:rPr>
                <w:rFonts w:hint="eastAsia" w:eastAsiaTheme="minorEastAsia"/>
                <w:b/>
                <w:sz w:val="24"/>
              </w:rPr>
              <w:t>一、施工期生态影响分析</w:t>
            </w:r>
          </w:p>
          <w:p>
            <w:pPr>
              <w:spacing w:line="360" w:lineRule="auto"/>
              <w:ind w:firstLine="480" w:firstLineChars="200"/>
              <w:rPr>
                <w:rFonts w:eastAsiaTheme="minorEastAsia"/>
                <w:sz w:val="24"/>
              </w:rPr>
            </w:pPr>
            <w:r>
              <w:rPr>
                <w:rFonts w:hint="eastAsia" w:eastAsiaTheme="minorEastAsia"/>
                <w:sz w:val="24"/>
              </w:rPr>
              <w:t>1、对土地利用的影响</w:t>
            </w:r>
          </w:p>
          <w:p>
            <w:pPr>
              <w:spacing w:line="360" w:lineRule="auto"/>
              <w:ind w:firstLine="480" w:firstLineChars="200"/>
              <w:rPr>
                <w:rFonts w:eastAsiaTheme="minorEastAsia"/>
                <w:sz w:val="24"/>
              </w:rPr>
            </w:pPr>
            <w:r>
              <w:rPr>
                <w:rFonts w:hint="eastAsia" w:eastAsiaTheme="minorEastAsia"/>
                <w:sz w:val="24"/>
              </w:rPr>
              <w:t>施工期对土地利用的影响主要是施工占地，</w:t>
            </w:r>
            <w:r>
              <w:rPr>
                <w:rFonts w:hint="eastAsia" w:eastAsiaTheme="minorEastAsia"/>
                <w:sz w:val="24"/>
                <w:lang w:eastAsia="zh-CN"/>
              </w:rPr>
              <w:t>该建设场地现为自然边坡，场地南北方向需向边坡内开挖约100m，东西方向向边坡内开挖约60m。拟建场地位于S306省道西侧，原始地形坡度30%～50%，坡面长有杂草及矮树丛，主要为旱地。</w:t>
            </w:r>
            <w:r>
              <w:rPr>
                <w:rFonts w:hint="eastAsia" w:eastAsiaTheme="minorEastAsia"/>
                <w:sz w:val="24"/>
              </w:rPr>
              <w:t>该部分建设内容规模均较小，对土地利用格局影响较小。</w:t>
            </w:r>
          </w:p>
          <w:p>
            <w:pPr>
              <w:spacing w:line="360" w:lineRule="auto"/>
              <w:ind w:firstLine="480" w:firstLineChars="200"/>
              <w:rPr>
                <w:rFonts w:eastAsiaTheme="minorEastAsia"/>
                <w:sz w:val="24"/>
              </w:rPr>
            </w:pPr>
            <w:r>
              <w:rPr>
                <w:rFonts w:hint="eastAsia" w:eastAsiaTheme="minorEastAsia"/>
                <w:sz w:val="24"/>
              </w:rPr>
              <w:t>2、对植被的影响</w:t>
            </w:r>
          </w:p>
          <w:p>
            <w:pPr>
              <w:spacing w:line="360" w:lineRule="auto"/>
              <w:ind w:firstLine="480" w:firstLineChars="200"/>
              <w:rPr>
                <w:rFonts w:eastAsiaTheme="minorEastAsia"/>
                <w:sz w:val="24"/>
              </w:rPr>
            </w:pPr>
            <w:r>
              <w:rPr>
                <w:rFonts w:hint="eastAsia" w:eastAsiaTheme="minorEastAsia"/>
                <w:sz w:val="24"/>
              </w:rPr>
              <w:t>工程施工占地将完全损毁原有的植被，其地表植物将全部被毁，但由于面积有限，不会阻断物种基因的交流，不会导致任何植物种的消失。</w:t>
            </w:r>
          </w:p>
          <w:p>
            <w:pPr>
              <w:spacing w:line="360" w:lineRule="auto"/>
              <w:ind w:firstLine="480" w:firstLineChars="200"/>
              <w:rPr>
                <w:rFonts w:eastAsiaTheme="minorEastAsia"/>
                <w:sz w:val="24"/>
              </w:rPr>
            </w:pPr>
            <w:r>
              <w:rPr>
                <w:rFonts w:hint="eastAsia" w:eastAsiaTheme="minorEastAsia"/>
                <w:sz w:val="24"/>
              </w:rPr>
              <w:t>施工人员施工过程中可能会践踏施工沿线周围的草本植物，施工区邻近区域的植被也将受到一定程度的损毁，如施工道路的建设等。</w:t>
            </w:r>
          </w:p>
          <w:p>
            <w:pPr>
              <w:spacing w:line="360" w:lineRule="auto"/>
              <w:ind w:firstLine="480" w:firstLineChars="200"/>
              <w:rPr>
                <w:rFonts w:eastAsiaTheme="minorEastAsia"/>
                <w:sz w:val="24"/>
              </w:rPr>
            </w:pPr>
            <w:r>
              <w:rPr>
                <w:rFonts w:hint="eastAsia" w:eastAsiaTheme="minorEastAsia"/>
                <w:sz w:val="24"/>
              </w:rPr>
              <w:t>3、施工期水土流失</w:t>
            </w:r>
          </w:p>
          <w:p>
            <w:pPr>
              <w:spacing w:line="360" w:lineRule="auto"/>
              <w:ind w:firstLine="480" w:firstLineChars="200"/>
              <w:rPr>
                <w:rFonts w:eastAsiaTheme="minorEastAsia"/>
                <w:sz w:val="24"/>
              </w:rPr>
            </w:pPr>
            <w:r>
              <w:rPr>
                <w:rFonts w:hint="eastAsia" w:eastAsiaTheme="minorEastAsia"/>
                <w:sz w:val="24"/>
              </w:rPr>
              <w:t>工程施工将导致施工区裸地的增加，破坏区域植被，导致区域水土保持能力一定程度的下降，从而增加区域水土流失量。</w:t>
            </w:r>
          </w:p>
          <w:p>
            <w:pPr>
              <w:spacing w:line="360" w:lineRule="auto"/>
              <w:ind w:firstLine="480" w:firstLineChars="200"/>
              <w:rPr>
                <w:rFonts w:eastAsiaTheme="minorEastAsia"/>
                <w:sz w:val="24"/>
              </w:rPr>
            </w:pPr>
            <w:r>
              <w:rPr>
                <w:rFonts w:hint="eastAsia" w:eastAsiaTheme="minorEastAsia"/>
                <w:sz w:val="24"/>
              </w:rPr>
              <w:t>4、对动物的影响</w:t>
            </w:r>
          </w:p>
          <w:p>
            <w:pPr>
              <w:spacing w:line="360" w:lineRule="auto"/>
              <w:ind w:firstLine="480" w:firstLineChars="200"/>
              <w:rPr>
                <w:rFonts w:eastAsiaTheme="minorEastAsia"/>
                <w:sz w:val="24"/>
              </w:rPr>
            </w:pPr>
            <w:r>
              <w:rPr>
                <w:rFonts w:hint="eastAsia" w:eastAsiaTheme="minorEastAsia"/>
                <w:sz w:val="24"/>
              </w:rPr>
              <w:t>工程施工期间将破坏地表植被，产生施工噪声，区域周边动物将遭受惊吓，从而选择远离项目施工区域，不会导致动物灭绝。</w:t>
            </w:r>
          </w:p>
          <w:p>
            <w:pPr>
              <w:spacing w:line="360" w:lineRule="auto"/>
              <w:ind w:firstLine="480" w:firstLineChars="200"/>
              <w:rPr>
                <w:rFonts w:eastAsiaTheme="minorEastAsia"/>
                <w:sz w:val="24"/>
              </w:rPr>
            </w:pPr>
            <w:r>
              <w:rPr>
                <w:rFonts w:hint="eastAsia" w:eastAsiaTheme="minorEastAsia"/>
                <w:sz w:val="24"/>
              </w:rPr>
              <w:t>施工期生态环境影响主要体现在：改变区域土地利用现状、破坏区域植被、惊吓区域内动物、水土流失。</w:t>
            </w:r>
          </w:p>
          <w:p>
            <w:pPr>
              <w:spacing w:line="360" w:lineRule="auto"/>
              <w:ind w:firstLine="482" w:firstLineChars="200"/>
              <w:rPr>
                <w:rFonts w:eastAsiaTheme="minorEastAsia"/>
                <w:b/>
                <w:sz w:val="24"/>
              </w:rPr>
            </w:pPr>
            <w:r>
              <w:rPr>
                <w:rFonts w:hint="eastAsia" w:eastAsiaTheme="minorEastAsia"/>
                <w:b/>
                <w:sz w:val="24"/>
              </w:rPr>
              <w:t>二、运营期生态影响分析</w:t>
            </w:r>
          </w:p>
          <w:p>
            <w:pPr>
              <w:pStyle w:val="97"/>
              <w:bidi w:val="0"/>
              <w:rPr>
                <w:rFonts w:eastAsiaTheme="minorEastAsia"/>
              </w:rPr>
            </w:pPr>
            <w:r>
              <w:rPr>
                <w:rFonts w:hint="eastAsia"/>
                <w:lang w:val="en-US" w:eastAsia="zh-CN"/>
              </w:rPr>
              <w:t>本项目所在区域距离峨边县城4km，属于城市周边位置，生物多样性较低，区域生态系统敏感程度较低。因此，本项目建设区域内无天然珍稀野生动植物及古、大、珍、奇树木分布，不涉及自然保护区、风景名胜区、文物古迹、饮用水源保护区等环境敏感点。本项目运营期不会对区域生态环境造成破坏，废水、废气等污染物经相应的治理措施处理后，不会对周边的环境造成大的影响。因此，本项目的建设对生态环境的影响甚微。</w:t>
            </w:r>
          </w:p>
        </w:tc>
      </w:tr>
    </w:tbl>
    <w:p>
      <w:pPr>
        <w:pStyle w:val="4"/>
        <w:spacing w:before="0" w:after="0" w:line="240" w:lineRule="auto"/>
        <w:rPr>
          <w:rFonts w:ascii="Times New Roman" w:hAnsi="Times New Roman" w:eastAsiaTheme="minorEastAsia"/>
        </w:rPr>
      </w:pPr>
      <w:r>
        <w:rPr>
          <w:rFonts w:ascii="Times New Roman" w:hAnsi="Times New Roman" w:eastAsiaTheme="minorEastAsia"/>
          <w:b w:val="0"/>
          <w:sz w:val="30"/>
        </w:rPr>
        <w:br w:type="page"/>
      </w:r>
      <w:bookmarkStart w:id="24" w:name="_Toc165893214"/>
      <w:r>
        <w:rPr>
          <w:rFonts w:ascii="Times New Roman" w:hAnsi="Times New Roman" w:eastAsiaTheme="minorEastAsia"/>
        </w:rPr>
        <w:t>环境影响分析</w:t>
      </w:r>
      <w:bookmarkEnd w:id="24"/>
      <w:r>
        <w:rPr>
          <w:rFonts w:ascii="Times New Roman" w:hAnsi="Times New Roman" w:eastAsiaTheme="minorEastAsia"/>
        </w:rPr>
        <w:t xml:space="preserve">                                    （表七）</w:t>
      </w:r>
      <w:bookmarkStart w:id="25" w:name="_Toc165893217"/>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0" w:hRule="atLeast"/>
        </w:trPr>
        <w:tc>
          <w:tcPr>
            <w:tcW w:w="9286" w:type="dxa"/>
          </w:tcPr>
          <w:p>
            <w:pPr>
              <w:spacing w:line="360" w:lineRule="auto"/>
              <w:rPr>
                <w:rFonts w:eastAsiaTheme="minorEastAsia"/>
                <w:sz w:val="28"/>
                <w:szCs w:val="28"/>
              </w:rPr>
            </w:pPr>
            <w:bookmarkStart w:id="26" w:name="_Toc165893215"/>
            <w:r>
              <w:rPr>
                <w:rStyle w:val="64"/>
                <w:rFonts w:ascii="Times New Roman" w:hAnsi="Times New Roman" w:eastAsiaTheme="minorEastAsia"/>
                <w:sz w:val="28"/>
                <w:szCs w:val="30"/>
              </w:rPr>
              <w:t>一、施工期环境影响分析</w:t>
            </w:r>
            <w:bookmarkEnd w:id="26"/>
          </w:p>
          <w:p>
            <w:pPr>
              <w:spacing w:line="360" w:lineRule="auto"/>
              <w:ind w:firstLine="482" w:firstLineChars="200"/>
              <w:rPr>
                <w:rFonts w:eastAsiaTheme="minorEastAsia"/>
                <w:b/>
                <w:sz w:val="24"/>
              </w:rPr>
            </w:pPr>
            <w:r>
              <w:rPr>
                <w:rFonts w:eastAsiaTheme="minorEastAsia"/>
                <w:b/>
                <w:sz w:val="24"/>
              </w:rPr>
              <w:t>1、大气环境影响分析</w:t>
            </w:r>
          </w:p>
          <w:p>
            <w:pPr>
              <w:pStyle w:val="25"/>
              <w:autoSpaceDE w:val="0"/>
              <w:autoSpaceDN w:val="0"/>
              <w:adjustRightInd w:val="0"/>
              <w:spacing w:before="0" w:beforeAutospacing="0" w:after="0" w:afterAutospacing="0" w:line="360" w:lineRule="auto"/>
              <w:ind w:firstLine="480" w:firstLineChars="200"/>
              <w:jc w:val="both"/>
              <w:rPr>
                <w:rFonts w:hint="eastAsia" w:ascii="Times New Roman" w:hAnsi="Times New Roman" w:eastAsiaTheme="minorEastAsia"/>
              </w:rPr>
            </w:pPr>
            <w:r>
              <w:rPr>
                <w:rFonts w:hint="eastAsia" w:ascii="Times New Roman" w:hAnsi="Times New Roman" w:eastAsiaTheme="minorEastAsia"/>
              </w:rPr>
              <w:t>在不同的施工阶段，施工过程中主要大气污染源的排放情况见表 7-1。从表中可知，施工期的主要污染因子是扬尘，不同施工阶段产生扬尘的环节较多，且大多数排放源扬尘排放的持续时间较长。</w:t>
            </w:r>
          </w:p>
          <w:p>
            <w:pPr>
              <w:pStyle w:val="195"/>
              <w:bidi w:val="0"/>
              <w:rPr>
                <w:rFonts w:hint="eastAsia"/>
              </w:rPr>
            </w:pPr>
            <w:r>
              <w:rPr>
                <w:rFonts w:hint="eastAsia"/>
              </w:rPr>
              <w:t>表 7-1</w:t>
            </w:r>
            <w:r>
              <w:rPr>
                <w:rFonts w:hint="eastAsia"/>
              </w:rPr>
              <w:tab/>
            </w:r>
            <w:r>
              <w:rPr>
                <w:rFonts w:hint="eastAsia"/>
              </w:rPr>
              <w:t>不同施工阶段主要大气污染源及污染物排放情况</w:t>
            </w:r>
          </w:p>
          <w:tbl>
            <w:tblPr>
              <w:tblStyle w:val="2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9"/>
              <w:gridCol w:w="4250"/>
              <w:gridCol w:w="32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865" w:type="pct"/>
                  <w:tcBorders>
                    <w:top w:val="single" w:color="000000" w:sz="12" w:space="0"/>
                    <w:left w:val="nil"/>
                    <w:bottom w:val="single" w:color="000000" w:sz="6" w:space="0"/>
                    <w:right w:val="single" w:color="000000" w:sz="6" w:space="0"/>
                    <w:tl2br w:val="nil"/>
                    <w:tr2bl w:val="nil"/>
                  </w:tcBorders>
                  <w:noWrap w:val="0"/>
                  <w:vAlign w:val="center"/>
                </w:tcPr>
                <w:p>
                  <w:pPr>
                    <w:pStyle w:val="193"/>
                    <w:bidi w:val="0"/>
                    <w:jc w:val="center"/>
                    <w:rPr>
                      <w:rFonts w:hint="eastAsia"/>
                    </w:rPr>
                  </w:pPr>
                  <w:r>
                    <w:rPr>
                      <w:rFonts w:hint="eastAsia"/>
                    </w:rPr>
                    <w:t>施工阶段</w:t>
                  </w:r>
                </w:p>
              </w:tc>
              <w:tc>
                <w:tcPr>
                  <w:tcW w:w="2343" w:type="pct"/>
                  <w:tcBorders>
                    <w:top w:val="single" w:color="000000" w:sz="12" w:space="0"/>
                    <w:left w:val="single" w:color="000000" w:sz="6" w:space="0"/>
                    <w:bottom w:val="single" w:color="000000" w:sz="6" w:space="0"/>
                    <w:right w:val="single" w:color="000000" w:sz="6" w:space="0"/>
                    <w:tl2br w:val="nil"/>
                    <w:tr2bl w:val="nil"/>
                  </w:tcBorders>
                  <w:noWrap w:val="0"/>
                  <w:vAlign w:val="center"/>
                </w:tcPr>
                <w:p>
                  <w:pPr>
                    <w:pStyle w:val="193"/>
                    <w:bidi w:val="0"/>
                    <w:jc w:val="center"/>
                    <w:rPr>
                      <w:rFonts w:hint="eastAsia"/>
                    </w:rPr>
                  </w:pPr>
                  <w:r>
                    <w:rPr>
                      <w:rFonts w:hint="eastAsia"/>
                    </w:rPr>
                    <w:t>主要污染源</w:t>
                  </w:r>
                </w:p>
              </w:tc>
              <w:tc>
                <w:tcPr>
                  <w:tcW w:w="1790" w:type="pct"/>
                  <w:tcBorders>
                    <w:top w:val="single" w:color="000000" w:sz="12" w:space="0"/>
                    <w:left w:val="single" w:color="000000" w:sz="6" w:space="0"/>
                    <w:bottom w:val="single" w:color="000000" w:sz="6" w:space="0"/>
                    <w:right w:val="nil"/>
                    <w:tl2br w:val="nil"/>
                    <w:tr2bl w:val="nil"/>
                  </w:tcBorders>
                  <w:noWrap w:val="0"/>
                  <w:vAlign w:val="center"/>
                </w:tcPr>
                <w:p>
                  <w:pPr>
                    <w:pStyle w:val="193"/>
                    <w:bidi w:val="0"/>
                    <w:jc w:val="center"/>
                    <w:rPr>
                      <w:rFonts w:hint="eastAsia"/>
                    </w:rPr>
                  </w:pPr>
                  <w:r>
                    <w:rPr>
                      <w:rFonts w:hint="eastAsia"/>
                    </w:rPr>
                    <w:t>主要污染物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865" w:type="pct"/>
                  <w:vMerge w:val="restart"/>
                  <w:tcBorders>
                    <w:top w:val="single" w:color="000000" w:sz="6" w:space="0"/>
                    <w:left w:val="nil"/>
                    <w:bottom w:val="single" w:color="000000" w:sz="6" w:space="0"/>
                    <w:right w:val="single" w:color="000000" w:sz="6" w:space="0"/>
                    <w:tl2br w:val="nil"/>
                    <w:tr2bl w:val="nil"/>
                  </w:tcBorders>
                  <w:noWrap w:val="0"/>
                  <w:vAlign w:val="center"/>
                </w:tcPr>
                <w:p>
                  <w:pPr>
                    <w:pStyle w:val="193"/>
                    <w:bidi w:val="0"/>
                    <w:jc w:val="center"/>
                    <w:rPr>
                      <w:rFonts w:hint="eastAsia"/>
                    </w:rPr>
                  </w:pPr>
                </w:p>
                <w:p>
                  <w:pPr>
                    <w:pStyle w:val="193"/>
                    <w:bidi w:val="0"/>
                    <w:jc w:val="center"/>
                    <w:rPr>
                      <w:rFonts w:hint="eastAsia"/>
                    </w:rPr>
                  </w:pPr>
                  <w:r>
                    <w:rPr>
                      <w:rFonts w:hint="eastAsia"/>
                    </w:rPr>
                    <w:t>挖土阶段</w:t>
                  </w:r>
                </w:p>
              </w:tc>
              <w:tc>
                <w:tcPr>
                  <w:tcW w:w="234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193"/>
                    <w:bidi w:val="0"/>
                    <w:jc w:val="center"/>
                    <w:rPr>
                      <w:rFonts w:hint="eastAsia"/>
                    </w:rPr>
                  </w:pPr>
                  <w:r>
                    <w:rPr>
                      <w:rFonts w:hint="eastAsia"/>
                    </w:rPr>
                    <w:t>裸露地面、土方堆场、土方装卸过程</w:t>
                  </w:r>
                </w:p>
              </w:tc>
              <w:tc>
                <w:tcPr>
                  <w:tcW w:w="1790" w:type="pct"/>
                  <w:tcBorders>
                    <w:top w:val="single" w:color="000000" w:sz="6" w:space="0"/>
                    <w:left w:val="single" w:color="000000" w:sz="6" w:space="0"/>
                    <w:bottom w:val="single" w:color="000000" w:sz="6" w:space="0"/>
                    <w:right w:val="nil"/>
                    <w:tl2br w:val="nil"/>
                    <w:tr2bl w:val="nil"/>
                  </w:tcBorders>
                  <w:noWrap w:val="0"/>
                  <w:vAlign w:val="center"/>
                </w:tcPr>
                <w:p>
                  <w:pPr>
                    <w:pStyle w:val="193"/>
                    <w:bidi w:val="0"/>
                    <w:jc w:val="center"/>
                    <w:rPr>
                      <w:rFonts w:hint="eastAsia"/>
                    </w:rPr>
                  </w:pPr>
                  <w:r>
                    <w:rPr>
                      <w:rFonts w:hint="eastAsia"/>
                    </w:rPr>
                    <w:t>扬尘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865" w:type="pct"/>
                  <w:vMerge w:val="continue"/>
                  <w:tcBorders>
                    <w:top w:val="nil"/>
                    <w:left w:val="nil"/>
                    <w:bottom w:val="single" w:color="000000" w:sz="6" w:space="0"/>
                    <w:right w:val="single" w:color="000000" w:sz="6" w:space="0"/>
                    <w:tl2br w:val="nil"/>
                    <w:tr2bl w:val="nil"/>
                  </w:tcBorders>
                  <w:noWrap w:val="0"/>
                  <w:vAlign w:val="center"/>
                </w:tcPr>
                <w:p>
                  <w:pPr>
                    <w:pStyle w:val="193"/>
                    <w:bidi w:val="0"/>
                    <w:jc w:val="center"/>
                    <w:rPr>
                      <w:rFonts w:hint="eastAsia"/>
                    </w:rPr>
                  </w:pPr>
                </w:p>
              </w:tc>
              <w:tc>
                <w:tcPr>
                  <w:tcW w:w="234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193"/>
                    <w:bidi w:val="0"/>
                    <w:jc w:val="center"/>
                    <w:rPr>
                      <w:rFonts w:hint="eastAsia"/>
                    </w:rPr>
                  </w:pPr>
                  <w:r>
                    <w:rPr>
                      <w:rFonts w:hint="eastAsia"/>
                    </w:rPr>
                    <w:t>运输卡车等</w:t>
                  </w:r>
                </w:p>
              </w:tc>
              <w:tc>
                <w:tcPr>
                  <w:tcW w:w="1790" w:type="pct"/>
                  <w:tcBorders>
                    <w:top w:val="single" w:color="000000" w:sz="6" w:space="0"/>
                    <w:left w:val="single" w:color="000000" w:sz="6" w:space="0"/>
                    <w:bottom w:val="single" w:color="000000" w:sz="6" w:space="0"/>
                    <w:right w:val="nil"/>
                    <w:tl2br w:val="nil"/>
                    <w:tr2bl w:val="nil"/>
                  </w:tcBorders>
                  <w:noWrap w:val="0"/>
                  <w:vAlign w:val="center"/>
                </w:tcPr>
                <w:p>
                  <w:pPr>
                    <w:pStyle w:val="193"/>
                    <w:bidi w:val="0"/>
                    <w:jc w:val="center"/>
                    <w:rPr>
                      <w:rFonts w:hint="eastAsia"/>
                    </w:rPr>
                  </w:pPr>
                  <w:r>
                    <w:rPr>
                      <w:rFonts w:hint="default" w:ascii="Times New Roman" w:hAnsi="Times New Roman" w:cs="Times New Roman"/>
                    </w:rPr>
                    <w:t>NOx、CO、</w:t>
                  </w:r>
                  <w:r>
                    <w:rPr>
                      <w:rFonts w:hint="default" w:ascii="Times New Roman" w:hAnsi="Times New Roman" w:cs="Times New Roman"/>
                      <w:lang w:val="en-US" w:eastAsia="zh-CN"/>
                    </w:rPr>
                    <w:t>T</w:t>
                  </w:r>
                  <w:r>
                    <w:rPr>
                      <w:rFonts w:hint="default" w:ascii="Times New Roman" w:hAnsi="Times New Roman" w:cs="Times New Roman"/>
                    </w:rPr>
                    <w:t>HC</w:t>
                  </w:r>
                  <w:r>
                    <w:rPr>
                      <w:rFonts w:hint="default"/>
                    </w:rPr>
                    <w:t xml:space="preserve"> </w:t>
                  </w:r>
                  <w:r>
                    <w:rPr>
                      <w:rFonts w:hint="eastAsia"/>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trPr>
              <w:tc>
                <w:tcPr>
                  <w:tcW w:w="865" w:type="pct"/>
                  <w:vMerge w:val="restart"/>
                  <w:tcBorders>
                    <w:top w:val="single" w:color="000000" w:sz="6" w:space="0"/>
                    <w:left w:val="nil"/>
                    <w:bottom w:val="single" w:color="000000" w:sz="6" w:space="0"/>
                    <w:right w:val="single" w:color="000000" w:sz="6" w:space="0"/>
                    <w:tl2br w:val="nil"/>
                    <w:tr2bl w:val="nil"/>
                  </w:tcBorders>
                  <w:noWrap w:val="0"/>
                  <w:vAlign w:val="center"/>
                </w:tcPr>
                <w:p>
                  <w:pPr>
                    <w:pStyle w:val="193"/>
                    <w:bidi w:val="0"/>
                    <w:ind w:left="0" w:leftChars="0" w:firstLine="0" w:firstLineChars="0"/>
                    <w:jc w:val="center"/>
                    <w:rPr>
                      <w:rFonts w:hint="eastAsia"/>
                    </w:rPr>
                  </w:pPr>
                </w:p>
                <w:p>
                  <w:pPr>
                    <w:pStyle w:val="193"/>
                    <w:bidi w:val="0"/>
                    <w:jc w:val="center"/>
                    <w:rPr>
                      <w:rFonts w:hint="eastAsia"/>
                    </w:rPr>
                  </w:pPr>
                  <w:r>
                    <w:rPr>
                      <w:rFonts w:hint="eastAsia"/>
                    </w:rPr>
                    <w:t>建筑构</w:t>
                  </w:r>
                </w:p>
                <w:p>
                  <w:pPr>
                    <w:pStyle w:val="193"/>
                    <w:bidi w:val="0"/>
                    <w:jc w:val="center"/>
                    <w:rPr>
                      <w:rFonts w:hint="eastAsia"/>
                    </w:rPr>
                  </w:pPr>
                  <w:r>
                    <w:rPr>
                      <w:rFonts w:hint="eastAsia"/>
                    </w:rPr>
                    <w:t>筑阶段</w:t>
                  </w:r>
                </w:p>
              </w:tc>
              <w:tc>
                <w:tcPr>
                  <w:tcW w:w="234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193"/>
                    <w:bidi w:val="0"/>
                    <w:jc w:val="center"/>
                    <w:rPr>
                      <w:rFonts w:hint="eastAsia"/>
                    </w:rPr>
                  </w:pPr>
                  <w:r>
                    <w:rPr>
                      <w:rFonts w:hint="eastAsia"/>
                    </w:rPr>
                    <w:t>建材堆放，教材装卸过程、混凝土搅拌、</w:t>
                  </w:r>
                </w:p>
                <w:p>
                  <w:pPr>
                    <w:pStyle w:val="193"/>
                    <w:bidi w:val="0"/>
                    <w:jc w:val="center"/>
                    <w:rPr>
                      <w:rFonts w:hint="eastAsia"/>
                    </w:rPr>
                  </w:pPr>
                  <w:r>
                    <w:rPr>
                      <w:rFonts w:hint="eastAsia"/>
                    </w:rPr>
                    <w:t>加料过程，进出场地车辆</w:t>
                  </w:r>
                </w:p>
              </w:tc>
              <w:tc>
                <w:tcPr>
                  <w:tcW w:w="1790" w:type="pct"/>
                  <w:tcBorders>
                    <w:top w:val="single" w:color="000000" w:sz="6" w:space="0"/>
                    <w:left w:val="single" w:color="000000" w:sz="6" w:space="0"/>
                    <w:bottom w:val="single" w:color="000000" w:sz="6" w:space="0"/>
                    <w:right w:val="nil"/>
                    <w:tl2br w:val="nil"/>
                    <w:tr2bl w:val="nil"/>
                  </w:tcBorders>
                  <w:noWrap w:val="0"/>
                  <w:vAlign w:val="center"/>
                </w:tcPr>
                <w:p>
                  <w:pPr>
                    <w:pStyle w:val="193"/>
                    <w:bidi w:val="0"/>
                    <w:jc w:val="center"/>
                    <w:rPr>
                      <w:rFonts w:hint="eastAsia"/>
                    </w:rPr>
                  </w:pPr>
                  <w:r>
                    <w:rPr>
                      <w:rFonts w:hint="eastAsia"/>
                    </w:rPr>
                    <w:t>扬尘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865" w:type="pct"/>
                  <w:vMerge w:val="continue"/>
                  <w:tcBorders>
                    <w:top w:val="nil"/>
                    <w:left w:val="nil"/>
                    <w:bottom w:val="single" w:color="000000" w:sz="6" w:space="0"/>
                    <w:right w:val="single" w:color="000000" w:sz="6" w:space="0"/>
                    <w:tl2br w:val="nil"/>
                    <w:tr2bl w:val="nil"/>
                  </w:tcBorders>
                  <w:noWrap w:val="0"/>
                  <w:vAlign w:val="center"/>
                </w:tcPr>
                <w:p>
                  <w:pPr>
                    <w:pStyle w:val="193"/>
                    <w:bidi w:val="0"/>
                    <w:jc w:val="center"/>
                    <w:rPr>
                      <w:rFonts w:hint="eastAsia"/>
                    </w:rPr>
                  </w:pPr>
                </w:p>
              </w:tc>
              <w:tc>
                <w:tcPr>
                  <w:tcW w:w="234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193"/>
                    <w:bidi w:val="0"/>
                    <w:jc w:val="center"/>
                    <w:rPr>
                      <w:rFonts w:hint="eastAsia"/>
                    </w:rPr>
                  </w:pPr>
                  <w:r>
                    <w:rPr>
                      <w:rFonts w:hint="eastAsia"/>
                    </w:rPr>
                    <w:t>运输卡车</w:t>
                  </w:r>
                </w:p>
              </w:tc>
              <w:tc>
                <w:tcPr>
                  <w:tcW w:w="1790" w:type="pct"/>
                  <w:tcBorders>
                    <w:top w:val="single" w:color="000000" w:sz="6" w:space="0"/>
                    <w:left w:val="single" w:color="000000" w:sz="6" w:space="0"/>
                    <w:bottom w:val="single" w:color="000000" w:sz="6" w:space="0"/>
                    <w:right w:val="nil"/>
                    <w:tl2br w:val="nil"/>
                    <w:tr2bl w:val="nil"/>
                  </w:tcBorders>
                  <w:noWrap w:val="0"/>
                  <w:vAlign w:val="center"/>
                </w:tcPr>
                <w:p>
                  <w:pPr>
                    <w:pStyle w:val="193"/>
                    <w:bidi w:val="0"/>
                    <w:jc w:val="center"/>
                    <w:rPr>
                      <w:rFonts w:hint="eastAsia"/>
                    </w:rPr>
                  </w:pPr>
                  <w:r>
                    <w:rPr>
                      <w:rFonts w:hint="default" w:ascii="Times New Roman" w:hAnsi="Times New Roman" w:cs="Times New Roman"/>
                    </w:rPr>
                    <w:t>NOx、CO、</w:t>
                  </w:r>
                  <w:r>
                    <w:rPr>
                      <w:rFonts w:hint="default" w:ascii="Times New Roman" w:hAnsi="Times New Roman" w:cs="Times New Roman"/>
                      <w:lang w:val="en-US" w:eastAsia="zh-CN"/>
                    </w:rPr>
                    <w:t>T</w:t>
                  </w:r>
                  <w:r>
                    <w:rPr>
                      <w:rFonts w:hint="default" w:ascii="Times New Roman" w:hAnsi="Times New Roman" w:cs="Times New Roman"/>
                    </w:rPr>
                    <w:t>HC</w:t>
                  </w:r>
                  <w:r>
                    <w:rPr>
                      <w:rFonts w:hint="default"/>
                    </w:rPr>
                    <w:t xml:space="preserve"> </w:t>
                  </w:r>
                  <w:r>
                    <w:rPr>
                      <w:rFonts w:hint="eastAsia"/>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865" w:type="pct"/>
                  <w:tcBorders>
                    <w:top w:val="single" w:color="000000" w:sz="6" w:space="0"/>
                    <w:left w:val="nil"/>
                    <w:bottom w:val="single" w:color="000000" w:sz="12" w:space="0"/>
                    <w:right w:val="single" w:color="000000" w:sz="6" w:space="0"/>
                    <w:tl2br w:val="nil"/>
                    <w:tr2bl w:val="nil"/>
                  </w:tcBorders>
                  <w:noWrap w:val="0"/>
                  <w:vAlign w:val="center"/>
                </w:tcPr>
                <w:p>
                  <w:pPr>
                    <w:pStyle w:val="193"/>
                    <w:bidi w:val="0"/>
                    <w:jc w:val="center"/>
                    <w:rPr>
                      <w:rFonts w:hint="eastAsia" w:eastAsia="宋体"/>
                      <w:lang w:eastAsia="zh-CN"/>
                    </w:rPr>
                  </w:pPr>
                  <w:r>
                    <w:rPr>
                      <w:rFonts w:hint="eastAsia"/>
                      <w:lang w:eastAsia="zh-CN"/>
                    </w:rPr>
                    <w:t>建筑装修阶段</w:t>
                  </w:r>
                </w:p>
              </w:tc>
              <w:tc>
                <w:tcPr>
                  <w:tcW w:w="2343" w:type="pct"/>
                  <w:tcBorders>
                    <w:top w:val="single" w:color="000000" w:sz="6" w:space="0"/>
                    <w:left w:val="single" w:color="000000" w:sz="6" w:space="0"/>
                    <w:bottom w:val="single" w:color="000000" w:sz="12" w:space="0"/>
                    <w:right w:val="single" w:color="000000" w:sz="6" w:space="0"/>
                    <w:tl2br w:val="nil"/>
                    <w:tr2bl w:val="nil"/>
                  </w:tcBorders>
                  <w:noWrap w:val="0"/>
                  <w:vAlign w:val="center"/>
                </w:tcPr>
                <w:p>
                  <w:pPr>
                    <w:pStyle w:val="193"/>
                    <w:bidi w:val="0"/>
                    <w:jc w:val="center"/>
                    <w:rPr>
                      <w:rFonts w:hint="eastAsia"/>
                    </w:rPr>
                  </w:pPr>
                  <w:r>
                    <w:rPr>
                      <w:rFonts w:hint="eastAsia"/>
                    </w:rPr>
                    <w:t>垃圾、废料</w:t>
                  </w:r>
                </w:p>
              </w:tc>
              <w:tc>
                <w:tcPr>
                  <w:tcW w:w="1790" w:type="pct"/>
                  <w:tcBorders>
                    <w:top w:val="single" w:color="000000" w:sz="6" w:space="0"/>
                    <w:left w:val="single" w:color="000000" w:sz="6" w:space="0"/>
                    <w:bottom w:val="single" w:color="000000" w:sz="12" w:space="0"/>
                    <w:right w:val="nil"/>
                    <w:tl2br w:val="nil"/>
                    <w:tr2bl w:val="nil"/>
                  </w:tcBorders>
                  <w:noWrap w:val="0"/>
                  <w:vAlign w:val="center"/>
                </w:tcPr>
                <w:p>
                  <w:pPr>
                    <w:pStyle w:val="193"/>
                    <w:bidi w:val="0"/>
                    <w:jc w:val="center"/>
                    <w:rPr>
                      <w:rFonts w:hint="eastAsia"/>
                    </w:rPr>
                  </w:pPr>
                  <w:r>
                    <w:rPr>
                      <w:rFonts w:hint="eastAsia"/>
                    </w:rPr>
                    <w:t>扬尘</w:t>
                  </w:r>
                </w:p>
              </w:tc>
            </w:tr>
          </w:tbl>
          <w:p>
            <w:pPr>
              <w:pStyle w:val="161"/>
              <w:bidi w:val="0"/>
              <w:rPr>
                <w:rFonts w:hint="eastAsia"/>
              </w:rPr>
            </w:pPr>
          </w:p>
          <w:p>
            <w:pPr>
              <w:pStyle w:val="25"/>
              <w:widowControl w:val="0"/>
              <w:autoSpaceDE w:val="0"/>
              <w:autoSpaceDN w:val="0"/>
              <w:adjustRightInd w:val="0"/>
              <w:spacing w:before="0" w:beforeAutospacing="0" w:after="0" w:afterAutospacing="0" w:line="360" w:lineRule="auto"/>
              <w:ind w:firstLine="480" w:firstLineChars="200"/>
              <w:jc w:val="both"/>
              <w:rPr>
                <w:rFonts w:hint="eastAsia" w:ascii="Times New Roman" w:hAnsi="Times New Roman" w:eastAsiaTheme="minorEastAsia"/>
              </w:rPr>
            </w:pPr>
            <w:r>
              <w:rPr>
                <w:rFonts w:hint="eastAsia" w:ascii="Times New Roman" w:hAnsi="Times New Roman" w:eastAsiaTheme="minorEastAsia"/>
              </w:rPr>
              <w:t>为防止和减少施工期间废气和扬尘的污染，施工单位应加强统一、严格规范管理制度和措施。按照国家有关建筑施工的有关规定，贯彻执行《城市扬尘污染防治管理规定》，采取如下措施：</w:t>
            </w:r>
          </w:p>
          <w:p>
            <w:pPr>
              <w:pStyle w:val="25"/>
              <w:widowControl w:val="0"/>
              <w:autoSpaceDE w:val="0"/>
              <w:autoSpaceDN w:val="0"/>
              <w:adjustRightInd w:val="0"/>
              <w:spacing w:before="0" w:beforeAutospacing="0" w:after="0" w:afterAutospacing="0" w:line="360" w:lineRule="auto"/>
              <w:ind w:firstLine="480" w:firstLineChars="200"/>
              <w:jc w:val="both"/>
              <w:rPr>
                <w:rFonts w:hint="eastAsia" w:ascii="Times New Roman" w:hAnsi="Times New Roman" w:eastAsiaTheme="minorEastAsia"/>
              </w:rPr>
            </w:pPr>
            <w:r>
              <w:rPr>
                <w:rFonts w:hint="eastAsia" w:ascii="Times New Roman" w:hAnsi="Times New Roman" w:eastAsiaTheme="minorEastAsia"/>
              </w:rPr>
              <w:t>（1）施工区域采取围墙隔离，建筑物外用塑料纱布在四周做围屏.</w:t>
            </w:r>
          </w:p>
          <w:p>
            <w:pPr>
              <w:pStyle w:val="25"/>
              <w:widowControl w:val="0"/>
              <w:autoSpaceDE w:val="0"/>
              <w:autoSpaceDN w:val="0"/>
              <w:adjustRightInd w:val="0"/>
              <w:spacing w:before="0" w:beforeAutospacing="0" w:after="0" w:afterAutospacing="0" w:line="360" w:lineRule="auto"/>
              <w:ind w:firstLine="480" w:firstLineChars="200"/>
              <w:jc w:val="both"/>
              <w:rPr>
                <w:rFonts w:hint="eastAsia" w:ascii="Times New Roman" w:hAnsi="Times New Roman" w:eastAsiaTheme="minorEastAsia"/>
              </w:rPr>
            </w:pPr>
            <w:r>
              <w:rPr>
                <w:rFonts w:hint="eastAsia" w:ascii="Times New Roman" w:hAnsi="Times New Roman" w:eastAsiaTheme="minorEastAsia"/>
              </w:rPr>
              <w:t>（2）在建筑材料的装卸、堆放拌和过程中应防止粉尘外逸，加强施工区的规范管理，建筑材料（砂、石）的堆放及混凝土拌和，并采取防尘抑尘措施。</w:t>
            </w:r>
          </w:p>
          <w:p>
            <w:pPr>
              <w:pStyle w:val="25"/>
              <w:widowControl w:val="0"/>
              <w:autoSpaceDE w:val="0"/>
              <w:autoSpaceDN w:val="0"/>
              <w:adjustRightInd w:val="0"/>
              <w:spacing w:before="0" w:beforeAutospacing="0" w:after="0" w:afterAutospacing="0" w:line="360" w:lineRule="auto"/>
              <w:ind w:firstLine="480" w:firstLineChars="200"/>
              <w:jc w:val="both"/>
              <w:rPr>
                <w:rFonts w:hint="eastAsia" w:ascii="Times New Roman" w:hAnsi="Times New Roman" w:eastAsiaTheme="minorEastAsia"/>
              </w:rPr>
            </w:pPr>
            <w:r>
              <w:rPr>
                <w:rFonts w:hint="eastAsia" w:ascii="Times New Roman" w:hAnsi="Times New Roman" w:eastAsiaTheme="minorEastAsia"/>
              </w:rPr>
              <w:t>（3）施工期间泥尘量大，进出施工现场车辆将使地面起尘，对运输车辆进出的道路应洒水清扫，以减少汽车轮胎与路面接触而引起的地面扬尘，并尽量减缓行驶车速。</w:t>
            </w:r>
          </w:p>
          <w:p>
            <w:pPr>
              <w:pStyle w:val="25"/>
              <w:widowControl w:val="0"/>
              <w:autoSpaceDE w:val="0"/>
              <w:autoSpaceDN w:val="0"/>
              <w:adjustRightInd w:val="0"/>
              <w:spacing w:before="0" w:beforeAutospacing="0" w:after="0" w:afterAutospacing="0" w:line="360" w:lineRule="auto"/>
              <w:ind w:firstLine="480" w:firstLineChars="200"/>
              <w:jc w:val="both"/>
              <w:rPr>
                <w:rFonts w:hint="eastAsia" w:ascii="Times New Roman" w:hAnsi="Times New Roman" w:eastAsiaTheme="minorEastAsia"/>
              </w:rPr>
            </w:pPr>
            <w:r>
              <w:rPr>
                <w:rFonts w:hint="eastAsia" w:ascii="Times New Roman" w:hAnsi="Times New Roman" w:eastAsiaTheme="minorEastAsia"/>
              </w:rPr>
              <w:t>（4）运输沙、石、水泥、土方等建材的车辆装载高度应低于车箱上沿。实行封闭运输，以免车辆颠簸撒漏。坚持文明装卸，避免袋装水泥散包；运输车辆装卸完货后应清洗车厢。</w:t>
            </w:r>
          </w:p>
          <w:p>
            <w:pPr>
              <w:pStyle w:val="25"/>
              <w:widowControl w:val="0"/>
              <w:autoSpaceDE w:val="0"/>
              <w:autoSpaceDN w:val="0"/>
              <w:adjustRightInd w:val="0"/>
              <w:spacing w:before="0" w:beforeAutospacing="0" w:after="0" w:afterAutospacing="0" w:line="360" w:lineRule="auto"/>
              <w:ind w:firstLine="482" w:firstLineChars="200"/>
              <w:jc w:val="both"/>
              <w:rPr>
                <w:rFonts w:ascii="Times New Roman" w:hAnsi="Times New Roman" w:eastAsiaTheme="minorEastAsia"/>
                <w:b/>
                <w:lang w:eastAsia="zh-CN"/>
              </w:rPr>
            </w:pPr>
            <w:r>
              <w:rPr>
                <w:rFonts w:ascii="Times New Roman" w:hAnsi="Times New Roman" w:eastAsiaTheme="minorEastAsia"/>
                <w:b/>
                <w:lang w:eastAsia="zh-CN"/>
              </w:rPr>
              <w:t>2、地表</w:t>
            </w:r>
            <w:r>
              <w:rPr>
                <w:rFonts w:ascii="Times New Roman" w:hAnsi="Times New Roman" w:eastAsiaTheme="minorEastAsia"/>
                <w:b/>
              </w:rPr>
              <w:t>水环境影响分析</w:t>
            </w:r>
          </w:p>
          <w:p>
            <w:pPr>
              <w:pStyle w:val="25"/>
              <w:autoSpaceDE w:val="0"/>
              <w:autoSpaceDN w:val="0"/>
              <w:adjustRightInd w:val="0"/>
              <w:spacing w:before="0" w:beforeAutospacing="0" w:after="0" w:afterAutospacing="0" w:line="360" w:lineRule="auto"/>
              <w:ind w:firstLine="480" w:firstLineChars="200"/>
              <w:rPr>
                <w:rFonts w:ascii="Times New Roman" w:hAnsi="Times New Roman" w:eastAsiaTheme="minorEastAsia"/>
                <w:lang w:eastAsia="zh-CN"/>
              </w:rPr>
            </w:pPr>
            <w:r>
              <w:rPr>
                <w:rFonts w:hint="eastAsia" w:ascii="Times New Roman" w:hAnsi="Times New Roman" w:eastAsiaTheme="minorEastAsia"/>
                <w:lang w:eastAsia="zh-CN"/>
              </w:rPr>
              <w:t>项目施工场地内不设置机械维修点，施工期废水主要为生活污水，项目施工期间生活污水依托周边已有化粪池处理后用作周边农田农肥，不外排，杜绝污水任意排放带来的环境污染危害。</w:t>
            </w:r>
          </w:p>
          <w:p>
            <w:pPr>
              <w:spacing w:line="360" w:lineRule="auto"/>
              <w:ind w:firstLine="472" w:firstLineChars="196"/>
              <w:rPr>
                <w:rFonts w:eastAsiaTheme="minorEastAsia"/>
                <w:b/>
                <w:sz w:val="24"/>
              </w:rPr>
            </w:pPr>
            <w:r>
              <w:rPr>
                <w:rFonts w:eastAsiaTheme="minorEastAsia"/>
                <w:b/>
                <w:sz w:val="24"/>
              </w:rPr>
              <w:t>3、声环境影响分析</w:t>
            </w:r>
          </w:p>
          <w:p>
            <w:pPr>
              <w:spacing w:line="360" w:lineRule="auto"/>
              <w:ind w:firstLine="480" w:firstLineChars="200"/>
              <w:rPr>
                <w:rFonts w:eastAsiaTheme="minorEastAsia"/>
                <w:sz w:val="24"/>
              </w:rPr>
            </w:pPr>
            <w:r>
              <w:rPr>
                <w:rFonts w:hint="eastAsia" w:eastAsiaTheme="minorEastAsia"/>
                <w:sz w:val="24"/>
              </w:rPr>
              <w:t>噪声污染是施工期的主要环境污染，污染集中在基础工程阶段、主体工程阶段。施工期声源都在室外，影响范围较远。综合分析，施工噪声具有阶段性、临时性和不固定性，不同的施工设备产生的噪声影响不同，在多台机械设备同时作业时，各台设备产生的噪声会产生叠加，会造成区域声环境质量的暂时下降。施工期主要噪声源及噪声源强分别见下表所示。</w:t>
            </w:r>
          </w:p>
          <w:p>
            <w:pPr>
              <w:pStyle w:val="195"/>
              <w:bidi w:val="0"/>
            </w:pPr>
            <w:r>
              <w:rPr>
                <w:rFonts w:hint="eastAsia"/>
              </w:rPr>
              <w:t>表7-</w:t>
            </w:r>
            <w:r>
              <w:rPr>
                <w:rFonts w:hint="eastAsia"/>
                <w:lang w:val="en-US" w:eastAsia="zh-CN"/>
              </w:rPr>
              <w:t>2</w:t>
            </w:r>
            <w:r>
              <w:rPr>
                <w:rFonts w:hint="eastAsia"/>
              </w:rPr>
              <w:t xml:space="preserve"> </w:t>
            </w:r>
            <w:r>
              <w:t>施工期主要施工阶段噪声源统计表</w:t>
            </w:r>
          </w:p>
          <w:tbl>
            <w:tblPr>
              <w:tblStyle w:val="29"/>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3084"/>
              <w:gridCol w:w="500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39" w:type="pct"/>
                  <w:noWrap w:val="0"/>
                  <w:vAlign w:val="center"/>
                </w:tcPr>
                <w:p>
                  <w:pPr>
                    <w:pStyle w:val="193"/>
                    <w:jc w:val="both"/>
                  </w:pPr>
                  <w:r>
                    <w:t>序号</w:t>
                  </w:r>
                </w:p>
              </w:tc>
              <w:tc>
                <w:tcPr>
                  <w:tcW w:w="1700" w:type="pct"/>
                  <w:noWrap w:val="0"/>
                  <w:vAlign w:val="center"/>
                </w:tcPr>
                <w:p>
                  <w:pPr>
                    <w:pStyle w:val="193"/>
                    <w:jc w:val="both"/>
                  </w:pPr>
                  <w:r>
                    <w:t>施工阶段</w:t>
                  </w:r>
                </w:p>
              </w:tc>
              <w:tc>
                <w:tcPr>
                  <w:tcW w:w="2761" w:type="pct"/>
                  <w:noWrap w:val="0"/>
                  <w:vAlign w:val="center"/>
                </w:tcPr>
                <w:p>
                  <w:pPr>
                    <w:pStyle w:val="193"/>
                    <w:jc w:val="both"/>
                  </w:pPr>
                  <w:r>
                    <w:t>噪声源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39" w:type="pct"/>
                  <w:noWrap w:val="0"/>
                  <w:vAlign w:val="center"/>
                </w:tcPr>
                <w:p>
                  <w:pPr>
                    <w:pStyle w:val="193"/>
                    <w:jc w:val="both"/>
                  </w:pPr>
                  <w:r>
                    <w:t>1</w:t>
                  </w:r>
                </w:p>
              </w:tc>
              <w:tc>
                <w:tcPr>
                  <w:tcW w:w="1700" w:type="pct"/>
                  <w:noWrap w:val="0"/>
                  <w:vAlign w:val="center"/>
                </w:tcPr>
                <w:p>
                  <w:pPr>
                    <w:pStyle w:val="193"/>
                    <w:jc w:val="both"/>
                  </w:pPr>
                  <w:r>
                    <w:t>平整、开挖</w:t>
                  </w:r>
                </w:p>
              </w:tc>
              <w:tc>
                <w:tcPr>
                  <w:tcW w:w="2761" w:type="pct"/>
                  <w:noWrap w:val="0"/>
                  <w:vAlign w:val="center"/>
                </w:tcPr>
                <w:p>
                  <w:pPr>
                    <w:pStyle w:val="193"/>
                    <w:jc w:val="both"/>
                  </w:pPr>
                  <w:r>
                    <w:t>挖掘机、铲土机、卡车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539" w:type="pct"/>
                  <w:noWrap w:val="0"/>
                  <w:vAlign w:val="center"/>
                </w:tcPr>
                <w:p>
                  <w:pPr>
                    <w:pStyle w:val="193"/>
                    <w:jc w:val="both"/>
                  </w:pPr>
                  <w:r>
                    <w:t>2</w:t>
                  </w:r>
                </w:p>
              </w:tc>
              <w:tc>
                <w:tcPr>
                  <w:tcW w:w="1700" w:type="pct"/>
                  <w:noWrap w:val="0"/>
                  <w:vAlign w:val="center"/>
                </w:tcPr>
                <w:p>
                  <w:pPr>
                    <w:pStyle w:val="193"/>
                    <w:jc w:val="both"/>
                  </w:pPr>
                  <w:r>
                    <w:t>建筑施工</w:t>
                  </w:r>
                </w:p>
              </w:tc>
              <w:tc>
                <w:tcPr>
                  <w:tcW w:w="2761" w:type="pct"/>
                  <w:noWrap w:val="0"/>
                  <w:vAlign w:val="center"/>
                </w:tcPr>
                <w:p>
                  <w:pPr>
                    <w:pStyle w:val="193"/>
                    <w:jc w:val="both"/>
                  </w:pPr>
                  <w:r>
                    <w:t>振捣机、起重机、打桩机、电锯</w:t>
                  </w:r>
                </w:p>
              </w:tc>
            </w:tr>
          </w:tbl>
          <w:p>
            <w:pPr>
              <w:pStyle w:val="161"/>
              <w:bidi w:val="0"/>
            </w:pPr>
          </w:p>
          <w:p>
            <w:pPr>
              <w:widowControl/>
              <w:jc w:val="center"/>
              <w:rPr>
                <w:rFonts w:cs="宋体"/>
                <w:b/>
                <w:bCs/>
                <w:kern w:val="0"/>
                <w:szCs w:val="20"/>
              </w:rPr>
            </w:pPr>
            <w:r>
              <w:rPr>
                <w:rFonts w:hint="eastAsia" w:cs="宋体"/>
                <w:b/>
                <w:bCs/>
                <w:kern w:val="0"/>
                <w:szCs w:val="20"/>
              </w:rPr>
              <w:t>表7-</w:t>
            </w:r>
            <w:r>
              <w:rPr>
                <w:rFonts w:hint="eastAsia" w:cs="宋体"/>
                <w:b/>
                <w:bCs/>
                <w:kern w:val="0"/>
                <w:szCs w:val="20"/>
                <w:lang w:val="en-US" w:eastAsia="zh-CN"/>
              </w:rPr>
              <w:t>3</w:t>
            </w:r>
            <w:r>
              <w:rPr>
                <w:rFonts w:hint="eastAsia" w:cs="宋体"/>
                <w:b/>
                <w:bCs/>
                <w:kern w:val="0"/>
                <w:szCs w:val="20"/>
              </w:rPr>
              <w:t xml:space="preserve">   </w:t>
            </w:r>
            <w:r>
              <w:rPr>
                <w:rFonts w:cs="宋体"/>
                <w:b/>
                <w:bCs/>
                <w:kern w:val="0"/>
                <w:szCs w:val="20"/>
              </w:rPr>
              <w:t>施工期主要施工机械噪声源强统计表</w:t>
            </w:r>
          </w:p>
          <w:tbl>
            <w:tblPr>
              <w:tblStyle w:val="2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1"/>
              <w:gridCol w:w="3078"/>
              <w:gridCol w:w="5011"/>
            </w:tblGrid>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541" w:type="pct"/>
                  <w:tcBorders>
                    <w:top w:val="single" w:color="auto" w:sz="4" w:space="0"/>
                    <w:left w:val="single" w:color="auto" w:sz="4" w:space="0"/>
                  </w:tcBorders>
                  <w:vAlign w:val="center"/>
                </w:tcPr>
                <w:p>
                  <w:pPr>
                    <w:widowControl/>
                    <w:jc w:val="center"/>
                  </w:pPr>
                  <w:r>
                    <w:t>序号</w:t>
                  </w:r>
                </w:p>
              </w:tc>
              <w:tc>
                <w:tcPr>
                  <w:tcW w:w="1697" w:type="pct"/>
                  <w:tcBorders>
                    <w:top w:val="single" w:color="auto" w:sz="4" w:space="0"/>
                  </w:tcBorders>
                  <w:vAlign w:val="center"/>
                </w:tcPr>
                <w:p>
                  <w:pPr>
                    <w:widowControl/>
                    <w:jc w:val="center"/>
                  </w:pPr>
                  <w:r>
                    <w:t>机械</w:t>
                  </w:r>
                </w:p>
              </w:tc>
              <w:tc>
                <w:tcPr>
                  <w:tcW w:w="2762" w:type="pct"/>
                  <w:tcBorders>
                    <w:top w:val="single" w:color="auto" w:sz="4" w:space="0"/>
                    <w:right w:val="single" w:color="auto" w:sz="4" w:space="0"/>
                  </w:tcBorders>
                  <w:vAlign w:val="center"/>
                </w:tcPr>
                <w:p>
                  <w:pPr>
                    <w:widowControl/>
                    <w:jc w:val="center"/>
                  </w:pPr>
                  <w:r>
                    <w:t>等效声级[dB(A)]</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541" w:type="pct"/>
                  <w:tcBorders>
                    <w:left w:val="single" w:color="auto" w:sz="4" w:space="0"/>
                  </w:tcBorders>
                  <w:vAlign w:val="center"/>
                </w:tcPr>
                <w:p>
                  <w:pPr>
                    <w:widowControl/>
                    <w:jc w:val="center"/>
                  </w:pPr>
                  <w:r>
                    <w:rPr>
                      <w:rFonts w:hint="eastAsia"/>
                    </w:rPr>
                    <w:t>1</w:t>
                  </w:r>
                </w:p>
              </w:tc>
              <w:tc>
                <w:tcPr>
                  <w:tcW w:w="1697" w:type="pct"/>
                  <w:vAlign w:val="center"/>
                </w:tcPr>
                <w:p>
                  <w:pPr>
                    <w:widowControl/>
                    <w:jc w:val="center"/>
                  </w:pPr>
                  <w:r>
                    <w:rPr>
                      <w:rFonts w:hint="eastAsia"/>
                    </w:rPr>
                    <w:t>振捣机</w:t>
                  </w:r>
                </w:p>
              </w:tc>
              <w:tc>
                <w:tcPr>
                  <w:tcW w:w="2762" w:type="pct"/>
                  <w:tcBorders>
                    <w:right w:val="single" w:color="auto" w:sz="4" w:space="0"/>
                  </w:tcBorders>
                  <w:vAlign w:val="center"/>
                </w:tcPr>
                <w:p>
                  <w:pPr>
                    <w:widowControl/>
                    <w:jc w:val="center"/>
                  </w:pPr>
                  <w:r>
                    <w:t>85</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39" w:hRule="atLeast"/>
                <w:jc w:val="center"/>
              </w:trPr>
              <w:tc>
                <w:tcPr>
                  <w:tcW w:w="541" w:type="pct"/>
                  <w:tcBorders>
                    <w:left w:val="single" w:color="auto" w:sz="4" w:space="0"/>
                  </w:tcBorders>
                  <w:vAlign w:val="center"/>
                </w:tcPr>
                <w:p>
                  <w:pPr>
                    <w:widowControl/>
                    <w:jc w:val="center"/>
                  </w:pPr>
                  <w:r>
                    <w:rPr>
                      <w:rFonts w:hint="eastAsia"/>
                    </w:rPr>
                    <w:t>2</w:t>
                  </w:r>
                </w:p>
              </w:tc>
              <w:tc>
                <w:tcPr>
                  <w:tcW w:w="1697" w:type="pct"/>
                  <w:vAlign w:val="center"/>
                </w:tcPr>
                <w:p>
                  <w:pPr>
                    <w:widowControl/>
                    <w:jc w:val="center"/>
                  </w:pPr>
                  <w:r>
                    <w:t>自卸卡车</w:t>
                  </w:r>
                </w:p>
              </w:tc>
              <w:tc>
                <w:tcPr>
                  <w:tcW w:w="2762" w:type="pct"/>
                  <w:tcBorders>
                    <w:right w:val="single" w:color="auto" w:sz="4" w:space="0"/>
                  </w:tcBorders>
                  <w:vAlign w:val="center"/>
                </w:tcPr>
                <w:p>
                  <w:pPr>
                    <w:widowControl/>
                    <w:jc w:val="center"/>
                  </w:pPr>
                  <w:r>
                    <w:t>75～95</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9" w:hRule="atLeast"/>
                <w:jc w:val="center"/>
              </w:trPr>
              <w:tc>
                <w:tcPr>
                  <w:tcW w:w="541" w:type="pct"/>
                  <w:tcBorders>
                    <w:left w:val="single" w:color="auto" w:sz="4" w:space="0"/>
                  </w:tcBorders>
                  <w:vAlign w:val="center"/>
                </w:tcPr>
                <w:p>
                  <w:pPr>
                    <w:widowControl/>
                    <w:jc w:val="center"/>
                  </w:pPr>
                  <w:r>
                    <w:rPr>
                      <w:rFonts w:hint="eastAsia"/>
                    </w:rPr>
                    <w:t>3</w:t>
                  </w:r>
                </w:p>
              </w:tc>
              <w:tc>
                <w:tcPr>
                  <w:tcW w:w="1697" w:type="pct"/>
                  <w:vAlign w:val="center"/>
                </w:tcPr>
                <w:p>
                  <w:pPr>
                    <w:widowControl/>
                    <w:jc w:val="center"/>
                  </w:pPr>
                  <w:r>
                    <w:t>压路机</w:t>
                  </w:r>
                </w:p>
              </w:tc>
              <w:tc>
                <w:tcPr>
                  <w:tcW w:w="2762" w:type="pct"/>
                  <w:tcBorders>
                    <w:right w:val="single" w:color="auto" w:sz="4" w:space="0"/>
                  </w:tcBorders>
                  <w:vAlign w:val="center"/>
                </w:tcPr>
                <w:p>
                  <w:pPr>
                    <w:widowControl/>
                    <w:jc w:val="center"/>
                  </w:pPr>
                  <w:r>
                    <w:t>87</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9" w:hRule="atLeast"/>
                <w:jc w:val="center"/>
              </w:trPr>
              <w:tc>
                <w:tcPr>
                  <w:tcW w:w="541" w:type="pct"/>
                  <w:tcBorders>
                    <w:left w:val="single" w:color="auto" w:sz="4" w:space="0"/>
                  </w:tcBorders>
                  <w:vAlign w:val="center"/>
                </w:tcPr>
                <w:p>
                  <w:pPr>
                    <w:widowControl/>
                    <w:jc w:val="center"/>
                  </w:pPr>
                  <w:r>
                    <w:rPr>
                      <w:rFonts w:hint="eastAsia"/>
                    </w:rPr>
                    <w:t>4</w:t>
                  </w:r>
                </w:p>
              </w:tc>
              <w:tc>
                <w:tcPr>
                  <w:tcW w:w="1697" w:type="pct"/>
                  <w:vAlign w:val="center"/>
                </w:tcPr>
                <w:p>
                  <w:pPr>
                    <w:widowControl/>
                    <w:jc w:val="center"/>
                  </w:pPr>
                  <w:r>
                    <w:t>电  锯</w:t>
                  </w:r>
                </w:p>
              </w:tc>
              <w:tc>
                <w:tcPr>
                  <w:tcW w:w="2762" w:type="pct"/>
                  <w:tcBorders>
                    <w:right w:val="single" w:color="auto" w:sz="4" w:space="0"/>
                  </w:tcBorders>
                  <w:vAlign w:val="center"/>
                </w:tcPr>
                <w:p>
                  <w:pPr>
                    <w:widowControl/>
                    <w:jc w:val="center"/>
                  </w:pPr>
                  <w:r>
                    <w:t>86</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9" w:hRule="atLeast"/>
                <w:jc w:val="center"/>
              </w:trPr>
              <w:tc>
                <w:tcPr>
                  <w:tcW w:w="541" w:type="pct"/>
                  <w:tcBorders>
                    <w:left w:val="single" w:color="auto" w:sz="4" w:space="0"/>
                  </w:tcBorders>
                  <w:vAlign w:val="center"/>
                </w:tcPr>
                <w:p>
                  <w:pPr>
                    <w:widowControl/>
                    <w:jc w:val="center"/>
                  </w:pPr>
                  <w:r>
                    <w:rPr>
                      <w:rFonts w:hint="eastAsia"/>
                    </w:rPr>
                    <w:t>5</w:t>
                  </w:r>
                </w:p>
              </w:tc>
              <w:tc>
                <w:tcPr>
                  <w:tcW w:w="1697" w:type="pct"/>
                  <w:vAlign w:val="center"/>
                </w:tcPr>
                <w:p>
                  <w:pPr>
                    <w:widowControl/>
                    <w:jc w:val="center"/>
                  </w:pPr>
                  <w:r>
                    <w:t>铲土机</w:t>
                  </w:r>
                </w:p>
              </w:tc>
              <w:tc>
                <w:tcPr>
                  <w:tcW w:w="2762" w:type="pct"/>
                  <w:tcBorders>
                    <w:right w:val="single" w:color="auto" w:sz="4" w:space="0"/>
                  </w:tcBorders>
                  <w:vAlign w:val="center"/>
                </w:tcPr>
                <w:p>
                  <w:pPr>
                    <w:widowControl/>
                    <w:jc w:val="center"/>
                  </w:pPr>
                  <w:r>
                    <w:t>95</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9" w:hRule="atLeast"/>
                <w:jc w:val="center"/>
              </w:trPr>
              <w:tc>
                <w:tcPr>
                  <w:tcW w:w="541" w:type="pct"/>
                  <w:tcBorders>
                    <w:left w:val="single" w:color="auto" w:sz="4" w:space="0"/>
                    <w:bottom w:val="single" w:color="auto" w:sz="4" w:space="0"/>
                  </w:tcBorders>
                  <w:vAlign w:val="center"/>
                </w:tcPr>
                <w:p>
                  <w:pPr>
                    <w:widowControl/>
                    <w:jc w:val="center"/>
                  </w:pPr>
                  <w:r>
                    <w:rPr>
                      <w:rFonts w:hint="eastAsia"/>
                    </w:rPr>
                    <w:t>6</w:t>
                  </w:r>
                </w:p>
              </w:tc>
              <w:tc>
                <w:tcPr>
                  <w:tcW w:w="1697" w:type="pct"/>
                  <w:tcBorders>
                    <w:bottom w:val="single" w:color="auto" w:sz="4" w:space="0"/>
                  </w:tcBorders>
                  <w:vAlign w:val="center"/>
                </w:tcPr>
                <w:p>
                  <w:pPr>
                    <w:widowControl/>
                    <w:jc w:val="center"/>
                  </w:pPr>
                  <w:r>
                    <w:t>挖掘机</w:t>
                  </w:r>
                </w:p>
              </w:tc>
              <w:tc>
                <w:tcPr>
                  <w:tcW w:w="2762" w:type="pct"/>
                  <w:tcBorders>
                    <w:bottom w:val="single" w:color="auto" w:sz="4" w:space="0"/>
                    <w:right w:val="single" w:color="auto" w:sz="4" w:space="0"/>
                  </w:tcBorders>
                  <w:vAlign w:val="center"/>
                </w:tcPr>
                <w:p>
                  <w:pPr>
                    <w:widowControl/>
                    <w:jc w:val="center"/>
                  </w:pPr>
                  <w:r>
                    <w:t>94</w:t>
                  </w:r>
                </w:p>
              </w:tc>
            </w:tr>
          </w:tbl>
          <w:p>
            <w:pPr>
              <w:spacing w:line="480" w:lineRule="exact"/>
              <w:ind w:firstLine="480" w:firstLineChars="200"/>
              <w:rPr>
                <w:rFonts w:cs="宋体"/>
                <w:sz w:val="24"/>
                <w:szCs w:val="20"/>
              </w:rPr>
            </w:pPr>
            <w:r>
              <w:rPr>
                <w:rFonts w:cs="宋体"/>
                <w:sz w:val="24"/>
                <w:szCs w:val="20"/>
              </w:rPr>
              <w:t>施工期各机械设备的动力噪声源声级一般在85dB以上，根据项目的施工特点，建筑施工所使用的机械设备基本无隔声、隔振措施，声源声级较高，对项目周边地区影响较大，经计算预测建筑机械动力噪声对不同距离的影响见下表。</w:t>
            </w:r>
          </w:p>
          <w:p>
            <w:pPr>
              <w:pStyle w:val="195"/>
              <w:bidi w:val="0"/>
              <w:rPr>
                <w:rFonts w:cs="宋体"/>
                <w:b/>
                <w:bCs/>
                <w:kern w:val="0"/>
                <w:szCs w:val="20"/>
              </w:rPr>
            </w:pPr>
            <w:r>
              <w:rPr>
                <w:rFonts w:hint="eastAsia"/>
              </w:rPr>
              <w:t>表7-</w:t>
            </w:r>
            <w:r>
              <w:rPr>
                <w:rFonts w:hint="eastAsia"/>
                <w:lang w:val="en-US" w:eastAsia="zh-CN"/>
              </w:rPr>
              <w:t>4</w:t>
            </w:r>
            <w:r>
              <w:rPr>
                <w:rFonts w:hint="eastAsia"/>
              </w:rPr>
              <w:t xml:space="preserve">   </w:t>
            </w:r>
            <w:r>
              <w:t>建筑机械动力噪声不同距离的影响程度表</w:t>
            </w:r>
          </w:p>
          <w:tbl>
            <w:tblPr>
              <w:tblStyle w:val="2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54"/>
              <w:gridCol w:w="1680"/>
              <w:gridCol w:w="1678"/>
              <w:gridCol w:w="1678"/>
              <w:gridCol w:w="1680"/>
            </w:tblGrid>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298" w:type="pct"/>
                  <w:tcBorders>
                    <w:top w:val="single" w:color="auto" w:sz="4" w:space="0"/>
                    <w:left w:val="single" w:color="auto" w:sz="4" w:space="0"/>
                  </w:tcBorders>
                  <w:vAlign w:val="center"/>
                </w:tcPr>
                <w:p>
                  <w:pPr>
                    <w:widowControl/>
                    <w:jc w:val="center"/>
                  </w:pPr>
                  <w:r>
                    <w:t xml:space="preserve"> 声源</w:t>
                  </w:r>
                  <w:r>
                    <w:rPr>
                      <w:rFonts w:hint="eastAsia"/>
                    </w:rPr>
                    <w:t>距离</w:t>
                  </w:r>
                </w:p>
              </w:tc>
              <w:tc>
                <w:tcPr>
                  <w:tcW w:w="926" w:type="pct"/>
                  <w:tcBorders>
                    <w:top w:val="single" w:color="auto" w:sz="4" w:space="0"/>
                  </w:tcBorders>
                  <w:vAlign w:val="center"/>
                </w:tcPr>
                <w:p>
                  <w:pPr>
                    <w:widowControl/>
                    <w:jc w:val="center"/>
                  </w:pPr>
                  <w:r>
                    <w:t>10m</w:t>
                  </w:r>
                </w:p>
              </w:tc>
              <w:tc>
                <w:tcPr>
                  <w:tcW w:w="925" w:type="pct"/>
                  <w:tcBorders>
                    <w:top w:val="single" w:color="auto" w:sz="4" w:space="0"/>
                  </w:tcBorders>
                  <w:vAlign w:val="center"/>
                </w:tcPr>
                <w:p>
                  <w:pPr>
                    <w:widowControl/>
                    <w:jc w:val="center"/>
                  </w:pPr>
                  <w:r>
                    <w:t>50m</w:t>
                  </w:r>
                </w:p>
              </w:tc>
              <w:tc>
                <w:tcPr>
                  <w:tcW w:w="925" w:type="pct"/>
                  <w:tcBorders>
                    <w:top w:val="single" w:color="auto" w:sz="4" w:space="0"/>
                  </w:tcBorders>
                  <w:vAlign w:val="center"/>
                </w:tcPr>
                <w:p>
                  <w:pPr>
                    <w:widowControl/>
                    <w:jc w:val="center"/>
                  </w:pPr>
                  <w:r>
                    <w:t>100m</w:t>
                  </w:r>
                </w:p>
              </w:tc>
              <w:tc>
                <w:tcPr>
                  <w:tcW w:w="926" w:type="pct"/>
                  <w:tcBorders>
                    <w:top w:val="single" w:color="auto" w:sz="4" w:space="0"/>
                    <w:right w:val="single" w:color="auto" w:sz="4" w:space="0"/>
                  </w:tcBorders>
                  <w:vAlign w:val="center"/>
                </w:tcPr>
                <w:p>
                  <w:pPr>
                    <w:widowControl/>
                    <w:jc w:val="center"/>
                  </w:pPr>
                  <w:r>
                    <w:t>150m</w:t>
                  </w:r>
                </w:p>
              </w:tc>
            </w:tr>
            <w:tr>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298" w:type="pct"/>
                  <w:tcBorders>
                    <w:left w:val="single" w:color="auto" w:sz="4" w:space="0"/>
                    <w:bottom w:val="single" w:color="auto" w:sz="4" w:space="0"/>
                  </w:tcBorders>
                  <w:vAlign w:val="center"/>
                </w:tcPr>
                <w:p>
                  <w:pPr>
                    <w:widowControl/>
                    <w:jc w:val="center"/>
                  </w:pPr>
                  <w:r>
                    <w:t>建筑机械动力噪声</w:t>
                  </w:r>
                </w:p>
              </w:tc>
              <w:tc>
                <w:tcPr>
                  <w:tcW w:w="926" w:type="pct"/>
                  <w:tcBorders>
                    <w:bottom w:val="single" w:color="auto" w:sz="4" w:space="0"/>
                  </w:tcBorders>
                  <w:vAlign w:val="center"/>
                </w:tcPr>
                <w:p>
                  <w:pPr>
                    <w:widowControl/>
                    <w:jc w:val="center"/>
                  </w:pPr>
                  <w:r>
                    <w:t>85</w:t>
                  </w:r>
                </w:p>
              </w:tc>
              <w:tc>
                <w:tcPr>
                  <w:tcW w:w="925" w:type="pct"/>
                  <w:tcBorders>
                    <w:bottom w:val="single" w:color="auto" w:sz="4" w:space="0"/>
                  </w:tcBorders>
                  <w:vAlign w:val="center"/>
                </w:tcPr>
                <w:p>
                  <w:pPr>
                    <w:widowControl/>
                    <w:jc w:val="center"/>
                  </w:pPr>
                  <w:r>
                    <w:t>71.0</w:t>
                  </w:r>
                </w:p>
              </w:tc>
              <w:tc>
                <w:tcPr>
                  <w:tcW w:w="925" w:type="pct"/>
                  <w:tcBorders>
                    <w:bottom w:val="single" w:color="auto" w:sz="4" w:space="0"/>
                  </w:tcBorders>
                  <w:vAlign w:val="center"/>
                </w:tcPr>
                <w:p>
                  <w:pPr>
                    <w:widowControl/>
                    <w:jc w:val="center"/>
                  </w:pPr>
                  <w:r>
                    <w:t>65.0</w:t>
                  </w:r>
                </w:p>
              </w:tc>
              <w:tc>
                <w:tcPr>
                  <w:tcW w:w="926" w:type="pct"/>
                  <w:tcBorders>
                    <w:bottom w:val="single" w:color="auto" w:sz="4" w:space="0"/>
                    <w:right w:val="single" w:color="auto" w:sz="4" w:space="0"/>
                  </w:tcBorders>
                  <w:vAlign w:val="center"/>
                </w:tcPr>
                <w:p>
                  <w:pPr>
                    <w:widowControl/>
                    <w:jc w:val="center"/>
                  </w:pPr>
                  <w:r>
                    <w:t>61.5</w:t>
                  </w:r>
                </w:p>
              </w:tc>
            </w:tr>
          </w:tbl>
          <w:p>
            <w:pPr>
              <w:spacing w:line="480" w:lineRule="exact"/>
              <w:ind w:firstLine="480" w:firstLineChars="200"/>
              <w:rPr>
                <w:rFonts w:cs="宋体"/>
                <w:sz w:val="24"/>
                <w:szCs w:val="20"/>
              </w:rPr>
            </w:pPr>
            <w:r>
              <w:rPr>
                <w:rFonts w:cs="宋体"/>
                <w:sz w:val="24"/>
                <w:szCs w:val="20"/>
              </w:rPr>
              <w:t>由此可知，本项目的建筑机械动力噪声对项目周边的环境影响较大。经类比调查，正常情况下，施工场地中心位置噪声值在85dB以下，施工噪声在昼间80m内基本能达到</w:t>
            </w:r>
            <w:r>
              <w:rPr>
                <w:rFonts w:hint="eastAsia" w:cs="宋体"/>
                <w:sz w:val="24"/>
                <w:szCs w:val="20"/>
              </w:rPr>
              <w:t>《建筑施工场界环境噪声排放标准》(GB12523-2011)</w:t>
            </w:r>
            <w:r>
              <w:rPr>
                <w:rFonts w:cs="宋体"/>
                <w:sz w:val="24"/>
                <w:szCs w:val="20"/>
              </w:rPr>
              <w:t>，夜间在180m外达到标准。</w:t>
            </w:r>
          </w:p>
          <w:p>
            <w:pPr>
              <w:spacing w:line="480" w:lineRule="exact"/>
              <w:ind w:firstLine="480" w:firstLineChars="200"/>
              <w:rPr>
                <w:rFonts w:cs="宋体"/>
                <w:sz w:val="24"/>
                <w:szCs w:val="28"/>
              </w:rPr>
            </w:pPr>
            <w:r>
              <w:rPr>
                <w:rFonts w:cs="宋体"/>
                <w:sz w:val="24"/>
                <w:szCs w:val="20"/>
              </w:rPr>
              <w:t>根据目前的机械制造水平和施工条件，施工期间的噪声是不可避免的，但只要采取一定的措施、合理安排施工作业时间，加强施工管理，即可减轻施工噪声对环境的影响。施工期噪声控制主要措施有：</w:t>
            </w:r>
          </w:p>
          <w:p>
            <w:pPr>
              <w:spacing w:line="480" w:lineRule="exact"/>
              <w:ind w:firstLine="480" w:firstLineChars="200"/>
              <w:rPr>
                <w:rFonts w:cs="宋体"/>
                <w:sz w:val="24"/>
                <w:szCs w:val="20"/>
              </w:rPr>
            </w:pPr>
            <w:r>
              <w:rPr>
                <w:rFonts w:cs="宋体"/>
                <w:sz w:val="24"/>
                <w:szCs w:val="20"/>
              </w:rPr>
              <w:t>1）施工现场固定噪声源集中</w:t>
            </w:r>
            <w:r>
              <w:rPr>
                <w:rFonts w:hint="eastAsia" w:cs="宋体"/>
                <w:sz w:val="24"/>
                <w:szCs w:val="20"/>
              </w:rPr>
              <w:t>布设</w:t>
            </w:r>
            <w:r>
              <w:rPr>
                <w:rFonts w:cs="宋体"/>
                <w:sz w:val="24"/>
                <w:szCs w:val="20"/>
              </w:rPr>
              <w:t>，以减少噪声干扰范围，并充分利用地形、</w:t>
            </w:r>
            <w:r>
              <w:rPr>
                <w:rFonts w:hint="eastAsia" w:cs="宋体"/>
                <w:sz w:val="24"/>
                <w:szCs w:val="20"/>
              </w:rPr>
              <w:t>植被</w:t>
            </w:r>
            <w:r>
              <w:rPr>
                <w:rFonts w:cs="宋体"/>
                <w:sz w:val="24"/>
                <w:szCs w:val="20"/>
              </w:rPr>
              <w:t>等自然条件，选择环境要求低的位置安放强噪声设备；移动噪声源如空压机等</w:t>
            </w:r>
            <w:r>
              <w:rPr>
                <w:rFonts w:hint="eastAsia" w:cs="宋体"/>
                <w:sz w:val="24"/>
                <w:szCs w:val="20"/>
              </w:rPr>
              <w:t>高噪声设备</w:t>
            </w:r>
            <w:r>
              <w:rPr>
                <w:rFonts w:cs="宋体"/>
                <w:sz w:val="24"/>
                <w:szCs w:val="20"/>
              </w:rPr>
              <w:t>应尽可能屏蔽，在可能的条件下应尽量远离噪声敏感区，以减少噪声对周围地区的影响。</w:t>
            </w:r>
          </w:p>
          <w:p>
            <w:pPr>
              <w:spacing w:line="480" w:lineRule="exact"/>
              <w:ind w:firstLine="480" w:firstLineChars="200"/>
              <w:rPr>
                <w:rFonts w:cs="宋体"/>
                <w:sz w:val="24"/>
                <w:szCs w:val="20"/>
              </w:rPr>
            </w:pPr>
            <w:r>
              <w:rPr>
                <w:rFonts w:cs="宋体"/>
                <w:sz w:val="24"/>
                <w:szCs w:val="20"/>
              </w:rPr>
              <w:t>2）施工车辆，特别是重型运载车辆的运行线路和时间，应尽量避开噪声敏感区域和敏感时段。</w:t>
            </w:r>
          </w:p>
          <w:p>
            <w:pPr>
              <w:spacing w:line="480" w:lineRule="exact"/>
              <w:ind w:firstLine="480" w:firstLineChars="200"/>
              <w:rPr>
                <w:rFonts w:cs="宋体"/>
                <w:sz w:val="24"/>
                <w:szCs w:val="20"/>
              </w:rPr>
            </w:pPr>
            <w:r>
              <w:rPr>
                <w:rFonts w:cs="宋体"/>
                <w:sz w:val="24"/>
                <w:szCs w:val="20"/>
              </w:rPr>
              <w:t>3）施工场地应采用屏障围护，减弱噪声对外辐射，同时应在不同的施工阶段，按照</w:t>
            </w:r>
            <w:r>
              <w:rPr>
                <w:rFonts w:hint="eastAsia" w:cs="宋体"/>
                <w:sz w:val="24"/>
                <w:szCs w:val="20"/>
              </w:rPr>
              <w:t>《</w:t>
            </w:r>
            <w:r>
              <w:rPr>
                <w:rFonts w:cs="宋体"/>
                <w:sz w:val="24"/>
                <w:szCs w:val="20"/>
              </w:rPr>
              <w:t>建筑施工场界环境噪声排放标准》</w:t>
            </w:r>
            <w:r>
              <w:rPr>
                <w:rFonts w:hint="eastAsia" w:cs="宋体"/>
                <w:sz w:val="24"/>
                <w:szCs w:val="20"/>
              </w:rPr>
              <w:t>（</w:t>
            </w:r>
            <w:r>
              <w:rPr>
                <w:rFonts w:cs="宋体"/>
                <w:sz w:val="24"/>
                <w:szCs w:val="20"/>
              </w:rPr>
              <w:t>GB12523-2011</w:t>
            </w:r>
            <w:r>
              <w:rPr>
                <w:rFonts w:hint="eastAsia" w:cs="宋体"/>
                <w:sz w:val="24"/>
                <w:szCs w:val="20"/>
              </w:rPr>
              <w:t>）</w:t>
            </w:r>
            <w:r>
              <w:rPr>
                <w:rFonts w:cs="宋体"/>
                <w:sz w:val="24"/>
                <w:szCs w:val="20"/>
              </w:rPr>
              <w:t>对施工场界进行噪声控制。</w:t>
            </w:r>
          </w:p>
          <w:p>
            <w:pPr>
              <w:spacing w:line="480" w:lineRule="exact"/>
              <w:ind w:firstLine="480" w:firstLineChars="200"/>
              <w:rPr>
                <w:rFonts w:cs="宋体"/>
                <w:sz w:val="24"/>
                <w:szCs w:val="20"/>
              </w:rPr>
            </w:pPr>
            <w:r>
              <w:rPr>
                <w:rFonts w:cs="宋体"/>
                <w:sz w:val="24"/>
                <w:szCs w:val="20"/>
              </w:rPr>
              <w:t>4</w:t>
            </w:r>
            <w:r>
              <w:rPr>
                <w:rFonts w:hint="eastAsia" w:cs="宋体"/>
                <w:sz w:val="24"/>
                <w:szCs w:val="20"/>
              </w:rPr>
              <w:t>）在设备选型上选用低噪声设备，合理布置施工平面，合理安排施工时间。将强噪声作业安排在白天进行，杜绝夜间（22：00-7：00）施工噪声扰民。</w:t>
            </w:r>
          </w:p>
          <w:p>
            <w:pPr>
              <w:spacing w:line="480" w:lineRule="exact"/>
              <w:ind w:firstLine="482" w:firstLineChars="200"/>
              <w:rPr>
                <w:rFonts w:cs="宋体"/>
                <w:b/>
                <w:sz w:val="24"/>
                <w:szCs w:val="20"/>
              </w:rPr>
            </w:pPr>
            <w:r>
              <w:rPr>
                <w:rFonts w:hint="eastAsia" w:cs="宋体"/>
                <w:b/>
                <w:sz w:val="24"/>
                <w:szCs w:val="20"/>
              </w:rPr>
              <w:t>4、固废环境影响分析</w:t>
            </w:r>
          </w:p>
          <w:p>
            <w:pPr>
              <w:spacing w:line="480" w:lineRule="exact"/>
              <w:ind w:firstLine="480" w:firstLineChars="200"/>
              <w:rPr>
                <w:rFonts w:hint="eastAsia" w:cs="宋体"/>
                <w:sz w:val="24"/>
                <w:szCs w:val="20"/>
              </w:rPr>
            </w:pPr>
            <w:r>
              <w:rPr>
                <w:rFonts w:hint="eastAsia" w:cs="宋体"/>
                <w:sz w:val="24"/>
                <w:szCs w:val="20"/>
              </w:rPr>
              <w:t>施工期间，将产生一定量的建筑垃圾和工程渣土，应及时堆放在指定的堆放点。施工单位应按照有关建筑垃圾和工程渣土处置等管理规定，与接纳单位签定环境卫生责任书，施工单位应有专人负责，对渣土垃圾的处置实施现场管理。此外，在工程竣工后，施工单位应负责将工地的剩余建筑垃圾、工程渣土处理干净</w:t>
            </w:r>
            <w:r>
              <w:rPr>
                <w:rFonts w:hint="eastAsia" w:cs="宋体"/>
                <w:sz w:val="24"/>
                <w:szCs w:val="20"/>
                <w:lang w:eastAsia="zh-CN"/>
              </w:rPr>
              <w:t>，</w:t>
            </w:r>
            <w:r>
              <w:rPr>
                <w:rFonts w:hint="eastAsia" w:cs="宋体"/>
                <w:sz w:val="24"/>
                <w:szCs w:val="20"/>
              </w:rPr>
              <w:t>建设单位应负责督促工作。</w:t>
            </w:r>
          </w:p>
          <w:p>
            <w:pPr>
              <w:spacing w:line="480" w:lineRule="exact"/>
              <w:ind w:firstLine="480" w:firstLineChars="200"/>
              <w:rPr>
                <w:rFonts w:cs="宋体"/>
                <w:sz w:val="24"/>
                <w:szCs w:val="20"/>
              </w:rPr>
            </w:pPr>
            <w:r>
              <w:rPr>
                <w:rFonts w:hint="eastAsia" w:cs="宋体"/>
                <w:sz w:val="24"/>
                <w:szCs w:val="20"/>
                <w:lang w:val="en-US" w:eastAsia="zh-CN"/>
              </w:rPr>
              <w:t>本项目施工期为8个月，高峰期施工工人按20人计，生活垃圾产生量按0.5kg/d·人计，则生活垃圾产生量为10kg/d，施工期生活垃圾产生量为2.7t。</w:t>
            </w:r>
            <w:r>
              <w:rPr>
                <w:rFonts w:cs="宋体"/>
                <w:sz w:val="24"/>
                <w:szCs w:val="20"/>
              </w:rPr>
              <w:t>生活垃圾以有机垃圾为主，随意抛弃易产生腐烂</w:t>
            </w:r>
            <w:r>
              <w:rPr>
                <w:rFonts w:hint="eastAsia" w:cs="宋体"/>
                <w:sz w:val="24"/>
                <w:szCs w:val="20"/>
              </w:rPr>
              <w:t>、发</w:t>
            </w:r>
            <w:r>
              <w:rPr>
                <w:rFonts w:cs="宋体"/>
                <w:sz w:val="24"/>
                <w:szCs w:val="20"/>
              </w:rPr>
              <w:t>酵</w:t>
            </w:r>
            <w:r>
              <w:rPr>
                <w:rFonts w:hint="eastAsia" w:cs="宋体"/>
                <w:sz w:val="24"/>
                <w:szCs w:val="20"/>
              </w:rPr>
              <w:t>既</w:t>
            </w:r>
            <w:r>
              <w:rPr>
                <w:rFonts w:cs="宋体"/>
                <w:sz w:val="24"/>
                <w:szCs w:val="20"/>
              </w:rPr>
              <w:t>污染水体环境，同时由于发酵而蚊蝇滋生，并产生臭废气污染环境，所以在建设期间，生活垃圾要集中定点收集，</w:t>
            </w:r>
            <w:r>
              <w:rPr>
                <w:rFonts w:hint="eastAsia" w:cs="宋体"/>
                <w:sz w:val="24"/>
                <w:szCs w:val="20"/>
              </w:rPr>
              <w:t>定期交由当地环卫部门清运</w:t>
            </w:r>
            <w:r>
              <w:rPr>
                <w:rFonts w:cs="宋体"/>
                <w:sz w:val="24"/>
                <w:szCs w:val="20"/>
              </w:rPr>
              <w:t>，不得任意堆放和丢弃，以减少对环境的影响。</w:t>
            </w:r>
          </w:p>
          <w:p>
            <w:pPr>
              <w:spacing w:line="480" w:lineRule="exact"/>
              <w:ind w:firstLine="482" w:firstLineChars="200"/>
              <w:rPr>
                <w:rFonts w:cs="宋体"/>
                <w:b/>
                <w:sz w:val="24"/>
                <w:szCs w:val="20"/>
              </w:rPr>
            </w:pPr>
            <w:r>
              <w:rPr>
                <w:rFonts w:hint="eastAsia" w:cs="宋体"/>
                <w:b/>
                <w:sz w:val="24"/>
                <w:szCs w:val="20"/>
              </w:rPr>
              <w:t>5、水土流失影响分析</w:t>
            </w:r>
          </w:p>
          <w:p>
            <w:pPr>
              <w:spacing w:line="480" w:lineRule="exact"/>
              <w:ind w:firstLine="480" w:firstLineChars="200"/>
              <w:rPr>
                <w:rFonts w:cs="宋体"/>
                <w:sz w:val="24"/>
                <w:szCs w:val="20"/>
              </w:rPr>
            </w:pPr>
            <w:r>
              <w:rPr>
                <w:rFonts w:cs="宋体"/>
                <w:sz w:val="24"/>
                <w:szCs w:val="20"/>
              </w:rPr>
              <w:t>本项目属于</w:t>
            </w:r>
            <w:r>
              <w:rPr>
                <w:rFonts w:hint="eastAsia" w:cs="宋体"/>
                <w:sz w:val="24"/>
                <w:szCs w:val="20"/>
              </w:rPr>
              <w:t>新建</w:t>
            </w:r>
            <w:r>
              <w:rPr>
                <w:rFonts w:cs="宋体"/>
                <w:sz w:val="24"/>
                <w:szCs w:val="20"/>
              </w:rPr>
              <w:t>项目，</w:t>
            </w:r>
            <w:r>
              <w:rPr>
                <w:rFonts w:hint="eastAsia" w:cs="宋体"/>
                <w:sz w:val="24"/>
                <w:szCs w:val="20"/>
                <w:lang w:eastAsia="zh-CN"/>
              </w:rPr>
              <w:t>且</w:t>
            </w:r>
            <w:r>
              <w:rPr>
                <w:rFonts w:hint="eastAsia" w:cs="宋体"/>
                <w:sz w:val="24"/>
                <w:szCs w:val="20"/>
              </w:rPr>
              <w:t>该建设场地现为自然边坡</w:t>
            </w:r>
            <w:r>
              <w:rPr>
                <w:rFonts w:hint="eastAsia" w:cs="宋体"/>
                <w:sz w:val="24"/>
                <w:szCs w:val="20"/>
                <w:lang w:eastAsia="zh-CN"/>
              </w:rPr>
              <w:t>，原始地形坡度30%～50%，坡面长有杂草及矮树丛，主要为旱地。目前该边坡现状比较稳定状态，无滑坡掉块现象。</w:t>
            </w:r>
            <w:r>
              <w:rPr>
                <w:rFonts w:cs="宋体"/>
                <w:sz w:val="24"/>
                <w:szCs w:val="20"/>
              </w:rPr>
              <w:t>在施工期需进行土石方的开挖。建设项目土建施工，由于土地的开挖，原场址上的</w:t>
            </w:r>
            <w:r>
              <w:rPr>
                <w:rFonts w:hint="eastAsia" w:cs="宋体"/>
                <w:sz w:val="24"/>
                <w:szCs w:val="20"/>
              </w:rPr>
              <w:t>植被</w:t>
            </w:r>
            <w:r>
              <w:rPr>
                <w:rFonts w:cs="宋体"/>
                <w:sz w:val="24"/>
                <w:szCs w:val="20"/>
              </w:rPr>
              <w:t>破坏，由于土地被扰动不可避免产生水土流失。评价区域地处</w:t>
            </w:r>
            <w:r>
              <w:rPr>
                <w:rFonts w:hint="eastAsia" w:cs="宋体"/>
                <w:sz w:val="24"/>
                <w:szCs w:val="20"/>
              </w:rPr>
              <w:t>植被茂密地区</w:t>
            </w:r>
            <w:r>
              <w:rPr>
                <w:rFonts w:cs="宋体"/>
                <w:sz w:val="24"/>
                <w:szCs w:val="20"/>
              </w:rPr>
              <w:t>，评价区域内水土流失为轻度流失。</w:t>
            </w:r>
          </w:p>
          <w:p>
            <w:pPr>
              <w:spacing w:line="480" w:lineRule="exact"/>
              <w:ind w:firstLine="480" w:firstLineChars="200"/>
              <w:rPr>
                <w:rFonts w:cs="宋体"/>
                <w:sz w:val="24"/>
                <w:szCs w:val="20"/>
              </w:rPr>
            </w:pPr>
            <w:r>
              <w:rPr>
                <w:rFonts w:cs="宋体"/>
                <w:sz w:val="24"/>
                <w:szCs w:val="20"/>
              </w:rPr>
              <w:t>施工过程中，土方填挖、泥土转运装卸作业过程中的堆放时，都可能出现散落和水土流失，使土壤暴露情况加剧。施工过程中的水土流失不但影响工程进度和工程质量，还作为一种废物或污染物往外排放，会对场区周围环境产生影响。故施工期的水土流失问题值得注意，应采取必要的措施加以控制。</w:t>
            </w:r>
          </w:p>
          <w:p>
            <w:pPr>
              <w:spacing w:line="480" w:lineRule="exact"/>
              <w:ind w:firstLine="480" w:firstLineChars="200"/>
              <w:rPr>
                <w:rFonts w:cs="宋体"/>
                <w:sz w:val="24"/>
                <w:szCs w:val="20"/>
              </w:rPr>
            </w:pPr>
            <w:r>
              <w:rPr>
                <w:rFonts w:cs="宋体"/>
                <w:sz w:val="24"/>
                <w:szCs w:val="20"/>
              </w:rPr>
              <w:t>因此，该区域在建设过程中，应严格按照水土保持有关规定的要求进行施工，选择好基础工程开挖时段，做好临时取弃土场的水土保持防护工程，在破土开挖段应采用水土流失防护栏（网）。基础设计建设中应按规范要求进行水土保持工程措施和绿化措施的建设。</w:t>
            </w:r>
          </w:p>
          <w:p>
            <w:pPr>
              <w:spacing w:line="480" w:lineRule="exact"/>
              <w:ind w:firstLine="480" w:firstLineChars="200"/>
              <w:rPr>
                <w:rFonts w:cs="宋体"/>
                <w:sz w:val="24"/>
                <w:szCs w:val="20"/>
              </w:rPr>
            </w:pPr>
            <w:r>
              <w:rPr>
                <w:rFonts w:cs="宋体"/>
                <w:sz w:val="24"/>
                <w:szCs w:val="20"/>
              </w:rPr>
              <w:t>因此，评价要求做好以下几方面的水土流失防止措施：</w:t>
            </w:r>
          </w:p>
          <w:p>
            <w:pPr>
              <w:spacing w:line="480" w:lineRule="exact"/>
              <w:ind w:firstLine="480" w:firstLineChars="200"/>
              <w:rPr>
                <w:rFonts w:cs="宋体"/>
                <w:sz w:val="24"/>
                <w:szCs w:val="20"/>
              </w:rPr>
            </w:pPr>
            <w:r>
              <w:rPr>
                <w:rFonts w:hint="eastAsia" w:cs="宋体"/>
                <w:sz w:val="24"/>
                <w:szCs w:val="20"/>
              </w:rPr>
              <w:t>（1）对地表明挖，做好临时防护措施，避免土（渣）造成水土流失，要求及时转运至规定地点堆放，对堆放点进行临时绿化；</w:t>
            </w:r>
          </w:p>
          <w:p>
            <w:pPr>
              <w:spacing w:line="480" w:lineRule="exact"/>
              <w:ind w:firstLine="480" w:firstLineChars="200"/>
              <w:rPr>
                <w:rFonts w:cs="宋体"/>
                <w:sz w:val="24"/>
                <w:szCs w:val="20"/>
              </w:rPr>
            </w:pPr>
            <w:r>
              <w:rPr>
                <w:rFonts w:hint="eastAsia" w:cs="宋体"/>
                <w:sz w:val="24"/>
                <w:szCs w:val="20"/>
              </w:rPr>
              <w:t>（2）根据对工程建设过程中扰动、破坏原地表面积的预测，工程建筑物开挖及施工临时设施占地将对原地表具有水土保持功能的设施构成破坏，按相关法律法规要求应予补偿；</w:t>
            </w:r>
          </w:p>
          <w:p>
            <w:pPr>
              <w:spacing w:line="480" w:lineRule="exact"/>
              <w:ind w:firstLine="480" w:firstLineChars="200"/>
              <w:rPr>
                <w:rFonts w:cs="宋体"/>
                <w:sz w:val="24"/>
                <w:szCs w:val="20"/>
              </w:rPr>
            </w:pPr>
            <w:r>
              <w:rPr>
                <w:rFonts w:hint="eastAsia" w:cs="宋体"/>
                <w:sz w:val="24"/>
                <w:szCs w:val="20"/>
              </w:rPr>
              <w:t>（3）在施工期为防止雨洪径流对临时堆料场和渣体的冲刷，采取编织袋或其它遮盖物进行遮盖，减少流失；并尽量避开雨季进行开挖工程。</w:t>
            </w:r>
          </w:p>
          <w:p>
            <w:pPr>
              <w:spacing w:line="480" w:lineRule="exact"/>
              <w:ind w:firstLine="480" w:firstLineChars="200"/>
              <w:rPr>
                <w:rFonts w:cs="宋体"/>
                <w:sz w:val="24"/>
                <w:szCs w:val="28"/>
              </w:rPr>
            </w:pPr>
            <w:r>
              <w:rPr>
                <w:rFonts w:hint="eastAsia" w:cs="宋体"/>
                <w:sz w:val="24"/>
                <w:szCs w:val="20"/>
              </w:rPr>
              <w:t>（4）完善场地内排水系统，设置导流排水沟渠，设置雨水池。</w:t>
            </w:r>
          </w:p>
          <w:p>
            <w:pPr>
              <w:spacing w:line="360" w:lineRule="auto"/>
              <w:rPr>
                <w:rStyle w:val="64"/>
                <w:rFonts w:ascii="Times New Roman" w:hAnsi="Times New Roman" w:eastAsiaTheme="minorEastAsia"/>
                <w:sz w:val="28"/>
                <w:szCs w:val="30"/>
              </w:rPr>
            </w:pPr>
            <w:r>
              <w:rPr>
                <w:rStyle w:val="64"/>
                <w:rFonts w:ascii="Times New Roman" w:hAnsi="Times New Roman" w:eastAsiaTheme="minorEastAsia"/>
                <w:sz w:val="28"/>
                <w:szCs w:val="30"/>
              </w:rPr>
              <w:t>二、运营期环境影响分析</w:t>
            </w:r>
          </w:p>
          <w:p>
            <w:pPr>
              <w:spacing w:line="360" w:lineRule="auto"/>
              <w:ind w:firstLine="472" w:firstLineChars="196"/>
              <w:rPr>
                <w:rFonts w:eastAsiaTheme="minorEastAsia"/>
                <w:b/>
                <w:color w:val="000000" w:themeColor="text1"/>
                <w:sz w:val="24"/>
                <w14:textFill>
                  <w14:solidFill>
                    <w14:schemeClr w14:val="tx1"/>
                  </w14:solidFill>
                </w14:textFill>
              </w:rPr>
            </w:pPr>
            <w:r>
              <w:rPr>
                <w:rFonts w:eastAsiaTheme="minorEastAsia"/>
                <w:b/>
                <w:color w:val="000000" w:themeColor="text1"/>
                <w:sz w:val="24"/>
                <w14:textFill>
                  <w14:solidFill>
                    <w14:schemeClr w14:val="tx1"/>
                  </w14:solidFill>
                </w14:textFill>
              </w:rPr>
              <w:t>1、大气环境影响分析</w:t>
            </w:r>
          </w:p>
          <w:p>
            <w:pPr>
              <w:pStyle w:val="97"/>
              <w:bidi w:val="0"/>
              <w:rPr>
                <w:rFonts w:hint="eastAsia"/>
              </w:rPr>
            </w:pPr>
            <w:r>
              <w:rPr>
                <w:rFonts w:hint="eastAsia"/>
                <w:lang w:val="en-US" w:eastAsia="zh-CN"/>
              </w:rPr>
              <w:t>（1）</w:t>
            </w:r>
            <w:r>
              <w:rPr>
                <w:rFonts w:hint="eastAsia"/>
              </w:rPr>
              <w:t>污染物产生及治理措施</w:t>
            </w:r>
          </w:p>
          <w:p>
            <w:pPr>
              <w:pStyle w:val="97"/>
              <w:bidi w:val="0"/>
              <w:rPr>
                <w:rFonts w:hint="default"/>
                <w:lang w:val="en-US" w:eastAsia="zh-CN"/>
              </w:rPr>
            </w:pPr>
            <w:r>
              <w:rPr>
                <w:rFonts w:hint="default"/>
                <w:lang w:val="en-US" w:eastAsia="zh-CN"/>
              </w:rPr>
              <w:t>项目运营后，大气污染物主要来源于各个过程中逸出的闪蒸汽、机动车尾气。其中，设备微量泄漏和放散的天然气通过放散管直接排放。汽车尾气则采取自然扩散方式。</w:t>
            </w:r>
          </w:p>
          <w:p>
            <w:pPr>
              <w:pStyle w:val="97"/>
              <w:bidi w:val="0"/>
              <w:rPr>
                <w:rFonts w:hint="default"/>
                <w:lang w:val="en-US" w:eastAsia="zh-CN"/>
              </w:rPr>
            </w:pPr>
            <w:r>
              <w:rPr>
                <w:rFonts w:hint="default"/>
                <w:lang w:val="en-US" w:eastAsia="zh-CN"/>
              </w:rPr>
              <w:t>本项目大气污染物经过上述措施处理后均能做到达标排放，项目放散管的设置符合根据《汽车加油加气站设计与施工规范》(GB50156-2012) 的要求，经过集中放散立管的快速泄放，有利于天然气的快速扩散，而本项目所在地周边较为空旷，有利于废气的扩散，因此，项目废气的排放不会对项目所在地的大气环境质量造成影响。</w:t>
            </w:r>
          </w:p>
          <w:p>
            <w:pPr>
              <w:pStyle w:val="97"/>
              <w:bidi w:val="0"/>
              <w:rPr>
                <w:rFonts w:hint="default"/>
                <w:b/>
                <w:bCs/>
                <w:lang w:val="en-US" w:eastAsia="zh-CN"/>
              </w:rPr>
            </w:pPr>
            <w:r>
              <w:rPr>
                <w:rFonts w:hint="eastAsia"/>
                <w:b/>
                <w:bCs/>
                <w:lang w:val="en-US" w:eastAsia="zh-CN"/>
              </w:rPr>
              <w:t xml:space="preserve"> </w:t>
            </w:r>
            <w:r>
              <w:rPr>
                <w:rFonts w:hint="default"/>
                <w:b/>
                <w:bCs/>
                <w:lang w:val="en-US" w:eastAsia="zh-CN"/>
              </w:rPr>
              <w:t>加气工艺产生的有机废气：</w:t>
            </w:r>
          </w:p>
          <w:p>
            <w:pPr>
              <w:pStyle w:val="97"/>
              <w:bidi w:val="0"/>
              <w:rPr>
                <w:rFonts w:hint="default"/>
                <w:b/>
                <w:bCs/>
                <w:lang w:val="en-US" w:eastAsia="zh-CN"/>
              </w:rPr>
            </w:pPr>
            <w:r>
              <w:rPr>
                <w:rFonts w:hint="default"/>
                <w:b/>
                <w:bCs/>
                <w:lang w:val="en-US" w:eastAsia="zh-CN"/>
              </w:rPr>
              <w:t>① 卸车、储存和加气过程</w:t>
            </w:r>
          </w:p>
          <w:p>
            <w:pPr>
              <w:pStyle w:val="97"/>
              <w:bidi w:val="0"/>
              <w:rPr>
                <w:rFonts w:hint="default"/>
                <w:lang w:val="en-US" w:eastAsia="zh-CN"/>
              </w:rPr>
            </w:pPr>
            <w:r>
              <w:rPr>
                <w:rFonts w:hint="default"/>
                <w:lang w:val="en-US" w:eastAsia="zh-CN"/>
              </w:rPr>
              <w:t>LNG 卸车、加气过程中逸出的少量天然气。LNG 卸车、加气过程中，接头处难免有微量天然气逸出，产生的天然气对空自然排放。</w:t>
            </w:r>
          </w:p>
          <w:p>
            <w:pPr>
              <w:pStyle w:val="97"/>
              <w:bidi w:val="0"/>
              <w:rPr>
                <w:rFonts w:hint="default"/>
                <w:lang w:val="en-US" w:eastAsia="zh-CN"/>
              </w:rPr>
            </w:pPr>
            <w:r>
              <w:rPr>
                <w:rFonts w:hint="default"/>
                <w:lang w:val="en-US" w:eastAsia="zh-CN"/>
              </w:rPr>
              <w:t>根据设计资料，项目日最大加气量为15万Nm³/d。根据同类型加气站有关资料和类比调查，加气站天然气无组织排放量约为加气量的万分之一，据此，本项目设计日加气能力为15万Nm³/d（5400万Nm³/a）,则天然气的泄漏量约为15m³/d（5400m³/a），天燃气的密度取0.68kg/m³，则无组织废气排放量为0.425kg/h（3672kg/a）。根据天然气组分及性质，其中甲烷占98.9%，非甲烷总烃占0.2%，则甲烷的排放量为0.420kg/h（3631kg/a），非甲烷的排放量为0.0009kg/h（7.3kg/a）。</w:t>
            </w:r>
          </w:p>
          <w:p>
            <w:pPr>
              <w:pStyle w:val="97"/>
              <w:bidi w:val="0"/>
              <w:rPr>
                <w:rFonts w:hint="default"/>
                <w:b/>
                <w:bCs/>
                <w:lang w:val="en-US" w:eastAsia="zh-CN"/>
              </w:rPr>
            </w:pPr>
            <w:r>
              <w:rPr>
                <w:rFonts w:hint="default"/>
                <w:b/>
                <w:bCs/>
                <w:lang w:val="en-US" w:eastAsia="zh-CN"/>
              </w:rPr>
              <w:t xml:space="preserve">② </w:t>
            </w:r>
            <w:r>
              <w:rPr>
                <w:rFonts w:hint="eastAsia"/>
                <w:b/>
                <w:bCs/>
                <w:lang w:val="en-US" w:eastAsia="zh-CN"/>
              </w:rPr>
              <w:t>LNG储罐闪蒸汽</w:t>
            </w:r>
          </w:p>
          <w:p>
            <w:pPr>
              <w:pStyle w:val="97"/>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LNG储罐闪蒸汽主要以总烃的形式存在。根据类比分析及储罐总容积，LNG储罐的日蒸发率≤0.3%，所以本项目总容积60m³的LNG储罐闪蒸汽最大产生量为108m³/d。排放量为0.16kg/h（1.42t/a），根据天然气组分及性质，其中甲烷占98.9%，非甲烷总烃占0.2%，则放散管的甲烷排放量为0.158kg/h（138</w:t>
            </w:r>
            <w:r>
              <w:rPr>
                <w:rFonts w:hint="eastAsia"/>
                <w:color w:val="000000" w:themeColor="text1"/>
                <w:lang w:val="en-US" w:eastAsia="zh-CN"/>
                <w14:textFill>
                  <w14:solidFill>
                    <w14:schemeClr w14:val="tx1"/>
                  </w14:solidFill>
                </w14:textFill>
              </w:rPr>
              <w:t>0kg</w:t>
            </w:r>
            <w:r>
              <w:rPr>
                <w:rFonts w:hint="default"/>
                <w:color w:val="000000" w:themeColor="text1"/>
                <w:lang w:val="en-US" w:eastAsia="zh-CN"/>
                <w14:textFill>
                  <w14:solidFill>
                    <w14:schemeClr w14:val="tx1"/>
                  </w14:solidFill>
                </w14:textFill>
              </w:rPr>
              <w:t>/a），非甲烷总烃的排放量为0.0003kg/h（3kg/a）</w:t>
            </w:r>
          </w:p>
          <w:p>
            <w:pPr>
              <w:pStyle w:val="97"/>
              <w:bidi w:val="0"/>
              <w:rPr>
                <w:rFonts w:hint="default"/>
                <w:b/>
                <w:bCs/>
                <w:lang w:val="en-US" w:eastAsia="zh-CN"/>
              </w:rPr>
            </w:pPr>
            <w:r>
              <w:rPr>
                <w:rFonts w:hint="default"/>
                <w:b/>
                <w:bCs/>
                <w:lang w:val="en-US" w:eastAsia="zh-CN"/>
              </w:rPr>
              <w:t>③ 加气废气</w:t>
            </w:r>
          </w:p>
          <w:p>
            <w:pPr>
              <w:pStyle w:val="97"/>
              <w:bidi w:val="0"/>
              <w:rPr>
                <w:rFonts w:hint="default"/>
                <w:lang w:val="en-US" w:eastAsia="zh-CN"/>
              </w:rPr>
            </w:pPr>
            <w:r>
              <w:rPr>
                <w:rFonts w:hint="default"/>
                <w:lang w:val="en-US" w:eastAsia="zh-CN"/>
              </w:rPr>
              <w:t>向汽车加注 LNG 时，由于车载 LNG 储气瓶内温度、压力较高，将产生少量气相天然气。通过加气机自带尾气回收装置及加气枪的气相管回到 LNG 储罐，未收</w:t>
            </w:r>
          </w:p>
          <w:p>
            <w:pPr>
              <w:pStyle w:val="97"/>
              <w:bidi w:val="0"/>
              <w:ind w:left="0" w:leftChars="0" w:firstLine="0" w:firstLineChars="0"/>
              <w:rPr>
                <w:rFonts w:hint="default"/>
                <w:lang w:val="en-US" w:eastAsia="zh-CN"/>
              </w:rPr>
            </w:pPr>
            <w:r>
              <w:rPr>
                <w:rFonts w:hint="default"/>
                <w:lang w:val="en-US" w:eastAsia="zh-CN"/>
              </w:rPr>
              <w:t>集到的少量天然气很快扩散，对环境空气质量影响甚微。</w:t>
            </w:r>
          </w:p>
          <w:p>
            <w:pPr>
              <w:pStyle w:val="97"/>
              <w:bidi w:val="0"/>
              <w:rPr>
                <w:rFonts w:hint="default"/>
                <w:b/>
                <w:bCs/>
                <w:lang w:val="en-US" w:eastAsia="zh-CN"/>
              </w:rPr>
            </w:pPr>
            <w:r>
              <w:rPr>
                <w:rFonts w:hint="default"/>
                <w:b/>
                <w:bCs/>
                <w:lang w:val="en-US" w:eastAsia="zh-CN"/>
              </w:rPr>
              <w:t>④ 逸出天然气</w:t>
            </w:r>
          </w:p>
          <w:p>
            <w:pPr>
              <w:pStyle w:val="97"/>
              <w:bidi w:val="0"/>
              <w:rPr>
                <w:rFonts w:hint="default"/>
                <w:lang w:val="en-US" w:eastAsia="zh-CN"/>
              </w:rPr>
            </w:pPr>
            <w:r>
              <w:rPr>
                <w:rFonts w:hint="default"/>
                <w:lang w:val="en-US" w:eastAsia="zh-CN"/>
              </w:rPr>
              <w:t>项目卸车工序中接头处及 LNG 加注工序中加注过程逸出的微量天然气，逸漏的天然气均未达到可燃气体报警系统检出限值，同时由于天然气基本不含有毒物质，比重轻，且属间断、无规律性排放，其泄漏的少量天然气很快扩散，对环境空气质量影响甚微。本项目按照规范要求在作业区等危险场所设置可燃气体泄漏检测装置，防止气体泄漏。</w:t>
            </w:r>
          </w:p>
          <w:p>
            <w:pPr>
              <w:pStyle w:val="97"/>
              <w:bidi w:val="0"/>
              <w:rPr>
                <w:rFonts w:hint="default"/>
                <w:lang w:val="en-US" w:eastAsia="zh-CN"/>
              </w:rPr>
            </w:pPr>
            <w:r>
              <w:rPr>
                <w:rFonts w:hint="default"/>
                <w:lang w:val="en-US" w:eastAsia="zh-CN"/>
              </w:rPr>
              <w:t>综上所述，本项目运营期卸车、储存和加气过程系统逸出的少量天然气及低温放散</w:t>
            </w:r>
            <w:r>
              <w:rPr>
                <w:rFonts w:hint="default"/>
                <w:color w:val="000000" w:themeColor="text1"/>
                <w:lang w:val="en-US" w:eastAsia="zh-CN"/>
                <w14:textFill>
                  <w14:solidFill>
                    <w14:schemeClr w14:val="tx1"/>
                  </w14:solidFill>
                </w14:textFill>
              </w:rPr>
              <w:t xml:space="preserve">系统 LNG 系统工艺设备和管道检修逸出的少量天然气共 </w:t>
            </w:r>
            <w:r>
              <w:rPr>
                <w:rFonts w:hint="eastAsia"/>
                <w:color w:val="000000" w:themeColor="text1"/>
                <w:lang w:val="en-US" w:eastAsia="zh-CN"/>
                <w14:textFill>
                  <w14:solidFill>
                    <w14:schemeClr w14:val="tx1"/>
                  </w14:solidFill>
                </w14:textFill>
              </w:rPr>
              <w:t>0.578</w:t>
            </w:r>
            <w:r>
              <w:rPr>
                <w:rFonts w:hint="default"/>
                <w:color w:val="000000" w:themeColor="text1"/>
                <w:lang w:val="en-US" w:eastAsia="zh-CN"/>
                <w14:textFill>
                  <w14:solidFill>
                    <w14:schemeClr w14:val="tx1"/>
                  </w14:solidFill>
                </w14:textFill>
              </w:rPr>
              <w:t>kg/</w:t>
            </w:r>
            <w:r>
              <w:rPr>
                <w:rFonts w:hint="eastAsia"/>
                <w:color w:val="000000" w:themeColor="text1"/>
                <w:lang w:val="en-US" w:eastAsia="zh-CN"/>
                <w14:textFill>
                  <w14:solidFill>
                    <w14:schemeClr w14:val="tx1"/>
                  </w14:solidFill>
                </w14:textFill>
              </w:rPr>
              <w:t>h</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5011</w:t>
            </w:r>
            <w:r>
              <w:rPr>
                <w:rFonts w:hint="default"/>
                <w:color w:val="000000" w:themeColor="text1"/>
                <w:lang w:val="en-US" w:eastAsia="zh-CN"/>
                <w14:textFill>
                  <w14:solidFill>
                    <w14:schemeClr w14:val="tx1"/>
                  </w14:solidFill>
                </w14:textFill>
              </w:rPr>
              <w:t>t/a。其中，C</w:t>
            </w:r>
            <w:r>
              <w:rPr>
                <w:rFonts w:hint="default"/>
                <w:color w:val="000000" w:themeColor="text1"/>
                <w:vertAlign w:val="subscript"/>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H</w:t>
            </w:r>
            <w:r>
              <w:rPr>
                <w:rFonts w:hint="default"/>
                <w:color w:val="000000" w:themeColor="text1"/>
                <w:vertAlign w:val="subscript"/>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、C</w:t>
            </w:r>
            <w:r>
              <w:rPr>
                <w:rFonts w:hint="default"/>
                <w:color w:val="000000" w:themeColor="text1"/>
                <w:vertAlign w:val="sub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H</w:t>
            </w:r>
            <w:r>
              <w:rPr>
                <w:rFonts w:hint="default"/>
                <w:color w:val="000000" w:themeColor="text1"/>
                <w:vertAlign w:val="subscript"/>
                <w:lang w:val="en-US" w:eastAsia="zh-CN"/>
                <w14:textFill>
                  <w14:solidFill>
                    <w14:schemeClr w14:val="tx1"/>
                  </w14:solidFill>
                </w14:textFill>
              </w:rPr>
              <w:t>8</w:t>
            </w:r>
            <w:r>
              <w:rPr>
                <w:rFonts w:hint="default"/>
                <w:color w:val="000000" w:themeColor="text1"/>
                <w:lang w:val="en-US" w:eastAsia="zh-CN"/>
                <w14:textFill>
                  <w14:solidFill>
                    <w14:schemeClr w14:val="tx1"/>
                  </w14:solidFill>
                </w14:textFill>
              </w:rPr>
              <w:t xml:space="preserve"> 等非甲烷总烃排放量约 0.2%，为 </w:t>
            </w:r>
            <w:r>
              <w:rPr>
                <w:rFonts w:hint="eastAsia"/>
                <w:color w:val="000000" w:themeColor="text1"/>
                <w:lang w:val="en-US" w:eastAsia="zh-CN"/>
                <w14:textFill>
                  <w14:solidFill>
                    <w14:schemeClr w14:val="tx1"/>
                  </w14:solidFill>
                </w14:textFill>
              </w:rPr>
              <w:t>0.012</w:t>
            </w:r>
            <w:r>
              <w:rPr>
                <w:rFonts w:hint="default"/>
                <w:color w:val="000000" w:themeColor="text1"/>
                <w:lang w:val="en-US" w:eastAsia="zh-CN"/>
                <w14:textFill>
                  <w14:solidFill>
                    <w14:schemeClr w14:val="tx1"/>
                  </w14:solidFill>
                </w14:textFill>
              </w:rPr>
              <w:t>kg/</w:t>
            </w:r>
            <w:r>
              <w:rPr>
                <w:rFonts w:hint="eastAsia"/>
                <w:color w:val="000000" w:themeColor="text1"/>
                <w:lang w:val="en-US" w:eastAsia="zh-CN"/>
                <w14:textFill>
                  <w14:solidFill>
                    <w14:schemeClr w14:val="tx1"/>
                  </w14:solidFill>
                </w14:textFill>
              </w:rPr>
              <w:t>h</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10.3</w:t>
            </w:r>
            <w:r>
              <w:rPr>
                <w:rFonts w:hint="default"/>
                <w:color w:val="000000" w:themeColor="text1"/>
                <w:lang w:val="en-US" w:eastAsia="zh-CN"/>
                <w14:textFill>
                  <w14:solidFill>
                    <w14:schemeClr w14:val="tx1"/>
                  </w14:solidFill>
                </w14:textFill>
              </w:rPr>
              <w:t>kg/</w:t>
            </w:r>
            <w:r>
              <w:rPr>
                <w:rFonts w:hint="eastAsia"/>
                <w:color w:val="000000" w:themeColor="text1"/>
                <w:lang w:val="en-US" w:eastAsia="zh-CN"/>
                <w14:textFill>
                  <w14:solidFill>
                    <w14:schemeClr w14:val="tx1"/>
                  </w14:solidFill>
                </w14:textFill>
              </w:rPr>
              <w:t>a</w:t>
            </w:r>
            <w:r>
              <w:rPr>
                <w:rFonts w:hint="default"/>
                <w:color w:val="000000" w:themeColor="text1"/>
                <w:lang w:val="en-US" w:eastAsia="zh-CN"/>
                <w14:textFill>
                  <w14:solidFill>
                    <w14:schemeClr w14:val="tx1"/>
                  </w14:solidFill>
                </w14:textFill>
              </w:rPr>
              <w:t>）。</w:t>
            </w:r>
            <w:r>
              <w:rPr>
                <w:rFonts w:hint="default"/>
                <w:lang w:val="en-US" w:eastAsia="zh-CN"/>
              </w:rPr>
              <w:t>本项目设置一套 EAG 放散系统，放散经 LNG 卸压时产生的废气。放散天然气经过 EAG 系统加热后，使比空气更重的天然气比重变低，密度低于空气，再由放散管排放。由于放散量小，天然气相对空气的比重较低，放散天然气会迅速进入大气层而不会聚集。</w:t>
            </w:r>
          </w:p>
          <w:p>
            <w:pPr>
              <w:pStyle w:val="97"/>
              <w:bidi w:val="0"/>
              <w:rPr>
                <w:rFonts w:hint="default"/>
                <w:b/>
                <w:bCs/>
                <w:lang w:val="en-US" w:eastAsia="zh-CN"/>
              </w:rPr>
            </w:pPr>
            <w:r>
              <w:rPr>
                <w:rFonts w:hint="default"/>
                <w:b/>
                <w:bCs/>
                <w:lang w:val="en-US" w:eastAsia="zh-CN"/>
              </w:rPr>
              <w:t>汽车尾气</w:t>
            </w:r>
          </w:p>
          <w:p>
            <w:pPr>
              <w:pStyle w:val="97"/>
              <w:bidi w:val="0"/>
              <w:rPr>
                <w:rFonts w:hint="default"/>
                <w:b/>
                <w:bCs/>
                <w:lang w:val="en-US" w:eastAsia="zh-CN"/>
              </w:rPr>
            </w:pPr>
            <w:r>
              <w:rPr>
                <w:rFonts w:hint="default"/>
                <w:lang w:val="en-US" w:eastAsia="zh-CN"/>
              </w:rPr>
              <w:t>进出加气站的车辆会产生少量汽车尾气，其特点是排放量小，且属间断性无组织排放，由于这一特点，应通过控制车辆行驶速度降低影响，通过大气的自净作用可以得到净化，鉴于项目场地开阔，扩散条件良好，因此对大气环境的影响甚微。</w:t>
            </w:r>
          </w:p>
          <w:p>
            <w:pPr>
              <w:pStyle w:val="97"/>
              <w:bidi w:val="0"/>
              <w:rPr>
                <w:rFonts w:hint="eastAsia"/>
                <w:b/>
                <w:bCs/>
                <w:lang w:val="en-US" w:eastAsia="zh-CN"/>
              </w:rPr>
            </w:pPr>
            <w:r>
              <w:rPr>
                <w:rFonts w:hint="eastAsia"/>
                <w:b/>
                <w:bCs/>
                <w:lang w:val="en-US" w:eastAsia="zh-CN"/>
              </w:rPr>
              <w:t>（2）大气环境影响估算和预测</w:t>
            </w:r>
          </w:p>
          <w:p>
            <w:pPr>
              <w:pStyle w:val="97"/>
              <w:bidi w:val="0"/>
              <w:rPr>
                <w:rFonts w:hint="default"/>
                <w:b w:val="0"/>
                <w:bCs w:val="0"/>
                <w:lang w:val="en-US" w:eastAsia="zh-CN"/>
              </w:rPr>
            </w:pPr>
            <w:r>
              <w:rPr>
                <w:rFonts w:hint="default"/>
                <w:b w:val="0"/>
                <w:bCs w:val="0"/>
                <w:lang w:val="en-US" w:eastAsia="zh-CN"/>
              </w:rPr>
              <w:t>1）评价因子及评价标准</w:t>
            </w:r>
          </w:p>
          <w:p>
            <w:pPr>
              <w:pStyle w:val="97"/>
              <w:bidi w:val="0"/>
              <w:rPr>
                <w:rFonts w:hint="default"/>
                <w:lang w:val="en-US" w:eastAsia="zh-CN"/>
              </w:rPr>
            </w:pPr>
            <w:r>
              <w:rPr>
                <w:rFonts w:hint="default"/>
                <w:lang w:val="en-US" w:eastAsia="zh-CN"/>
              </w:rPr>
              <w:t>根据本项目工程分析结果，本项目营运期正常排放的主要污染物为无组织排放非甲烷总烃。</w:t>
            </w:r>
          </w:p>
          <w:p>
            <w:pPr>
              <w:pStyle w:val="97"/>
              <w:bidi w:val="0"/>
              <w:rPr>
                <w:rFonts w:hint="default"/>
                <w:lang w:val="en-US" w:eastAsia="zh-CN"/>
              </w:rPr>
            </w:pPr>
            <w:r>
              <w:rPr>
                <w:rFonts w:hint="default"/>
                <w:lang w:val="en-US" w:eastAsia="zh-CN"/>
              </w:rPr>
              <w:t>根据《环境影响评价技术导则—大气环境》（HJ 2.2-2018）中推荐的大气评价工作等级划分原则，分别计算每一种污染物的最大地面空气质量浓度占标率 Pi（简称</w:t>
            </w:r>
            <w:r>
              <w:rPr>
                <w:rFonts w:hint="eastAsia"/>
                <w:lang w:val="en-US" w:eastAsia="zh-CN"/>
              </w:rPr>
              <w:t>“</w:t>
            </w:r>
            <w:r>
              <w:rPr>
                <w:rFonts w:hint="default"/>
                <w:lang w:val="en-US" w:eastAsia="zh-CN"/>
              </w:rPr>
              <w:t>最大浓度占标率</w:t>
            </w:r>
            <w:r>
              <w:rPr>
                <w:rFonts w:hint="eastAsia"/>
                <w:lang w:val="en-US" w:eastAsia="zh-CN"/>
              </w:rPr>
              <w:t>”</w:t>
            </w:r>
            <w:r>
              <w:rPr>
                <w:rFonts w:hint="default"/>
                <w:lang w:val="en-US" w:eastAsia="zh-CN"/>
              </w:rPr>
              <w:t>），计算公式如下：</w:t>
            </w:r>
          </w:p>
          <w:p>
            <w:pPr>
              <w:pStyle w:val="97"/>
              <w:bidi w:val="0"/>
              <w:jc w:val="center"/>
              <w:rPr>
                <w:rFonts w:hint="default" w:ascii="Cambria Math" w:hAnsi="Cambria Math"/>
                <w:i w:val="0"/>
                <w:sz w:val="28"/>
                <w:szCs w:val="21"/>
                <w:lang w:val="en-US" w:eastAsia="zh-CN"/>
              </w:rPr>
            </w:pPr>
            <m:oMathPara>
              <m:oMath>
                <m:sSub>
                  <m:sSubPr>
                    <m:ctrlPr>
                      <w:rPr>
                        <w:rFonts w:hint="default" w:ascii="Cambria Math" w:hAnsi="Cambria Math"/>
                        <w:i w:val="0"/>
                        <w:sz w:val="22"/>
                        <w:szCs w:val="18"/>
                        <w:lang w:val="en-US" w:eastAsia="zh-CN"/>
                      </w:rPr>
                    </m:ctrlPr>
                  </m:sSubPr>
                  <m:e>
                    <m:r>
                      <m:rPr>
                        <m:sty m:val="p"/>
                      </m:rPr>
                      <w:rPr>
                        <w:rFonts w:hint="default" w:ascii="Cambria Math" w:hAnsi="Cambria Math"/>
                        <w:sz w:val="22"/>
                        <w:szCs w:val="18"/>
                        <w:lang w:val="en-US" w:eastAsia="zh-CN"/>
                      </w:rPr>
                      <m:t>P</m:t>
                    </m:r>
                    <m:ctrlPr>
                      <w:rPr>
                        <w:rFonts w:hint="default" w:ascii="Cambria Math" w:hAnsi="Cambria Math"/>
                        <w:i w:val="0"/>
                        <w:sz w:val="22"/>
                        <w:szCs w:val="18"/>
                        <w:lang w:val="en-US" w:eastAsia="zh-CN"/>
                      </w:rPr>
                    </m:ctrlPr>
                  </m:e>
                  <m:sub>
                    <m:r>
                      <m:rPr>
                        <m:sty m:val="p"/>
                      </m:rPr>
                      <w:rPr>
                        <w:rFonts w:hint="default" w:ascii="Cambria Math" w:hAnsi="Cambria Math"/>
                        <w:sz w:val="22"/>
                        <w:szCs w:val="18"/>
                        <w:lang w:val="en-US" w:eastAsia="zh-CN"/>
                      </w:rPr>
                      <m:t>i</m:t>
                    </m:r>
                    <m:ctrlPr>
                      <w:rPr>
                        <w:rFonts w:hint="default" w:ascii="Cambria Math" w:hAnsi="Cambria Math"/>
                        <w:i w:val="0"/>
                        <w:sz w:val="22"/>
                        <w:szCs w:val="18"/>
                        <w:lang w:val="en-US" w:eastAsia="zh-CN"/>
                      </w:rPr>
                    </m:ctrlPr>
                  </m:sub>
                </m:sSub>
                <m:r>
                  <m:rPr>
                    <m:sty m:val="p"/>
                  </m:rPr>
                  <w:rPr>
                    <w:rFonts w:hint="default" w:ascii="Cambria Math" w:hAnsi="Cambria Math"/>
                    <w:sz w:val="22"/>
                    <w:szCs w:val="18"/>
                    <w:lang w:val="en-US" w:eastAsia="zh-CN"/>
                  </w:rPr>
                  <m:t>=</m:t>
                </m:r>
                <m:f>
                  <m:fPr>
                    <m:ctrlPr>
                      <w:rPr>
                        <w:rFonts w:hint="default" w:ascii="Cambria Math" w:hAnsi="Cambria Math"/>
                        <w:i w:val="0"/>
                        <w:sz w:val="22"/>
                        <w:szCs w:val="18"/>
                        <w:lang w:val="en-US" w:eastAsia="zh-CN"/>
                      </w:rPr>
                    </m:ctrlPr>
                  </m:fPr>
                  <m:num>
                    <m:sSub>
                      <m:sSubPr>
                        <m:ctrlPr>
                          <w:rPr>
                            <w:rFonts w:hint="default" w:ascii="Cambria Math" w:hAnsi="Cambria Math"/>
                            <w:i w:val="0"/>
                            <w:sz w:val="22"/>
                            <w:szCs w:val="18"/>
                            <w:lang w:val="en-US" w:eastAsia="zh-CN"/>
                          </w:rPr>
                        </m:ctrlPr>
                      </m:sSubPr>
                      <m:e>
                        <m:r>
                          <m:rPr>
                            <m:sty m:val="p"/>
                          </m:rPr>
                          <w:rPr>
                            <w:rFonts w:hint="default" w:ascii="Cambria Math" w:hAnsi="Cambria Math"/>
                            <w:sz w:val="22"/>
                            <w:szCs w:val="18"/>
                            <w:lang w:val="en-US" w:eastAsia="zh-CN"/>
                          </w:rPr>
                          <m:t>C</m:t>
                        </m:r>
                        <m:ctrlPr>
                          <w:rPr>
                            <w:rFonts w:hint="default" w:ascii="Cambria Math" w:hAnsi="Cambria Math"/>
                            <w:i w:val="0"/>
                            <w:sz w:val="22"/>
                            <w:szCs w:val="18"/>
                            <w:lang w:val="en-US" w:eastAsia="zh-CN"/>
                          </w:rPr>
                        </m:ctrlPr>
                      </m:e>
                      <m:sub>
                        <m:r>
                          <m:rPr>
                            <m:sty m:val="p"/>
                          </m:rPr>
                          <w:rPr>
                            <w:rFonts w:hint="default" w:ascii="Cambria Math" w:hAnsi="Cambria Math"/>
                            <w:sz w:val="22"/>
                            <w:szCs w:val="18"/>
                            <w:lang w:val="en-US" w:eastAsia="zh-CN"/>
                          </w:rPr>
                          <m:t>i</m:t>
                        </m:r>
                        <m:ctrlPr>
                          <w:rPr>
                            <w:rFonts w:hint="default" w:ascii="Cambria Math" w:hAnsi="Cambria Math"/>
                            <w:i w:val="0"/>
                            <w:sz w:val="22"/>
                            <w:szCs w:val="18"/>
                            <w:lang w:val="en-US" w:eastAsia="zh-CN"/>
                          </w:rPr>
                        </m:ctrlPr>
                      </m:sub>
                    </m:sSub>
                    <m:ctrlPr>
                      <w:rPr>
                        <w:rFonts w:hint="default" w:ascii="Cambria Math" w:hAnsi="Cambria Math"/>
                        <w:i w:val="0"/>
                        <w:sz w:val="22"/>
                        <w:szCs w:val="18"/>
                        <w:lang w:val="en-US" w:eastAsia="zh-CN"/>
                      </w:rPr>
                    </m:ctrlPr>
                  </m:num>
                  <m:den>
                    <m:sSub>
                      <m:sSubPr>
                        <m:ctrlPr>
                          <w:rPr>
                            <w:rFonts w:hint="default" w:ascii="Cambria Math" w:hAnsi="Cambria Math"/>
                            <w:i w:val="0"/>
                            <w:sz w:val="22"/>
                            <w:szCs w:val="18"/>
                            <w:lang w:val="en-US" w:eastAsia="zh-CN"/>
                          </w:rPr>
                        </m:ctrlPr>
                      </m:sSubPr>
                      <m:e>
                        <m:r>
                          <m:rPr>
                            <m:sty m:val="p"/>
                          </m:rPr>
                          <w:rPr>
                            <w:rFonts w:hint="default" w:ascii="Cambria Math" w:hAnsi="Cambria Math"/>
                            <w:sz w:val="22"/>
                            <w:szCs w:val="18"/>
                            <w:lang w:val="en-US" w:eastAsia="zh-CN"/>
                          </w:rPr>
                          <m:t>C</m:t>
                        </m:r>
                        <m:ctrlPr>
                          <w:rPr>
                            <w:rFonts w:hint="default" w:ascii="Cambria Math" w:hAnsi="Cambria Math"/>
                            <w:i w:val="0"/>
                            <w:sz w:val="22"/>
                            <w:szCs w:val="18"/>
                            <w:lang w:val="en-US" w:eastAsia="zh-CN"/>
                          </w:rPr>
                        </m:ctrlPr>
                      </m:e>
                      <m:sub>
                        <m:r>
                          <m:rPr>
                            <m:sty m:val="p"/>
                          </m:rPr>
                          <w:rPr>
                            <w:rFonts w:hint="default" w:ascii="Cambria Math" w:hAnsi="Cambria Math"/>
                            <w:sz w:val="22"/>
                            <w:szCs w:val="18"/>
                            <w:lang w:val="en-US" w:eastAsia="zh-CN"/>
                          </w:rPr>
                          <m:t>0i</m:t>
                        </m:r>
                        <m:ctrlPr>
                          <w:rPr>
                            <w:rFonts w:hint="default" w:ascii="Cambria Math" w:hAnsi="Cambria Math"/>
                            <w:i w:val="0"/>
                            <w:sz w:val="22"/>
                            <w:szCs w:val="18"/>
                            <w:lang w:val="en-US" w:eastAsia="zh-CN"/>
                          </w:rPr>
                        </m:ctrlPr>
                      </m:sub>
                    </m:sSub>
                    <m:ctrlPr>
                      <w:rPr>
                        <w:rFonts w:hint="default" w:ascii="Cambria Math" w:hAnsi="Cambria Math"/>
                        <w:i w:val="0"/>
                        <w:sz w:val="22"/>
                        <w:szCs w:val="18"/>
                        <w:lang w:val="en-US" w:eastAsia="zh-CN"/>
                      </w:rPr>
                    </m:ctrlPr>
                  </m:den>
                </m:f>
                <m:r>
                  <m:rPr>
                    <m:sty m:val="p"/>
                  </m:rPr>
                  <w:rPr>
                    <w:rFonts w:hint="default" w:ascii="Cambria Math" w:hAnsi="Cambria Math"/>
                    <w:sz w:val="22"/>
                    <w:szCs w:val="18"/>
                    <w:lang w:val="en-US" w:eastAsia="zh-CN"/>
                  </w:rPr>
                  <m:t>×100%</m:t>
                </m:r>
              </m:oMath>
            </m:oMathPara>
          </w:p>
          <w:p>
            <w:pPr>
              <w:pStyle w:val="97"/>
              <w:bidi w:val="0"/>
              <w:ind w:left="0" w:leftChars="0" w:firstLine="0" w:firstLineChars="0"/>
              <w:jc w:val="both"/>
              <w:rPr>
                <w:rFonts w:hint="default" w:ascii="Cambria Math" w:hAnsi="Cambria Math"/>
                <w:i w:val="0"/>
                <w:sz w:val="28"/>
                <w:szCs w:val="21"/>
                <w:lang w:val="en-US" w:eastAsia="zh-CN"/>
              </w:rPr>
            </w:pPr>
          </w:p>
          <w:p>
            <w:pPr>
              <w:pStyle w:val="97"/>
              <w:bidi w:val="0"/>
              <w:rPr>
                <w:rFonts w:hint="default"/>
                <w:lang w:val="en-US" w:eastAsia="zh-CN"/>
              </w:rPr>
            </w:pPr>
            <m:oMath>
              <m:sSub>
                <m:sSubPr>
                  <m:ctrlPr>
                    <w:rPr>
                      <w:rFonts w:hint="default" w:ascii="Cambria Math" w:hAnsi="Cambria Math"/>
                      <w:lang w:val="en-US" w:eastAsia="zh-CN"/>
                    </w:rPr>
                  </m:ctrlPr>
                </m:sSubPr>
                <m:e>
                  <m:r>
                    <m:rPr>
                      <m:sty m:val="p"/>
                    </m:rPr>
                    <w:rPr>
                      <w:rFonts w:hint="default" w:ascii="Cambria Math" w:hAnsi="Cambria Math"/>
                      <w:lang w:val="en-US" w:eastAsia="zh-CN"/>
                    </w:rPr>
                    <m:t>P</m:t>
                  </m:r>
                  <m:ctrlPr>
                    <w:rPr>
                      <w:rFonts w:hint="default" w:ascii="Cambria Math" w:hAnsi="Cambria Math"/>
                      <w:lang w:val="en-US" w:eastAsia="zh-CN"/>
                    </w:rPr>
                  </m:ctrlPr>
                </m:e>
                <m:sub>
                  <m:r>
                    <m:rPr>
                      <m:sty m:val="p"/>
                    </m:rPr>
                    <w:rPr>
                      <w:rFonts w:hint="default" w:ascii="Cambria Math" w:hAnsi="Cambria Math"/>
                      <w:lang w:val="en-US" w:eastAsia="zh-CN"/>
                    </w:rPr>
                    <m:t>i</m:t>
                  </m:r>
                  <m:ctrlPr>
                    <w:rPr>
                      <w:rFonts w:hint="default" w:ascii="Cambria Math" w:hAnsi="Cambria Math"/>
                      <w:lang w:val="en-US" w:eastAsia="zh-CN"/>
                    </w:rPr>
                  </m:ctrlPr>
                </m:sub>
              </m:sSub>
            </m:oMath>
            <w:r>
              <w:rPr>
                <w:rFonts w:hint="default"/>
                <w:lang w:val="en-US" w:eastAsia="zh-CN"/>
              </w:rPr>
              <w:t xml:space="preserve"> ——第i个污染物的最大地面空气质量浓度 占标率，%；</w:t>
            </w:r>
          </w:p>
          <w:p>
            <w:pPr>
              <w:pStyle w:val="97"/>
              <w:bidi w:val="0"/>
              <w:rPr>
                <w:rFonts w:hint="default"/>
                <w:lang w:val="en-US" w:eastAsia="zh-CN"/>
              </w:rPr>
            </w:pPr>
            <m:oMath>
              <m:sSub>
                <m:sSubPr>
                  <m:ctrlPr>
                    <w:rPr>
                      <w:rFonts w:hint="default" w:ascii="Cambria Math" w:hAnsi="Cambria Math"/>
                      <w:lang w:val="en-US" w:eastAsia="zh-CN"/>
                    </w:rPr>
                  </m:ctrlPr>
                </m:sSubPr>
                <m:e>
                  <m:r>
                    <m:rPr>
                      <m:sty m:val="p"/>
                    </m:rPr>
                    <w:rPr>
                      <w:rFonts w:hint="default" w:ascii="Cambria Math" w:hAnsi="Cambria Math"/>
                      <w:lang w:val="en-US" w:eastAsia="zh-CN"/>
                    </w:rPr>
                    <m:t>C</m:t>
                  </m:r>
                  <m:ctrlPr>
                    <w:rPr>
                      <w:rFonts w:hint="default" w:ascii="Cambria Math" w:hAnsi="Cambria Math"/>
                      <w:lang w:val="en-US" w:eastAsia="zh-CN"/>
                    </w:rPr>
                  </m:ctrlPr>
                </m:e>
                <m:sub>
                  <m:r>
                    <m:rPr>
                      <m:sty m:val="p"/>
                    </m:rPr>
                    <w:rPr>
                      <w:rFonts w:hint="default" w:ascii="Cambria Math" w:hAnsi="Cambria Math"/>
                      <w:lang w:val="en-US" w:eastAsia="zh-CN"/>
                    </w:rPr>
                    <m:t>i</m:t>
                  </m:r>
                  <m:ctrlPr>
                    <w:rPr>
                      <w:rFonts w:hint="default" w:ascii="Cambria Math" w:hAnsi="Cambria Math"/>
                      <w:lang w:val="en-US" w:eastAsia="zh-CN"/>
                    </w:rPr>
                  </m:ctrlPr>
                </m:sub>
              </m:sSub>
            </m:oMath>
            <w:r>
              <w:rPr>
                <w:rFonts w:hint="default"/>
                <w:lang w:val="en-US" w:eastAsia="zh-CN"/>
              </w:rPr>
              <w:t>——采用估算模型计算出的第i个污染物的最大1h地面空气质量浓度，μg/m</w:t>
            </w:r>
            <w:r>
              <w:rPr>
                <w:rFonts w:hint="default"/>
                <w:vertAlign w:val="superscript"/>
                <w:lang w:val="en-US" w:eastAsia="zh-CN"/>
              </w:rPr>
              <w:t>3</w:t>
            </w:r>
            <w:r>
              <w:rPr>
                <w:rFonts w:hint="default"/>
                <w:lang w:val="en-US" w:eastAsia="zh-CN"/>
              </w:rPr>
              <w:t>；</w:t>
            </w:r>
          </w:p>
          <w:p>
            <w:pPr>
              <w:pStyle w:val="97"/>
              <w:bidi w:val="0"/>
              <w:rPr>
                <w:rFonts w:hint="default"/>
                <w:lang w:val="en-US" w:eastAsia="zh-CN"/>
              </w:rPr>
            </w:pPr>
            <m:oMath>
              <m:sSub>
                <m:sSubPr>
                  <m:ctrlPr>
                    <w:rPr>
                      <w:rFonts w:hint="default" w:ascii="Cambria Math" w:hAnsi="Cambria Math"/>
                      <w:lang w:val="en-US" w:eastAsia="zh-CN"/>
                    </w:rPr>
                  </m:ctrlPr>
                </m:sSubPr>
                <m:e>
                  <m:r>
                    <m:rPr>
                      <m:sty m:val="p"/>
                    </m:rPr>
                    <w:rPr>
                      <w:rFonts w:hint="default" w:ascii="Cambria Math" w:hAnsi="Cambria Math"/>
                      <w:lang w:val="en-US" w:eastAsia="zh-CN"/>
                    </w:rPr>
                    <m:t>C</m:t>
                  </m:r>
                  <m:ctrlPr>
                    <w:rPr>
                      <w:rFonts w:hint="default" w:ascii="Cambria Math" w:hAnsi="Cambria Math"/>
                      <w:lang w:val="en-US" w:eastAsia="zh-CN"/>
                    </w:rPr>
                  </m:ctrlPr>
                </m:e>
                <m:sub>
                  <m:r>
                    <m:rPr>
                      <m:sty m:val="p"/>
                    </m:rPr>
                    <w:rPr>
                      <w:rFonts w:hint="default" w:ascii="Cambria Math" w:hAnsi="Cambria Math"/>
                      <w:lang w:val="en-US" w:eastAsia="zh-CN"/>
                    </w:rPr>
                    <m:t>0i</m:t>
                  </m:r>
                  <m:ctrlPr>
                    <w:rPr>
                      <w:rFonts w:hint="default" w:ascii="Cambria Math" w:hAnsi="Cambria Math"/>
                      <w:lang w:val="en-US" w:eastAsia="zh-CN"/>
                    </w:rPr>
                  </m:ctrlPr>
                </m:sub>
              </m:sSub>
            </m:oMath>
            <w:r>
              <w:rPr>
                <w:rFonts w:hint="default"/>
                <w:lang w:val="en-US" w:eastAsia="zh-CN"/>
              </w:rPr>
              <w:t>——第i个污染物的环境空气质量浓度标准，μg/m</w:t>
            </w:r>
            <w:r>
              <w:rPr>
                <w:rFonts w:hint="default"/>
                <w:vertAlign w:val="superscript"/>
                <w:lang w:val="en-US" w:eastAsia="zh-CN"/>
              </w:rPr>
              <w:t>3</w:t>
            </w:r>
            <w:r>
              <w:rPr>
                <w:rFonts w:hint="default"/>
                <w:lang w:val="en-US" w:eastAsia="zh-CN"/>
              </w:rPr>
              <w:t>。</w:t>
            </w:r>
            <w:r>
              <w:rPr>
                <w:rFonts w:hint="eastAsia"/>
                <w:lang w:val="en-US" w:eastAsia="zh-CN"/>
              </w:rPr>
              <w:t>（一般选取 GB3095中 1h 平均质量浓度的二级浓度限值）。</w:t>
            </w:r>
          </w:p>
          <w:p>
            <w:pPr>
              <w:pStyle w:val="97"/>
              <w:bidi w:val="0"/>
              <w:rPr>
                <w:rFonts w:hint="default"/>
                <w:lang w:val="en-US" w:eastAsia="zh-CN"/>
              </w:rPr>
            </w:pPr>
            <w:r>
              <w:rPr>
                <w:rFonts w:hint="default"/>
                <w:lang w:val="en-US" w:eastAsia="zh-CN"/>
              </w:rPr>
              <w:t>本项目评价因子及评价标准详见下表。</w:t>
            </w:r>
          </w:p>
          <w:p>
            <w:pPr>
              <w:pStyle w:val="8"/>
              <w:bidi w:val="0"/>
              <w:rPr>
                <w:rFonts w:hint="default"/>
                <w:lang w:val="en-US" w:eastAsia="zh-CN"/>
              </w:rPr>
            </w:pPr>
            <w:r>
              <w:rPr>
                <w:rFonts w:hint="default"/>
                <w:lang w:val="en-US" w:eastAsia="zh-CN"/>
              </w:rPr>
              <w:t>表 7-</w:t>
            </w:r>
            <w:r>
              <w:rPr>
                <w:rFonts w:hint="eastAsia"/>
                <w:lang w:val="en-US" w:eastAsia="zh-CN"/>
              </w:rPr>
              <w:t>5</w:t>
            </w:r>
            <w:r>
              <w:rPr>
                <w:rFonts w:hint="default"/>
                <w:lang w:val="en-US" w:eastAsia="zh-CN"/>
              </w:rPr>
              <w:t xml:space="preserve"> 评价因子和评价标准表</w:t>
            </w:r>
          </w:p>
          <w:tbl>
            <w:tblPr>
              <w:tblStyle w:val="30"/>
              <w:tblW w:w="0" w:type="auto"/>
              <w:tblInd w:w="5"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1090"/>
              <w:gridCol w:w="1320"/>
              <w:gridCol w:w="2580"/>
              <w:gridCol w:w="1050"/>
              <w:gridCol w:w="1511"/>
            </w:tblGrid>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pPr>
                    <w:pStyle w:val="161"/>
                    <w:bidi w:val="0"/>
                    <w:jc w:val="center"/>
                    <w:rPr>
                      <w:rFonts w:hint="default"/>
                      <w:vertAlign w:val="baseline"/>
                      <w:lang w:val="en-US" w:eastAsia="zh-CN"/>
                    </w:rPr>
                  </w:pPr>
                  <w:r>
                    <w:rPr>
                      <w:rFonts w:hint="eastAsia"/>
                      <w:vertAlign w:val="baseline"/>
                      <w:lang w:val="en-US" w:eastAsia="zh-CN"/>
                    </w:rPr>
                    <w:t>评价因子</w:t>
                  </w:r>
                </w:p>
              </w:tc>
              <w:tc>
                <w:tcPr>
                  <w:tcW w:w="1090" w:type="dxa"/>
                  <w:vAlign w:val="center"/>
                </w:tcPr>
                <w:p>
                  <w:pPr>
                    <w:pStyle w:val="161"/>
                    <w:bidi w:val="0"/>
                    <w:jc w:val="center"/>
                    <w:rPr>
                      <w:rFonts w:hint="default"/>
                      <w:vertAlign w:val="baseline"/>
                      <w:lang w:val="en-US" w:eastAsia="zh-CN"/>
                    </w:rPr>
                  </w:pPr>
                  <w:r>
                    <w:rPr>
                      <w:rFonts w:hint="eastAsia"/>
                      <w:vertAlign w:val="baseline"/>
                      <w:lang w:val="en-US" w:eastAsia="zh-CN"/>
                    </w:rPr>
                    <w:t>平均时段</w:t>
                  </w:r>
                </w:p>
              </w:tc>
              <w:tc>
                <w:tcPr>
                  <w:tcW w:w="1320" w:type="dxa"/>
                  <w:vAlign w:val="center"/>
                </w:tcPr>
                <w:p>
                  <w:pPr>
                    <w:pStyle w:val="161"/>
                    <w:bidi w:val="0"/>
                    <w:jc w:val="center"/>
                    <w:rPr>
                      <w:rFonts w:hint="eastAsia"/>
                      <w:vertAlign w:val="baseline"/>
                      <w:lang w:val="en-US" w:eastAsia="zh-CN"/>
                    </w:rPr>
                  </w:pPr>
                  <w:r>
                    <w:rPr>
                      <w:rFonts w:hint="eastAsia"/>
                      <w:vertAlign w:val="baseline"/>
                      <w:lang w:val="en-US" w:eastAsia="zh-CN"/>
                    </w:rPr>
                    <w:t>标准值</w:t>
                  </w:r>
                </w:p>
                <w:p>
                  <w:pPr>
                    <w:pStyle w:val="161"/>
                    <w:bidi w:val="0"/>
                    <w:jc w:val="center"/>
                    <w:rPr>
                      <w:rFonts w:hint="eastAsia" w:eastAsia="宋体"/>
                      <w:vertAlign w:val="baseline"/>
                      <w:lang w:val="en-US" w:eastAsia="zh-CN"/>
                    </w:rPr>
                  </w:pPr>
                  <w:r>
                    <w:rPr>
                      <w:rFonts w:hint="eastAsia"/>
                      <w:vertAlign w:val="baseline"/>
                      <w:lang w:val="en-US" w:eastAsia="zh-CN"/>
                    </w:rPr>
                    <w:t>（μg/m</w:t>
                  </w:r>
                  <w:r>
                    <w:rPr>
                      <w:rFonts w:hint="eastAsia"/>
                      <w:vertAlign w:val="superscript"/>
                      <w:lang w:val="en-US" w:eastAsia="zh-CN"/>
                    </w:rPr>
                    <w:t>3</w:t>
                  </w:r>
                  <w:r>
                    <w:rPr>
                      <w:rFonts w:hint="eastAsia"/>
                      <w:vertAlign w:val="baseline"/>
                      <w:lang w:val="en-US" w:eastAsia="zh-CN"/>
                    </w:rPr>
                    <w:t>）</w:t>
                  </w:r>
                </w:p>
              </w:tc>
              <w:tc>
                <w:tcPr>
                  <w:tcW w:w="2580" w:type="dxa"/>
                  <w:vAlign w:val="center"/>
                </w:tcPr>
                <w:p>
                  <w:pPr>
                    <w:pStyle w:val="161"/>
                    <w:bidi w:val="0"/>
                    <w:jc w:val="center"/>
                    <w:rPr>
                      <w:rFonts w:hint="default"/>
                      <w:vertAlign w:val="baseline"/>
                      <w:lang w:val="en-US" w:eastAsia="zh-CN"/>
                    </w:rPr>
                  </w:pPr>
                  <w:r>
                    <w:rPr>
                      <w:rFonts w:hint="eastAsia"/>
                      <w:vertAlign w:val="baseline"/>
                      <w:lang w:val="en-US" w:eastAsia="zh-CN"/>
                    </w:rPr>
                    <w:t>标准来源</w:t>
                  </w:r>
                </w:p>
              </w:tc>
              <w:tc>
                <w:tcPr>
                  <w:tcW w:w="1050" w:type="dxa"/>
                  <w:vAlign w:val="center"/>
                </w:tcPr>
                <w:p>
                  <w:pPr>
                    <w:pStyle w:val="161"/>
                    <w:bidi w:val="0"/>
                    <w:jc w:val="center"/>
                    <w:rPr>
                      <w:rFonts w:hint="eastAsia"/>
                      <w:vertAlign w:val="baseline"/>
                      <w:lang w:val="en-US" w:eastAsia="zh-CN"/>
                    </w:rPr>
                  </w:pPr>
                  <w:r>
                    <w:rPr>
                      <w:rFonts w:hint="eastAsia"/>
                      <w:vertAlign w:val="baseline"/>
                      <w:lang w:val="en-US" w:eastAsia="zh-CN"/>
                    </w:rPr>
                    <w:t>平均</w:t>
                  </w:r>
                </w:p>
                <w:p>
                  <w:pPr>
                    <w:pStyle w:val="161"/>
                    <w:bidi w:val="0"/>
                    <w:jc w:val="center"/>
                    <w:rPr>
                      <w:rFonts w:hint="default"/>
                      <w:vertAlign w:val="baseline"/>
                      <w:lang w:val="en-US" w:eastAsia="zh-CN"/>
                    </w:rPr>
                  </w:pPr>
                  <w:r>
                    <w:rPr>
                      <w:rFonts w:hint="eastAsia"/>
                      <w:vertAlign w:val="baseline"/>
                      <w:lang w:val="en-US" w:eastAsia="zh-CN"/>
                    </w:rPr>
                    <w:t>时段</w:t>
                  </w:r>
                </w:p>
              </w:tc>
              <w:tc>
                <w:tcPr>
                  <w:tcW w:w="1511" w:type="dxa"/>
                  <w:vAlign w:val="center"/>
                </w:tcPr>
                <w:p>
                  <w:pPr>
                    <w:pStyle w:val="161"/>
                    <w:bidi w:val="0"/>
                    <w:jc w:val="center"/>
                    <w:rPr>
                      <w:rFonts w:hint="eastAsia" w:ascii="Times New Roman" w:eastAsia="宋体"/>
                      <w:vertAlign w:val="baseline"/>
                      <w:lang w:val="en-US" w:eastAsia="zh-CN"/>
                    </w:rPr>
                  </w:pPr>
                  <w:r>
                    <w:rPr>
                      <w:rFonts w:hint="eastAsia" w:ascii="Times New Roman" w:eastAsia="宋体"/>
                      <w:vertAlign w:val="baseline"/>
                      <w:lang w:val="en-US" w:eastAsia="zh-CN"/>
                    </w:rPr>
                    <w:t>标准值</w:t>
                  </w:r>
                </w:p>
                <w:p>
                  <w:pPr>
                    <w:pStyle w:val="161"/>
                    <w:bidi w:val="0"/>
                    <w:jc w:val="center"/>
                    <w:rPr>
                      <w:rFonts w:hint="default"/>
                      <w:vertAlign w:val="baseline"/>
                      <w:lang w:val="en-US" w:eastAsia="zh-CN"/>
                    </w:rPr>
                  </w:pPr>
                  <w:r>
                    <w:rPr>
                      <w:rFonts w:hint="eastAsia" w:ascii="Times New Roman" w:eastAsia="宋体"/>
                      <w:vertAlign w:val="baseline"/>
                      <w:lang w:val="en-US" w:eastAsia="zh-CN"/>
                    </w:rPr>
                    <w:t>（</w:t>
                  </w:r>
                  <w:r>
                    <w:rPr>
                      <w:rFonts w:hint="default" w:ascii="Times New Roman" w:hAnsi="Times New Roman" w:eastAsia="宋体" w:cs="Times New Roman"/>
                      <w:vertAlign w:val="baseline"/>
                      <w:lang w:val="en-US" w:eastAsia="zh-CN"/>
                    </w:rPr>
                    <w:t>μ</w:t>
                  </w:r>
                  <w:r>
                    <w:rPr>
                      <w:rFonts w:hint="eastAsia" w:ascii="Times New Roman" w:eastAsia="宋体"/>
                      <w:vertAlign w:val="baseline"/>
                      <w:lang w:val="en-US" w:eastAsia="zh-CN"/>
                    </w:rPr>
                    <w:t>g/m</w:t>
                  </w:r>
                  <w:r>
                    <w:rPr>
                      <w:rFonts w:hint="eastAsia" w:ascii="Times New Roman" w:eastAsia="宋体"/>
                      <w:vertAlign w:val="superscript"/>
                      <w:lang w:val="en-US" w:eastAsia="zh-CN"/>
                    </w:rPr>
                    <w:t>3</w:t>
                  </w:r>
                  <w:r>
                    <w:rPr>
                      <w:rFonts w:hint="eastAsia" w:ascii="Times New Roman" w:eastAsia="宋体"/>
                      <w:vertAlign w:val="baseline"/>
                      <w:lang w:val="en-US" w:eastAsia="zh-CN"/>
                    </w:rPr>
                    <w:t>）</w:t>
                  </w:r>
                </w:p>
              </w:tc>
            </w:tr>
            <w:tr>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pPr>
                    <w:pStyle w:val="161"/>
                    <w:bidi w:val="0"/>
                    <w:jc w:val="center"/>
                    <w:rPr>
                      <w:rFonts w:hint="default"/>
                      <w:vertAlign w:val="baseline"/>
                      <w:lang w:val="en-US" w:eastAsia="zh-CN"/>
                    </w:rPr>
                  </w:pPr>
                  <w:r>
                    <w:rPr>
                      <w:rFonts w:hint="eastAsia"/>
                      <w:vertAlign w:val="baseline"/>
                      <w:lang w:val="en-US" w:eastAsia="zh-CN"/>
                    </w:rPr>
                    <w:t>非甲烷总烃（NMHC）</w:t>
                  </w:r>
                </w:p>
              </w:tc>
              <w:tc>
                <w:tcPr>
                  <w:tcW w:w="1090" w:type="dxa"/>
                  <w:vAlign w:val="center"/>
                </w:tcPr>
                <w:p>
                  <w:pPr>
                    <w:pStyle w:val="161"/>
                    <w:bidi w:val="0"/>
                    <w:jc w:val="center"/>
                    <w:rPr>
                      <w:rFonts w:hint="default"/>
                      <w:vertAlign w:val="baseline"/>
                      <w:lang w:val="en-US" w:eastAsia="zh-CN"/>
                    </w:rPr>
                  </w:pPr>
                  <w:r>
                    <w:rPr>
                      <w:rFonts w:hint="eastAsia"/>
                      <w:vertAlign w:val="baseline"/>
                      <w:lang w:val="en-US" w:eastAsia="zh-CN"/>
                    </w:rPr>
                    <w:t>1h</w:t>
                  </w:r>
                </w:p>
              </w:tc>
              <w:tc>
                <w:tcPr>
                  <w:tcW w:w="1320" w:type="dxa"/>
                  <w:vAlign w:val="center"/>
                </w:tcPr>
                <w:p>
                  <w:pPr>
                    <w:pStyle w:val="161"/>
                    <w:bidi w:val="0"/>
                    <w:jc w:val="center"/>
                    <w:rPr>
                      <w:rFonts w:hint="default"/>
                      <w:vertAlign w:val="baseline"/>
                      <w:lang w:val="en-US" w:eastAsia="zh-CN"/>
                    </w:rPr>
                  </w:pPr>
                  <w:r>
                    <w:rPr>
                      <w:rFonts w:hint="eastAsia"/>
                      <w:vertAlign w:val="baseline"/>
                      <w:lang w:val="en-US" w:eastAsia="zh-CN"/>
                    </w:rPr>
                    <w:t>2000</w:t>
                  </w:r>
                </w:p>
              </w:tc>
              <w:tc>
                <w:tcPr>
                  <w:tcW w:w="2580" w:type="dxa"/>
                  <w:vAlign w:val="center"/>
                </w:tcPr>
                <w:p>
                  <w:pPr>
                    <w:pStyle w:val="161"/>
                    <w:bidi w:val="0"/>
                    <w:jc w:val="center"/>
                    <w:rPr>
                      <w:rFonts w:hint="default"/>
                      <w:vertAlign w:val="baseline"/>
                      <w:lang w:val="en-US" w:eastAsia="zh-CN"/>
                    </w:rPr>
                  </w:pPr>
                  <w:r>
                    <w:rPr>
                      <w:rFonts w:hint="eastAsia"/>
                      <w:vertAlign w:val="baseline"/>
                      <w:lang w:val="en-US" w:eastAsia="zh-CN"/>
                    </w:rPr>
                    <w:t>大气污染物综合排放标准</w:t>
                  </w:r>
                </w:p>
              </w:tc>
              <w:tc>
                <w:tcPr>
                  <w:tcW w:w="1050" w:type="dxa"/>
                  <w:vAlign w:val="center"/>
                </w:tcPr>
                <w:p>
                  <w:pPr>
                    <w:pStyle w:val="161"/>
                    <w:bidi w:val="0"/>
                    <w:jc w:val="center"/>
                    <w:rPr>
                      <w:rFonts w:hint="default"/>
                      <w:vertAlign w:val="baseline"/>
                      <w:lang w:val="en-US" w:eastAsia="zh-CN"/>
                    </w:rPr>
                  </w:pPr>
                  <w:r>
                    <w:rPr>
                      <w:rFonts w:hint="eastAsia"/>
                      <w:vertAlign w:val="baseline"/>
                      <w:lang w:val="en-US" w:eastAsia="zh-CN"/>
                    </w:rPr>
                    <w:t>1</w:t>
                  </w:r>
                </w:p>
              </w:tc>
              <w:tc>
                <w:tcPr>
                  <w:tcW w:w="1511" w:type="dxa"/>
                  <w:vAlign w:val="center"/>
                </w:tcPr>
                <w:p>
                  <w:pPr>
                    <w:pStyle w:val="161"/>
                    <w:bidi w:val="0"/>
                    <w:jc w:val="center"/>
                    <w:rPr>
                      <w:rFonts w:hint="default"/>
                      <w:vertAlign w:val="baseline"/>
                      <w:lang w:val="en-US" w:eastAsia="zh-CN"/>
                    </w:rPr>
                  </w:pPr>
                  <w:r>
                    <w:rPr>
                      <w:rFonts w:hint="eastAsia"/>
                      <w:vertAlign w:val="baseline"/>
                      <w:lang w:val="en-US" w:eastAsia="zh-CN"/>
                    </w:rPr>
                    <w:t>2000</w:t>
                  </w:r>
                </w:p>
              </w:tc>
            </w:tr>
          </w:tbl>
          <w:p>
            <w:pPr>
              <w:pStyle w:val="97"/>
              <w:bidi w:val="0"/>
              <w:rPr>
                <w:rFonts w:hint="default"/>
                <w:lang w:val="en-US" w:eastAsia="zh-CN"/>
              </w:rPr>
            </w:pPr>
            <w:r>
              <w:rPr>
                <w:rFonts w:hint="default"/>
                <w:lang w:val="en-US" w:eastAsia="zh-CN"/>
              </w:rPr>
              <w:t>2）估算模型参数</w:t>
            </w:r>
          </w:p>
          <w:p>
            <w:pPr>
              <w:pStyle w:val="97"/>
              <w:bidi w:val="0"/>
              <w:rPr>
                <w:rFonts w:hint="default"/>
                <w:lang w:val="en-US" w:eastAsia="zh-CN"/>
              </w:rPr>
            </w:pPr>
            <w:r>
              <w:rPr>
                <w:rFonts w:hint="default"/>
                <w:lang w:val="en-US" w:eastAsia="zh-CN"/>
              </w:rPr>
              <w:t>本项目估算模型参数见表 7-</w:t>
            </w:r>
            <w:r>
              <w:rPr>
                <w:rFonts w:hint="eastAsia"/>
                <w:lang w:val="en-US" w:eastAsia="zh-CN"/>
              </w:rPr>
              <w:t>6</w:t>
            </w:r>
            <w:r>
              <w:rPr>
                <w:rFonts w:hint="default"/>
                <w:lang w:val="en-US" w:eastAsia="zh-CN"/>
              </w:rPr>
              <w:t>。</w:t>
            </w:r>
          </w:p>
          <w:p>
            <w:pPr>
              <w:pStyle w:val="8"/>
              <w:bidi w:val="0"/>
              <w:rPr>
                <w:rFonts w:hint="default"/>
                <w:lang w:val="en-US" w:eastAsia="zh-CN"/>
              </w:rPr>
            </w:pPr>
            <w:r>
              <w:rPr>
                <w:rFonts w:hint="default"/>
                <w:lang w:val="en-US" w:eastAsia="zh-CN"/>
              </w:rPr>
              <w:t>表 7-</w:t>
            </w:r>
            <w:r>
              <w:rPr>
                <w:rFonts w:hint="eastAsia"/>
                <w:lang w:val="en-US" w:eastAsia="zh-CN"/>
              </w:rPr>
              <w:t>6</w:t>
            </w:r>
            <w:r>
              <w:rPr>
                <w:rFonts w:hint="default"/>
                <w:lang w:val="en-US" w:eastAsia="zh-CN"/>
              </w:rPr>
              <w:t xml:space="preserve"> 估算模型参数表</w:t>
            </w:r>
          </w:p>
          <w:tbl>
            <w:tblPr>
              <w:tblStyle w:val="29"/>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715"/>
              <w:gridCol w:w="4132"/>
              <w:gridCol w:w="122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4326" w:type="pct"/>
                  <w:gridSpan w:val="2"/>
                  <w:noWrap w:val="0"/>
                  <w:vAlign w:val="center"/>
                </w:tcPr>
                <w:p>
                  <w:pPr>
                    <w:pStyle w:val="204"/>
                    <w:bidi w:val="0"/>
                    <w:rPr>
                      <w:color w:val="auto"/>
                    </w:rPr>
                  </w:pPr>
                  <w:r>
                    <w:rPr>
                      <w:color w:val="auto"/>
                    </w:rPr>
                    <w:t>参数</w:t>
                  </w:r>
                </w:p>
              </w:tc>
              <w:tc>
                <w:tcPr>
                  <w:tcW w:w="674" w:type="pct"/>
                  <w:noWrap w:val="0"/>
                  <w:vAlign w:val="center"/>
                </w:tcPr>
                <w:p>
                  <w:pPr>
                    <w:pStyle w:val="204"/>
                    <w:bidi w:val="0"/>
                    <w:rPr>
                      <w:color w:val="auto"/>
                    </w:rPr>
                  </w:pPr>
                  <w:r>
                    <w:rPr>
                      <w:color w:val="auto"/>
                    </w:rPr>
                    <w:t>取值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048" w:type="pct"/>
                  <w:vMerge w:val="restart"/>
                  <w:noWrap w:val="0"/>
                  <w:vAlign w:val="center"/>
                </w:tcPr>
                <w:p>
                  <w:pPr>
                    <w:pStyle w:val="204"/>
                    <w:bidi w:val="0"/>
                    <w:rPr>
                      <w:color w:val="auto"/>
                    </w:rPr>
                  </w:pPr>
                  <w:r>
                    <w:rPr>
                      <w:color w:val="auto"/>
                    </w:rPr>
                    <w:t>城市/农村选项</w:t>
                  </w:r>
                </w:p>
              </w:tc>
              <w:tc>
                <w:tcPr>
                  <w:tcW w:w="2278" w:type="pct"/>
                  <w:noWrap w:val="0"/>
                  <w:vAlign w:val="center"/>
                </w:tcPr>
                <w:p>
                  <w:pPr>
                    <w:pStyle w:val="204"/>
                    <w:bidi w:val="0"/>
                    <w:rPr>
                      <w:color w:val="auto"/>
                    </w:rPr>
                  </w:pPr>
                  <w:r>
                    <w:rPr>
                      <w:color w:val="auto"/>
                    </w:rPr>
                    <w:t>城市/农村</w:t>
                  </w:r>
                </w:p>
              </w:tc>
              <w:tc>
                <w:tcPr>
                  <w:tcW w:w="674" w:type="pct"/>
                  <w:noWrap w:val="0"/>
                  <w:vAlign w:val="center"/>
                </w:tcPr>
                <w:p>
                  <w:pPr>
                    <w:pStyle w:val="204"/>
                    <w:bidi w:val="0"/>
                    <w:rPr>
                      <w:rFonts w:hint="eastAsia" w:eastAsia="宋体"/>
                      <w:color w:val="auto"/>
                      <w:lang w:eastAsia="zh-CN"/>
                    </w:rPr>
                  </w:pPr>
                  <w:r>
                    <w:rPr>
                      <w:rFonts w:hint="eastAsia"/>
                      <w:color w:val="auto"/>
                      <w:lang w:eastAsia="zh-CN"/>
                    </w:rPr>
                    <w:t>农村</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048" w:type="pct"/>
                  <w:vMerge w:val="continue"/>
                  <w:noWrap w:val="0"/>
                  <w:vAlign w:val="center"/>
                </w:tcPr>
                <w:p>
                  <w:pPr>
                    <w:pStyle w:val="204"/>
                    <w:bidi w:val="0"/>
                    <w:rPr>
                      <w:color w:val="auto"/>
                    </w:rPr>
                  </w:pPr>
                </w:p>
              </w:tc>
              <w:tc>
                <w:tcPr>
                  <w:tcW w:w="2278" w:type="pct"/>
                  <w:noWrap w:val="0"/>
                  <w:vAlign w:val="center"/>
                </w:tcPr>
                <w:p>
                  <w:pPr>
                    <w:pStyle w:val="204"/>
                    <w:bidi w:val="0"/>
                    <w:rPr>
                      <w:color w:val="auto"/>
                    </w:rPr>
                  </w:pPr>
                  <w:r>
                    <w:rPr>
                      <w:color w:val="auto"/>
                    </w:rPr>
                    <w:t>人口数(城市人口数)</w:t>
                  </w:r>
                </w:p>
              </w:tc>
              <w:tc>
                <w:tcPr>
                  <w:tcW w:w="674" w:type="pct"/>
                  <w:noWrap w:val="0"/>
                  <w:vAlign w:val="center"/>
                </w:tcPr>
                <w:p>
                  <w:pPr>
                    <w:pStyle w:val="204"/>
                    <w:bidi w:val="0"/>
                    <w:rPr>
                      <w:rFonts w:hint="default" w:eastAsia="宋体"/>
                      <w:color w:val="auto"/>
                      <w:lang w:val="en-US" w:eastAsia="zh-CN"/>
                    </w:rPr>
                  </w:pPr>
                  <w:r>
                    <w:rPr>
                      <w:rFonts w:hint="eastAsia"/>
                      <w:color w:val="auto"/>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4326" w:type="pct"/>
                  <w:gridSpan w:val="2"/>
                  <w:noWrap w:val="0"/>
                  <w:vAlign w:val="center"/>
                </w:tcPr>
                <w:p>
                  <w:pPr>
                    <w:pStyle w:val="204"/>
                    <w:bidi w:val="0"/>
                    <w:rPr>
                      <w:color w:val="auto"/>
                    </w:rPr>
                  </w:pPr>
                  <w:r>
                    <w:rPr>
                      <w:color w:val="auto"/>
                    </w:rPr>
                    <w:t>最高环境温度</w:t>
                  </w:r>
                </w:p>
              </w:tc>
              <w:tc>
                <w:tcPr>
                  <w:tcW w:w="674" w:type="pct"/>
                  <w:noWrap w:val="0"/>
                  <w:vAlign w:val="center"/>
                </w:tcPr>
                <w:p>
                  <w:pPr>
                    <w:pStyle w:val="204"/>
                    <w:bidi w:val="0"/>
                    <w:rPr>
                      <w:rFonts w:hint="default" w:eastAsia="宋体"/>
                      <w:color w:val="auto"/>
                      <w:lang w:val="en-US" w:eastAsia="zh-CN"/>
                    </w:rPr>
                  </w:pPr>
                  <w:r>
                    <w:rPr>
                      <w:rFonts w:hint="eastAsia"/>
                      <w:color w:val="auto"/>
                    </w:rPr>
                    <w:t>3</w:t>
                  </w:r>
                  <w:r>
                    <w:rPr>
                      <w:rFonts w:hint="eastAsia"/>
                      <w:color w:val="auto"/>
                      <w:lang w:val="en-US" w:eastAsia="zh-CN"/>
                    </w:rPr>
                    <w:t>6.1℃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4326" w:type="pct"/>
                  <w:gridSpan w:val="2"/>
                  <w:noWrap w:val="0"/>
                  <w:vAlign w:val="center"/>
                </w:tcPr>
                <w:p>
                  <w:pPr>
                    <w:pStyle w:val="204"/>
                    <w:bidi w:val="0"/>
                    <w:rPr>
                      <w:color w:val="auto"/>
                    </w:rPr>
                  </w:pPr>
                  <w:r>
                    <w:rPr>
                      <w:color w:val="auto"/>
                    </w:rPr>
                    <w:t>最低环境温度</w:t>
                  </w:r>
                </w:p>
              </w:tc>
              <w:tc>
                <w:tcPr>
                  <w:tcW w:w="674" w:type="pct"/>
                  <w:noWrap w:val="0"/>
                  <w:vAlign w:val="center"/>
                </w:tcPr>
                <w:p>
                  <w:pPr>
                    <w:pStyle w:val="204"/>
                    <w:bidi w:val="0"/>
                    <w:rPr>
                      <w:rFonts w:hint="eastAsia" w:eastAsia="宋体"/>
                      <w:color w:val="auto"/>
                      <w:lang w:eastAsia="zh-CN"/>
                    </w:rPr>
                  </w:pPr>
                  <w:r>
                    <w:rPr>
                      <w:color w:val="auto"/>
                    </w:rPr>
                    <w:t>-</w:t>
                  </w:r>
                  <w:r>
                    <w:rPr>
                      <w:rFonts w:hint="eastAsia"/>
                      <w:color w:val="auto"/>
                      <w:lang w:val="en-US" w:eastAsia="zh-CN"/>
                    </w:rPr>
                    <w:t>3</w:t>
                  </w:r>
                  <w:r>
                    <w:rPr>
                      <w:color w:val="auto"/>
                    </w:rPr>
                    <w:t>.</w:t>
                  </w:r>
                  <w:r>
                    <w:rPr>
                      <w:rFonts w:hint="eastAsia"/>
                      <w:color w:val="auto"/>
                    </w:rPr>
                    <w:t>2</w:t>
                  </w:r>
                  <w:r>
                    <w:rPr>
                      <w:rFonts w:hint="eastAsia"/>
                      <w:color w:val="auto"/>
                      <w:lang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4326" w:type="pct"/>
                  <w:gridSpan w:val="2"/>
                  <w:noWrap w:val="0"/>
                  <w:vAlign w:val="center"/>
                </w:tcPr>
                <w:p>
                  <w:pPr>
                    <w:pStyle w:val="204"/>
                    <w:bidi w:val="0"/>
                    <w:rPr>
                      <w:color w:val="auto"/>
                    </w:rPr>
                  </w:pPr>
                  <w:r>
                    <w:rPr>
                      <w:color w:val="auto"/>
                    </w:rPr>
                    <w:t>区域湿度条件</w:t>
                  </w:r>
                </w:p>
              </w:tc>
              <w:tc>
                <w:tcPr>
                  <w:tcW w:w="674" w:type="pct"/>
                  <w:noWrap w:val="0"/>
                  <w:vAlign w:val="center"/>
                </w:tcPr>
                <w:p>
                  <w:pPr>
                    <w:pStyle w:val="204"/>
                    <w:bidi w:val="0"/>
                    <w:rPr>
                      <w:rFonts w:hint="eastAsia" w:eastAsia="宋体"/>
                      <w:color w:val="auto"/>
                      <w:lang w:eastAsia="zh-CN"/>
                    </w:rPr>
                  </w:pPr>
                  <w:r>
                    <w:rPr>
                      <w:rFonts w:hint="eastAsia"/>
                      <w:color w:val="auto"/>
                      <w:lang w:eastAsia="zh-CN"/>
                    </w:rPr>
                    <w:t>湿润气候</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048" w:type="pct"/>
                  <w:vMerge w:val="restart"/>
                  <w:noWrap w:val="0"/>
                  <w:vAlign w:val="center"/>
                </w:tcPr>
                <w:p>
                  <w:pPr>
                    <w:pStyle w:val="204"/>
                    <w:bidi w:val="0"/>
                    <w:rPr>
                      <w:color w:val="auto"/>
                    </w:rPr>
                  </w:pPr>
                  <w:r>
                    <w:rPr>
                      <w:color w:val="auto"/>
                    </w:rPr>
                    <w:t>是否考虑地形</w:t>
                  </w:r>
                </w:p>
              </w:tc>
              <w:tc>
                <w:tcPr>
                  <w:tcW w:w="2278" w:type="pct"/>
                  <w:noWrap w:val="0"/>
                  <w:vAlign w:val="center"/>
                </w:tcPr>
                <w:p>
                  <w:pPr>
                    <w:pStyle w:val="204"/>
                    <w:bidi w:val="0"/>
                    <w:rPr>
                      <w:color w:val="auto"/>
                    </w:rPr>
                  </w:pPr>
                  <w:r>
                    <w:rPr>
                      <w:color w:val="auto"/>
                    </w:rPr>
                    <w:t>考虑地形</w:t>
                  </w:r>
                </w:p>
              </w:tc>
              <w:tc>
                <w:tcPr>
                  <w:tcW w:w="674" w:type="pct"/>
                  <w:noWrap w:val="0"/>
                  <w:vAlign w:val="center"/>
                </w:tcPr>
                <w:p>
                  <w:pPr>
                    <w:pStyle w:val="204"/>
                    <w:bidi w:val="0"/>
                    <w:rPr>
                      <w:color w:val="auto"/>
                    </w:rPr>
                  </w:pPr>
                  <w:r>
                    <w:rPr>
                      <w:color w:val="auto"/>
                    </w:rPr>
                    <w:t>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2048" w:type="pct"/>
                  <w:vMerge w:val="continue"/>
                  <w:noWrap w:val="0"/>
                  <w:vAlign w:val="center"/>
                </w:tcPr>
                <w:p>
                  <w:pPr>
                    <w:pStyle w:val="204"/>
                    <w:bidi w:val="0"/>
                    <w:rPr>
                      <w:color w:val="auto"/>
                    </w:rPr>
                  </w:pPr>
                </w:p>
              </w:tc>
              <w:tc>
                <w:tcPr>
                  <w:tcW w:w="2278" w:type="pct"/>
                  <w:noWrap w:val="0"/>
                  <w:vAlign w:val="center"/>
                </w:tcPr>
                <w:p>
                  <w:pPr>
                    <w:pStyle w:val="204"/>
                    <w:bidi w:val="0"/>
                    <w:rPr>
                      <w:color w:val="auto"/>
                    </w:rPr>
                  </w:pPr>
                  <w:r>
                    <w:rPr>
                      <w:color w:val="auto"/>
                    </w:rPr>
                    <w:t>地形数据分辨率(m)</w:t>
                  </w:r>
                </w:p>
              </w:tc>
              <w:tc>
                <w:tcPr>
                  <w:tcW w:w="674" w:type="pct"/>
                  <w:noWrap w:val="0"/>
                  <w:vAlign w:val="center"/>
                </w:tcPr>
                <w:p>
                  <w:pPr>
                    <w:pStyle w:val="204"/>
                    <w:bidi w:val="0"/>
                    <w:rPr>
                      <w:color w:val="auto"/>
                    </w:rPr>
                  </w:pPr>
                  <w:r>
                    <w:rPr>
                      <w:color w:val="auto"/>
                    </w:rPr>
                    <w:t>90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2048" w:type="pct"/>
                  <w:vMerge w:val="restart"/>
                  <w:noWrap w:val="0"/>
                  <w:vAlign w:val="center"/>
                </w:tcPr>
                <w:p>
                  <w:pPr>
                    <w:pStyle w:val="204"/>
                    <w:bidi w:val="0"/>
                    <w:rPr>
                      <w:color w:val="auto"/>
                    </w:rPr>
                  </w:pPr>
                  <w:r>
                    <w:rPr>
                      <w:color w:val="auto"/>
                    </w:rPr>
                    <w:t>是否考虑岸线熏烟</w:t>
                  </w:r>
                </w:p>
              </w:tc>
              <w:tc>
                <w:tcPr>
                  <w:tcW w:w="2278" w:type="pct"/>
                  <w:noWrap w:val="0"/>
                  <w:vAlign w:val="center"/>
                </w:tcPr>
                <w:p>
                  <w:pPr>
                    <w:pStyle w:val="204"/>
                    <w:bidi w:val="0"/>
                    <w:rPr>
                      <w:color w:val="auto"/>
                    </w:rPr>
                  </w:pPr>
                  <w:r>
                    <w:rPr>
                      <w:color w:val="auto"/>
                    </w:rPr>
                    <w:t>考虑岸线熏烟</w:t>
                  </w:r>
                </w:p>
              </w:tc>
              <w:tc>
                <w:tcPr>
                  <w:tcW w:w="674" w:type="pct"/>
                  <w:noWrap w:val="0"/>
                  <w:vAlign w:val="center"/>
                </w:tcPr>
                <w:p>
                  <w:pPr>
                    <w:pStyle w:val="204"/>
                    <w:bidi w:val="0"/>
                    <w:rPr>
                      <w:color w:val="auto"/>
                    </w:rPr>
                  </w:pPr>
                  <w:r>
                    <w:rPr>
                      <w:color w:val="auto"/>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2048" w:type="pct"/>
                  <w:vMerge w:val="continue"/>
                  <w:noWrap w:val="0"/>
                  <w:vAlign w:val="center"/>
                </w:tcPr>
                <w:p>
                  <w:pPr>
                    <w:pStyle w:val="204"/>
                    <w:bidi w:val="0"/>
                    <w:rPr>
                      <w:color w:val="auto"/>
                    </w:rPr>
                  </w:pPr>
                </w:p>
              </w:tc>
              <w:tc>
                <w:tcPr>
                  <w:tcW w:w="2278" w:type="pct"/>
                  <w:noWrap w:val="0"/>
                  <w:vAlign w:val="center"/>
                </w:tcPr>
                <w:p>
                  <w:pPr>
                    <w:pStyle w:val="204"/>
                    <w:bidi w:val="0"/>
                    <w:rPr>
                      <w:color w:val="auto"/>
                    </w:rPr>
                  </w:pPr>
                  <w:r>
                    <w:rPr>
                      <w:color w:val="auto"/>
                    </w:rPr>
                    <w:t>岸线距离/m</w:t>
                  </w:r>
                </w:p>
              </w:tc>
              <w:tc>
                <w:tcPr>
                  <w:tcW w:w="674" w:type="pct"/>
                  <w:noWrap w:val="0"/>
                  <w:vAlign w:val="center"/>
                </w:tcPr>
                <w:p>
                  <w:pPr>
                    <w:pStyle w:val="204"/>
                    <w:bidi w:val="0"/>
                    <w:rPr>
                      <w:color w:val="auto"/>
                    </w:rPr>
                  </w:pPr>
                  <w:r>
                    <w:rPr>
                      <w:color w:val="auto"/>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2048" w:type="pct"/>
                  <w:vMerge w:val="continue"/>
                  <w:noWrap w:val="0"/>
                  <w:vAlign w:val="center"/>
                </w:tcPr>
                <w:p>
                  <w:pPr>
                    <w:pStyle w:val="204"/>
                    <w:bidi w:val="0"/>
                    <w:rPr>
                      <w:color w:val="auto"/>
                    </w:rPr>
                  </w:pPr>
                </w:p>
              </w:tc>
              <w:tc>
                <w:tcPr>
                  <w:tcW w:w="2278" w:type="pct"/>
                  <w:noWrap w:val="0"/>
                  <w:vAlign w:val="center"/>
                </w:tcPr>
                <w:p>
                  <w:pPr>
                    <w:pStyle w:val="204"/>
                    <w:bidi w:val="0"/>
                    <w:rPr>
                      <w:color w:val="auto"/>
                    </w:rPr>
                  </w:pPr>
                  <w:r>
                    <w:rPr>
                      <w:color w:val="auto"/>
                    </w:rPr>
                    <w:t>岸线方向/°</w:t>
                  </w:r>
                </w:p>
              </w:tc>
              <w:tc>
                <w:tcPr>
                  <w:tcW w:w="674" w:type="pct"/>
                  <w:noWrap w:val="0"/>
                  <w:vAlign w:val="center"/>
                </w:tcPr>
                <w:p>
                  <w:pPr>
                    <w:pStyle w:val="204"/>
                    <w:bidi w:val="0"/>
                    <w:rPr>
                      <w:color w:val="auto"/>
                    </w:rPr>
                  </w:pPr>
                  <w:r>
                    <w:rPr>
                      <w:color w:val="auto"/>
                    </w:rPr>
                    <w:t>/</w:t>
                  </w:r>
                </w:p>
              </w:tc>
            </w:tr>
          </w:tbl>
          <w:p>
            <w:pPr>
              <w:pStyle w:val="97"/>
              <w:bidi w:val="0"/>
              <w:rPr>
                <w:rFonts w:hint="default"/>
                <w:lang w:val="en-US" w:eastAsia="zh-CN"/>
              </w:rPr>
            </w:pPr>
            <w:r>
              <w:rPr>
                <w:rFonts w:hint="default"/>
                <w:lang w:val="en-US" w:eastAsia="zh-CN"/>
              </w:rPr>
              <w:t>3）主要污染源调查</w:t>
            </w:r>
          </w:p>
          <w:p>
            <w:pPr>
              <w:pStyle w:val="97"/>
              <w:bidi w:val="0"/>
              <w:rPr>
                <w:rFonts w:hint="default"/>
                <w:lang w:val="en-US" w:eastAsia="zh-CN"/>
              </w:rPr>
            </w:pPr>
            <w:r>
              <w:rPr>
                <w:rFonts w:hint="default"/>
                <w:lang w:val="en-US" w:eastAsia="zh-CN"/>
              </w:rPr>
              <w:t>项目主要污染物为无组织排放的非甲烷总烃，属于面源。非甲烷总烃排放源主来源于加气区和储罐区。根据业主提供的设计，加气区和储罐区较近，此次估算将</w:t>
            </w:r>
          </w:p>
          <w:p>
            <w:pPr>
              <w:pStyle w:val="97"/>
              <w:bidi w:val="0"/>
              <w:ind w:left="0" w:leftChars="0" w:firstLine="0" w:firstLineChars="0"/>
              <w:rPr>
                <w:rFonts w:hint="default"/>
                <w:lang w:val="en-US" w:eastAsia="zh-CN"/>
              </w:rPr>
            </w:pPr>
            <w:r>
              <w:rPr>
                <w:rFonts w:hint="default"/>
                <w:lang w:val="en-US" w:eastAsia="zh-CN"/>
              </w:rPr>
              <w:t>两个区域看做一个整体的面源。</w:t>
            </w:r>
          </w:p>
          <w:p>
            <w:pPr>
              <w:pStyle w:val="8"/>
              <w:bidi w:val="0"/>
              <w:rPr>
                <w:rFonts w:hint="default"/>
                <w:lang w:val="en-US" w:eastAsia="zh-CN"/>
              </w:rPr>
            </w:pPr>
            <w:r>
              <w:rPr>
                <w:rFonts w:hint="default"/>
                <w:lang w:val="en-US" w:eastAsia="zh-CN"/>
              </w:rPr>
              <w:t>表 7-</w:t>
            </w:r>
            <w:r>
              <w:rPr>
                <w:rFonts w:hint="eastAsia"/>
                <w:lang w:val="en-US" w:eastAsia="zh-CN"/>
              </w:rPr>
              <w:t>7</w:t>
            </w:r>
            <w:r>
              <w:rPr>
                <w:rFonts w:hint="default"/>
                <w:lang w:val="en-US" w:eastAsia="zh-CN"/>
              </w:rPr>
              <w:t xml:space="preserve"> 项目主要面源参数一览表</w:t>
            </w:r>
          </w:p>
          <w:p>
            <w:pPr>
              <w:pStyle w:val="161"/>
              <w:bidi w:val="0"/>
              <w:rPr>
                <w:rFonts w:hint="default"/>
                <w:lang w:val="en-US" w:eastAsia="zh-CN"/>
              </w:rPr>
            </w:pPr>
          </w:p>
          <w:tbl>
            <w:tblPr>
              <w:tblStyle w:val="29"/>
              <w:tblW w:w="499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83"/>
              <w:gridCol w:w="1534"/>
              <w:gridCol w:w="1084"/>
              <w:gridCol w:w="1084"/>
              <w:gridCol w:w="1084"/>
              <w:gridCol w:w="1594"/>
              <w:gridCol w:w="159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97" w:type="pct"/>
                  <w:vAlign w:val="center"/>
                </w:tcPr>
                <w:p>
                  <w:pPr>
                    <w:pStyle w:val="69"/>
                    <w:spacing w:line="240" w:lineRule="auto"/>
                    <w:ind w:left="0" w:firstLine="0" w:firstLineChars="0"/>
                    <w:rPr>
                      <w:rFonts w:hint="eastAsia" w:ascii="Times New Roman" w:eastAsia="宋体"/>
                      <w:sz w:val="21"/>
                      <w:szCs w:val="21"/>
                      <w:lang w:eastAsia="zh-CN"/>
                    </w:rPr>
                  </w:pPr>
                  <w:r>
                    <w:rPr>
                      <w:rFonts w:hint="eastAsia" w:ascii="Times New Roman"/>
                      <w:sz w:val="21"/>
                      <w:szCs w:val="21"/>
                      <w:lang w:eastAsia="zh-CN"/>
                    </w:rPr>
                    <w:t>污染物</w:t>
                  </w:r>
                </w:p>
              </w:tc>
              <w:tc>
                <w:tcPr>
                  <w:tcW w:w="846" w:type="pct"/>
                  <w:vAlign w:val="center"/>
                </w:tcPr>
                <w:p>
                  <w:pPr>
                    <w:pStyle w:val="69"/>
                    <w:spacing w:line="240" w:lineRule="auto"/>
                    <w:ind w:left="0" w:firstLine="0" w:firstLineChars="0"/>
                    <w:rPr>
                      <w:rFonts w:ascii="Times New Roman"/>
                      <w:sz w:val="21"/>
                      <w:szCs w:val="21"/>
                    </w:rPr>
                  </w:pPr>
                  <w:r>
                    <w:rPr>
                      <w:rFonts w:ascii="Times New Roman"/>
                      <w:sz w:val="21"/>
                      <w:szCs w:val="21"/>
                    </w:rPr>
                    <w:t>排放速率（kg/h）</w:t>
                  </w:r>
                </w:p>
              </w:tc>
              <w:tc>
                <w:tcPr>
                  <w:tcW w:w="598" w:type="pct"/>
                  <w:vAlign w:val="center"/>
                </w:tcPr>
                <w:p>
                  <w:pPr>
                    <w:pStyle w:val="69"/>
                    <w:spacing w:line="240" w:lineRule="auto"/>
                    <w:ind w:left="0" w:firstLine="0" w:firstLineChars="0"/>
                    <w:jc w:val="center"/>
                    <w:rPr>
                      <w:rFonts w:hint="default" w:ascii="Times New Roman" w:eastAsia="宋体"/>
                      <w:sz w:val="21"/>
                      <w:szCs w:val="21"/>
                      <w:lang w:val="en-US" w:eastAsia="zh-CN"/>
                    </w:rPr>
                  </w:pPr>
                  <w:r>
                    <w:rPr>
                      <w:rFonts w:hint="eastAsia" w:ascii="Times New Roman"/>
                      <w:sz w:val="21"/>
                      <w:szCs w:val="21"/>
                      <w:lang w:val="en-US" w:eastAsia="zh-CN"/>
                    </w:rPr>
                    <w:t>年排放小时数</w:t>
                  </w:r>
                </w:p>
              </w:tc>
              <w:tc>
                <w:tcPr>
                  <w:tcW w:w="598" w:type="pct"/>
                  <w:vAlign w:val="center"/>
                </w:tcPr>
                <w:p>
                  <w:pPr>
                    <w:pStyle w:val="69"/>
                    <w:spacing w:line="240" w:lineRule="auto"/>
                    <w:ind w:left="0" w:firstLine="0" w:firstLineChars="0"/>
                    <w:rPr>
                      <w:rFonts w:hint="eastAsia" w:ascii="Times New Roman" w:eastAsia="宋体"/>
                      <w:sz w:val="21"/>
                      <w:szCs w:val="21"/>
                      <w:lang w:eastAsia="zh-CN"/>
                    </w:rPr>
                  </w:pPr>
                  <w:r>
                    <w:rPr>
                      <w:rFonts w:hint="eastAsia" w:ascii="Times New Roman"/>
                      <w:sz w:val="21"/>
                      <w:szCs w:val="21"/>
                      <w:lang w:eastAsia="zh-CN"/>
                    </w:rPr>
                    <w:t>排放工况</w:t>
                  </w:r>
                </w:p>
              </w:tc>
              <w:tc>
                <w:tcPr>
                  <w:tcW w:w="598" w:type="pct"/>
                  <w:vAlign w:val="center"/>
                </w:tcPr>
                <w:p>
                  <w:pPr>
                    <w:pStyle w:val="69"/>
                    <w:spacing w:line="240" w:lineRule="auto"/>
                    <w:ind w:left="0" w:firstLine="0" w:firstLineChars="0"/>
                    <w:rPr>
                      <w:rFonts w:ascii="Times New Roman"/>
                      <w:sz w:val="21"/>
                      <w:szCs w:val="21"/>
                    </w:rPr>
                  </w:pPr>
                  <w:r>
                    <w:rPr>
                      <w:rFonts w:ascii="Times New Roman"/>
                      <w:sz w:val="21"/>
                      <w:szCs w:val="21"/>
                    </w:rPr>
                    <w:t>面源有</w:t>
                  </w:r>
                </w:p>
                <w:p>
                  <w:pPr>
                    <w:pStyle w:val="69"/>
                    <w:spacing w:line="240" w:lineRule="auto"/>
                    <w:ind w:left="0" w:firstLine="0" w:firstLineChars="0"/>
                    <w:rPr>
                      <w:rFonts w:ascii="Times New Roman"/>
                      <w:sz w:val="21"/>
                      <w:szCs w:val="21"/>
                    </w:rPr>
                  </w:pPr>
                  <w:r>
                    <w:rPr>
                      <w:rFonts w:ascii="Times New Roman"/>
                      <w:sz w:val="21"/>
                      <w:szCs w:val="21"/>
                    </w:rPr>
                    <w:t>效高度</w:t>
                  </w:r>
                </w:p>
              </w:tc>
              <w:tc>
                <w:tcPr>
                  <w:tcW w:w="879" w:type="pct"/>
                  <w:vAlign w:val="center"/>
                </w:tcPr>
                <w:p>
                  <w:pPr>
                    <w:pStyle w:val="69"/>
                    <w:spacing w:line="240" w:lineRule="auto"/>
                    <w:ind w:left="0" w:firstLine="0" w:firstLineChars="0"/>
                    <w:rPr>
                      <w:rFonts w:ascii="Times New Roman"/>
                      <w:sz w:val="21"/>
                      <w:szCs w:val="21"/>
                    </w:rPr>
                  </w:pPr>
                  <w:r>
                    <w:rPr>
                      <w:rFonts w:ascii="Times New Roman"/>
                      <w:sz w:val="21"/>
                      <w:szCs w:val="21"/>
                    </w:rPr>
                    <w:t>面源有效长度（m）</w:t>
                  </w:r>
                </w:p>
              </w:tc>
              <w:tc>
                <w:tcPr>
                  <w:tcW w:w="880" w:type="pct"/>
                  <w:tcBorders>
                    <w:right w:val="single" w:color="auto" w:sz="4" w:space="0"/>
                  </w:tcBorders>
                  <w:vAlign w:val="center"/>
                </w:tcPr>
                <w:p>
                  <w:pPr>
                    <w:pStyle w:val="69"/>
                    <w:spacing w:line="240" w:lineRule="auto"/>
                    <w:ind w:left="0" w:firstLine="0" w:firstLineChars="0"/>
                    <w:rPr>
                      <w:rFonts w:ascii="Times New Roman"/>
                      <w:sz w:val="21"/>
                      <w:szCs w:val="21"/>
                    </w:rPr>
                  </w:pPr>
                  <w:r>
                    <w:rPr>
                      <w:rFonts w:ascii="Times New Roman"/>
                      <w:sz w:val="21"/>
                      <w:szCs w:val="21"/>
                    </w:rPr>
                    <w:t>面源有效宽度（m）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97" w:type="pct"/>
                  <w:vAlign w:val="center"/>
                </w:tcPr>
                <w:p>
                  <w:pPr>
                    <w:pStyle w:val="69"/>
                    <w:spacing w:line="240" w:lineRule="auto"/>
                    <w:ind w:left="0" w:firstLine="0" w:firstLineChars="0"/>
                    <w:rPr>
                      <w:rFonts w:hint="default" w:ascii="Times New Roman" w:eastAsia="宋体"/>
                      <w:sz w:val="21"/>
                      <w:szCs w:val="21"/>
                      <w:lang w:val="en-US" w:eastAsia="zh-CN"/>
                    </w:rPr>
                  </w:pPr>
                  <w:r>
                    <w:rPr>
                      <w:rFonts w:hint="eastAsia" w:ascii="Times New Roman"/>
                      <w:sz w:val="21"/>
                      <w:szCs w:val="21"/>
                      <w:lang w:val="en-US" w:eastAsia="zh-CN"/>
                    </w:rPr>
                    <w:t>NMHC</w:t>
                  </w:r>
                </w:p>
              </w:tc>
              <w:tc>
                <w:tcPr>
                  <w:tcW w:w="846" w:type="pct"/>
                  <w:vAlign w:val="center"/>
                </w:tcPr>
                <w:p>
                  <w:pPr>
                    <w:pStyle w:val="69"/>
                    <w:spacing w:line="240" w:lineRule="auto"/>
                    <w:ind w:left="0" w:firstLine="0" w:firstLineChars="0"/>
                    <w:rPr>
                      <w:rFonts w:hint="default" w:ascii="Times New Roman" w:eastAsia="宋体"/>
                      <w:sz w:val="21"/>
                      <w:szCs w:val="21"/>
                      <w:lang w:val="en-US" w:eastAsia="zh-CN"/>
                    </w:rPr>
                  </w:pPr>
                  <w:r>
                    <w:rPr>
                      <w:rFonts w:hint="eastAsia" w:ascii="Times New Roman"/>
                      <w:sz w:val="21"/>
                      <w:szCs w:val="21"/>
                      <w:lang w:val="en-US" w:eastAsia="zh-CN"/>
                    </w:rPr>
                    <w:t>0.012</w:t>
                  </w:r>
                </w:p>
              </w:tc>
              <w:tc>
                <w:tcPr>
                  <w:tcW w:w="598" w:type="pct"/>
                  <w:tcBorders>
                    <w:bottom w:val="single" w:color="auto" w:sz="4" w:space="0"/>
                  </w:tcBorders>
                  <w:vAlign w:val="center"/>
                </w:tcPr>
                <w:p>
                  <w:pPr>
                    <w:pStyle w:val="69"/>
                    <w:spacing w:line="240" w:lineRule="auto"/>
                    <w:ind w:left="0" w:firstLine="0" w:firstLineChars="0"/>
                    <w:rPr>
                      <w:rFonts w:hint="default" w:ascii="Times New Roman"/>
                      <w:sz w:val="21"/>
                      <w:szCs w:val="21"/>
                      <w:lang w:val="en-US" w:eastAsia="zh-CN"/>
                    </w:rPr>
                  </w:pPr>
                  <w:r>
                    <w:rPr>
                      <w:rFonts w:hint="eastAsia" w:ascii="Times New Roman"/>
                      <w:sz w:val="21"/>
                      <w:szCs w:val="21"/>
                      <w:lang w:val="en-US" w:eastAsia="zh-CN"/>
                    </w:rPr>
                    <w:t>8760</w:t>
                  </w:r>
                </w:p>
              </w:tc>
              <w:tc>
                <w:tcPr>
                  <w:tcW w:w="598" w:type="pct"/>
                  <w:tcBorders>
                    <w:bottom w:val="single" w:color="auto" w:sz="4" w:space="0"/>
                  </w:tcBorders>
                  <w:vAlign w:val="center"/>
                </w:tcPr>
                <w:p>
                  <w:pPr>
                    <w:pStyle w:val="69"/>
                    <w:spacing w:line="240" w:lineRule="auto"/>
                    <w:ind w:left="0" w:firstLine="0" w:firstLineChars="0"/>
                    <w:rPr>
                      <w:rFonts w:hint="eastAsia" w:ascii="Times New Roman"/>
                      <w:sz w:val="21"/>
                      <w:szCs w:val="21"/>
                      <w:lang w:val="en-US" w:eastAsia="zh-CN"/>
                    </w:rPr>
                  </w:pPr>
                  <w:r>
                    <w:rPr>
                      <w:rFonts w:hint="eastAsia" w:ascii="Times New Roman"/>
                      <w:sz w:val="21"/>
                      <w:szCs w:val="21"/>
                      <w:lang w:val="en-US" w:eastAsia="zh-CN"/>
                    </w:rPr>
                    <w:t>正常</w:t>
                  </w:r>
                </w:p>
              </w:tc>
              <w:tc>
                <w:tcPr>
                  <w:tcW w:w="598" w:type="pct"/>
                  <w:tcBorders>
                    <w:bottom w:val="single" w:color="auto" w:sz="4" w:space="0"/>
                  </w:tcBorders>
                  <w:vAlign w:val="center"/>
                </w:tcPr>
                <w:p>
                  <w:pPr>
                    <w:pStyle w:val="69"/>
                    <w:spacing w:line="240" w:lineRule="auto"/>
                    <w:ind w:left="0" w:firstLine="0" w:firstLineChars="0"/>
                    <w:rPr>
                      <w:rFonts w:hint="eastAsia" w:ascii="Times New Roman" w:eastAsia="宋体"/>
                      <w:sz w:val="21"/>
                      <w:szCs w:val="21"/>
                      <w:lang w:val="en-US" w:eastAsia="zh-CN"/>
                    </w:rPr>
                  </w:pPr>
                  <w:r>
                    <w:rPr>
                      <w:rFonts w:hint="eastAsia" w:ascii="Times New Roman"/>
                      <w:sz w:val="21"/>
                      <w:szCs w:val="21"/>
                      <w:lang w:val="en-US" w:eastAsia="zh-CN"/>
                    </w:rPr>
                    <w:t>8</w:t>
                  </w:r>
                </w:p>
              </w:tc>
              <w:tc>
                <w:tcPr>
                  <w:tcW w:w="879" w:type="pct"/>
                  <w:tcBorders>
                    <w:bottom w:val="single" w:color="auto" w:sz="4" w:space="0"/>
                  </w:tcBorders>
                  <w:vAlign w:val="center"/>
                </w:tcPr>
                <w:p>
                  <w:pPr>
                    <w:pStyle w:val="69"/>
                    <w:spacing w:line="240" w:lineRule="auto"/>
                    <w:ind w:left="0" w:firstLine="0" w:firstLineChars="0"/>
                    <w:rPr>
                      <w:rFonts w:hint="default" w:ascii="Times New Roman" w:eastAsia="宋体"/>
                      <w:sz w:val="21"/>
                      <w:szCs w:val="21"/>
                      <w:lang w:val="en-US" w:eastAsia="zh-CN"/>
                    </w:rPr>
                  </w:pPr>
                  <w:r>
                    <w:rPr>
                      <w:rFonts w:hint="eastAsia" w:ascii="Times New Roman"/>
                      <w:sz w:val="21"/>
                      <w:szCs w:val="21"/>
                      <w:lang w:val="en-US" w:eastAsia="zh-CN"/>
                    </w:rPr>
                    <w:t>51.2</w:t>
                  </w:r>
                </w:p>
              </w:tc>
              <w:tc>
                <w:tcPr>
                  <w:tcW w:w="880" w:type="pct"/>
                  <w:tcBorders>
                    <w:bottom w:val="single" w:color="auto" w:sz="4" w:space="0"/>
                    <w:right w:val="single" w:color="auto" w:sz="4" w:space="0"/>
                  </w:tcBorders>
                  <w:vAlign w:val="center"/>
                </w:tcPr>
                <w:p>
                  <w:pPr>
                    <w:pStyle w:val="69"/>
                    <w:spacing w:line="240" w:lineRule="auto"/>
                    <w:ind w:left="0" w:firstLine="0" w:firstLineChars="0"/>
                    <w:rPr>
                      <w:rFonts w:hint="default" w:ascii="Times New Roman" w:eastAsia="宋体"/>
                      <w:sz w:val="21"/>
                      <w:szCs w:val="21"/>
                      <w:lang w:val="en-US" w:eastAsia="zh-CN"/>
                    </w:rPr>
                  </w:pPr>
                  <w:r>
                    <w:rPr>
                      <w:rFonts w:hint="eastAsia" w:ascii="Times New Roman"/>
                      <w:sz w:val="21"/>
                      <w:szCs w:val="21"/>
                      <w:lang w:val="en-US" w:eastAsia="zh-CN"/>
                    </w:rPr>
                    <w:t>33.6</w:t>
                  </w:r>
                </w:p>
              </w:tc>
            </w:tr>
          </w:tbl>
          <w:p>
            <w:pPr>
              <w:pStyle w:val="97"/>
              <w:bidi w:val="0"/>
              <w:rPr>
                <w:rFonts w:hint="default"/>
                <w:lang w:val="en-US" w:eastAsia="zh-CN"/>
              </w:rPr>
            </w:pPr>
            <w:r>
              <w:rPr>
                <w:rFonts w:hint="default"/>
                <w:lang w:val="en-US" w:eastAsia="zh-CN"/>
              </w:rPr>
              <w:t>4）估算模式预测结果</w:t>
            </w:r>
          </w:p>
          <w:p>
            <w:pPr>
              <w:pStyle w:val="97"/>
              <w:bidi w:val="0"/>
              <w:rPr>
                <w:rFonts w:hint="eastAsia"/>
                <w:lang w:val="en-US" w:eastAsia="zh-CN"/>
              </w:rPr>
            </w:pPr>
            <w:r>
              <w:rPr>
                <w:rFonts w:hint="eastAsia"/>
                <w:lang w:val="en-US" w:eastAsia="zh-CN"/>
              </w:rPr>
              <w:t>采用《环境影响评价技术导则—大气环境》（HJ 2.2-2018）推荐模式清单中的估算模式计算污染源下风向轴线浓度，并计算相应浓度的占标率。本项目主要污染源为：无组织排放有 1 个污染源。根据软件计算计算结果如下示：</w:t>
            </w:r>
          </w:p>
          <w:p>
            <w:pPr>
              <w:pStyle w:val="8"/>
              <w:bidi w:val="0"/>
              <w:rPr>
                <w:rFonts w:hint="eastAsia"/>
                <w:lang w:val="en-US" w:eastAsia="zh-CN"/>
              </w:rPr>
            </w:pPr>
            <w:r>
              <w:rPr>
                <w:rFonts w:hint="eastAsia"/>
                <w:lang w:val="en-US" w:eastAsia="zh-CN"/>
              </w:rPr>
              <w:t>表7-8 无组织废气预测结果一览表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4"/>
              <w:gridCol w:w="2264"/>
              <w:gridCol w:w="2266"/>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jc w:val="center"/>
                    <w:rPr>
                      <w:rFonts w:hint="default"/>
                      <w:vertAlign w:val="baseline"/>
                      <w:lang w:val="en-US" w:eastAsia="zh-CN"/>
                    </w:rPr>
                  </w:pPr>
                  <w:r>
                    <w:rPr>
                      <w:rFonts w:hint="eastAsia"/>
                      <w:vertAlign w:val="baseline"/>
                      <w:lang w:val="en-US" w:eastAsia="zh-CN"/>
                    </w:rPr>
                    <w:t>序号</w:t>
                  </w:r>
                </w:p>
              </w:tc>
              <w:tc>
                <w:tcPr>
                  <w:tcW w:w="2264" w:type="dxa"/>
                  <w:vAlign w:val="center"/>
                </w:tcPr>
                <w:p>
                  <w:pPr>
                    <w:jc w:val="center"/>
                    <w:rPr>
                      <w:rFonts w:hint="default"/>
                      <w:vertAlign w:val="baseline"/>
                      <w:lang w:val="en-US" w:eastAsia="zh-CN"/>
                    </w:rPr>
                  </w:pPr>
                  <w:r>
                    <w:rPr>
                      <w:rFonts w:hint="eastAsia"/>
                      <w:vertAlign w:val="baseline"/>
                      <w:lang w:val="en-US" w:eastAsia="zh-CN"/>
                    </w:rPr>
                    <w:t>离源距离</w:t>
                  </w:r>
                </w:p>
              </w:tc>
              <w:tc>
                <w:tcPr>
                  <w:tcW w:w="2266" w:type="dxa"/>
                  <w:vAlign w:val="center"/>
                </w:tcPr>
                <w:p>
                  <w:pPr>
                    <w:jc w:val="center"/>
                    <w:rPr>
                      <w:rFonts w:hint="default"/>
                      <w:vertAlign w:val="baseline"/>
                      <w:lang w:val="en-US" w:eastAsia="zh-CN"/>
                    </w:rPr>
                  </w:pPr>
                  <w:r>
                    <w:rPr>
                      <w:rFonts w:hint="eastAsia"/>
                      <w:vertAlign w:val="baseline"/>
                      <w:lang w:val="en-US" w:eastAsia="zh-CN"/>
                    </w:rPr>
                    <w:t>浓度mg/m</w:t>
                  </w:r>
                  <w:r>
                    <w:rPr>
                      <w:rFonts w:hint="eastAsia"/>
                      <w:vertAlign w:val="superscript"/>
                      <w:lang w:val="en-US" w:eastAsia="zh-CN"/>
                    </w:rPr>
                    <w:t>3</w:t>
                  </w:r>
                </w:p>
              </w:tc>
              <w:tc>
                <w:tcPr>
                  <w:tcW w:w="2266" w:type="dxa"/>
                  <w:vAlign w:val="center"/>
                </w:tcPr>
                <w:p>
                  <w:pPr>
                    <w:jc w:val="center"/>
                    <w:rPr>
                      <w:rFonts w:hint="default"/>
                      <w:vertAlign w:val="baseline"/>
                      <w:lang w:val="en-US" w:eastAsia="zh-CN"/>
                    </w:rPr>
                  </w:pPr>
                  <w:r>
                    <w:rPr>
                      <w:rFonts w:hint="eastAsia"/>
                      <w:vertAlign w:val="baseline"/>
                      <w:lang w:val="en-US" w:eastAsia="zh-CN"/>
                    </w:rPr>
                    <w:t>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eastAsia"/>
                      <w:vertAlign w:val="baseline"/>
                      <w:lang w:val="en-US" w:eastAsia="zh-CN"/>
                    </w:rPr>
                  </w:pPr>
                </w:p>
              </w:tc>
              <w:tc>
                <w:tcPr>
                  <w:tcW w:w="2264" w:type="dxa"/>
                  <w:vAlign w:val="center"/>
                </w:tcPr>
                <w:p>
                  <w:pPr>
                    <w:jc w:val="center"/>
                    <w:rPr>
                      <w:rFonts w:hint="eastAsia"/>
                      <w:vertAlign w:val="baseline"/>
                      <w:lang w:val="en-US" w:eastAsia="zh-CN"/>
                    </w:rPr>
                  </w:pPr>
                  <w:r>
                    <w:rPr>
                      <w:rFonts w:hint="eastAsia"/>
                    </w:rPr>
                    <w:t>10</w:t>
                  </w:r>
                </w:p>
              </w:tc>
              <w:tc>
                <w:tcPr>
                  <w:tcW w:w="2266" w:type="dxa"/>
                  <w:vAlign w:val="center"/>
                </w:tcPr>
                <w:p>
                  <w:pPr>
                    <w:jc w:val="center"/>
                    <w:rPr>
                      <w:rFonts w:hint="eastAsia"/>
                      <w:vertAlign w:val="baseline"/>
                      <w:lang w:val="en-US" w:eastAsia="zh-CN"/>
                    </w:rPr>
                  </w:pPr>
                  <w:r>
                    <w:rPr>
                      <w:rFonts w:hint="eastAsia"/>
                    </w:rPr>
                    <w:t>0.0080</w:t>
                  </w:r>
                </w:p>
              </w:tc>
              <w:tc>
                <w:tcPr>
                  <w:tcW w:w="2266" w:type="dxa"/>
                  <w:vAlign w:val="center"/>
                </w:tcPr>
                <w:p>
                  <w:pPr>
                    <w:jc w:val="center"/>
                    <w:rPr>
                      <w:rFonts w:hint="eastAsia"/>
                      <w:vertAlign w:val="baseline"/>
                      <w:lang w:val="en-US" w:eastAsia="zh-CN"/>
                    </w:rPr>
                  </w:pPr>
                  <w:r>
                    <w:rPr>
                      <w:rFonts w:hint="eastAsia"/>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eastAsia"/>
                      <w:vertAlign w:val="baseline"/>
                      <w:lang w:val="en-US" w:eastAsia="zh-CN"/>
                    </w:rPr>
                  </w:pPr>
                </w:p>
              </w:tc>
              <w:tc>
                <w:tcPr>
                  <w:tcW w:w="2264" w:type="dxa"/>
                  <w:vAlign w:val="center"/>
                </w:tcPr>
                <w:p>
                  <w:pPr>
                    <w:jc w:val="center"/>
                    <w:rPr>
                      <w:rFonts w:hint="eastAsia"/>
                      <w:vertAlign w:val="baseline"/>
                      <w:lang w:val="en-US" w:eastAsia="zh-CN"/>
                    </w:rPr>
                  </w:pPr>
                  <w:r>
                    <w:rPr>
                      <w:rFonts w:hint="eastAsia"/>
                    </w:rPr>
                    <w:t>25</w:t>
                  </w:r>
                </w:p>
              </w:tc>
              <w:tc>
                <w:tcPr>
                  <w:tcW w:w="2266" w:type="dxa"/>
                  <w:vAlign w:val="center"/>
                </w:tcPr>
                <w:p>
                  <w:pPr>
                    <w:jc w:val="center"/>
                    <w:rPr>
                      <w:rFonts w:hint="eastAsia"/>
                      <w:vertAlign w:val="baseline"/>
                      <w:lang w:val="en-US" w:eastAsia="zh-CN"/>
                    </w:rPr>
                  </w:pPr>
                  <w:r>
                    <w:rPr>
                      <w:rFonts w:hint="eastAsia"/>
                    </w:rPr>
                    <w:t>0.0106</w:t>
                  </w:r>
                </w:p>
              </w:tc>
              <w:tc>
                <w:tcPr>
                  <w:tcW w:w="2266" w:type="dxa"/>
                  <w:vAlign w:val="center"/>
                </w:tcPr>
                <w:p>
                  <w:pPr>
                    <w:jc w:val="center"/>
                    <w:rPr>
                      <w:rFonts w:hint="eastAsia"/>
                      <w:vertAlign w:val="baseline"/>
                      <w:lang w:val="en-US" w:eastAsia="zh-CN"/>
                    </w:rPr>
                  </w:pPr>
                  <w:r>
                    <w:rPr>
                      <w:rFonts w:hint="eastAsia"/>
                    </w:rPr>
                    <w:t>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eastAsia"/>
                      <w:b/>
                      <w:bCs/>
                      <w:vertAlign w:val="baseline"/>
                      <w:lang w:val="en-US" w:eastAsia="zh-CN"/>
                    </w:rPr>
                  </w:pPr>
                </w:p>
              </w:tc>
              <w:tc>
                <w:tcPr>
                  <w:tcW w:w="2264" w:type="dxa"/>
                  <w:vAlign w:val="center"/>
                </w:tcPr>
                <w:p>
                  <w:pPr>
                    <w:jc w:val="center"/>
                    <w:rPr>
                      <w:rFonts w:hint="eastAsia"/>
                      <w:b/>
                      <w:bCs/>
                      <w:vertAlign w:val="baseline"/>
                      <w:lang w:val="en-US" w:eastAsia="zh-CN"/>
                    </w:rPr>
                  </w:pPr>
                  <w:r>
                    <w:rPr>
                      <w:rFonts w:hint="eastAsia"/>
                      <w:b/>
                      <w:bCs/>
                    </w:rPr>
                    <w:t>38</w:t>
                  </w:r>
                </w:p>
              </w:tc>
              <w:tc>
                <w:tcPr>
                  <w:tcW w:w="2266" w:type="dxa"/>
                  <w:vAlign w:val="center"/>
                </w:tcPr>
                <w:p>
                  <w:pPr>
                    <w:jc w:val="center"/>
                    <w:rPr>
                      <w:rFonts w:hint="eastAsia"/>
                      <w:b/>
                      <w:bCs/>
                      <w:vertAlign w:val="baseline"/>
                      <w:lang w:val="en-US" w:eastAsia="zh-CN"/>
                    </w:rPr>
                  </w:pPr>
                  <w:r>
                    <w:rPr>
                      <w:rFonts w:hint="eastAsia"/>
                      <w:b/>
                      <w:bCs/>
                    </w:rPr>
                    <w:t>0.0114</w:t>
                  </w:r>
                </w:p>
              </w:tc>
              <w:tc>
                <w:tcPr>
                  <w:tcW w:w="2266" w:type="dxa"/>
                  <w:vAlign w:val="center"/>
                </w:tcPr>
                <w:p>
                  <w:pPr>
                    <w:jc w:val="center"/>
                    <w:rPr>
                      <w:rFonts w:hint="eastAsia"/>
                      <w:b/>
                      <w:bCs/>
                      <w:vertAlign w:val="baseline"/>
                      <w:lang w:val="en-US" w:eastAsia="zh-CN"/>
                    </w:rPr>
                  </w:pPr>
                  <w:r>
                    <w:rPr>
                      <w:rFonts w:hint="eastAsia"/>
                      <w:b/>
                      <w:bCs/>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50</w:t>
                  </w:r>
                </w:p>
              </w:tc>
              <w:tc>
                <w:tcPr>
                  <w:tcW w:w="2266" w:type="dxa"/>
                  <w:vAlign w:val="center"/>
                </w:tcPr>
                <w:p>
                  <w:pPr>
                    <w:jc w:val="center"/>
                    <w:rPr>
                      <w:rFonts w:hint="default"/>
                      <w:vertAlign w:val="baseline"/>
                      <w:lang w:val="en-US" w:eastAsia="zh-CN"/>
                    </w:rPr>
                  </w:pPr>
                  <w:r>
                    <w:rPr>
                      <w:rFonts w:hint="eastAsia"/>
                    </w:rPr>
                    <w:t>0.0105</w:t>
                  </w:r>
                </w:p>
              </w:tc>
              <w:tc>
                <w:tcPr>
                  <w:tcW w:w="2266" w:type="dxa"/>
                  <w:vAlign w:val="center"/>
                </w:tcPr>
                <w:p>
                  <w:pPr>
                    <w:jc w:val="center"/>
                    <w:rPr>
                      <w:rFonts w:hint="default"/>
                      <w:vertAlign w:val="baseline"/>
                      <w:lang w:val="en-US" w:eastAsia="zh-CN"/>
                    </w:rPr>
                  </w:pPr>
                  <w:r>
                    <w:rPr>
                      <w:rFonts w:hint="eastAsia"/>
                    </w:rPr>
                    <w:t>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75</w:t>
                  </w:r>
                </w:p>
              </w:tc>
              <w:tc>
                <w:tcPr>
                  <w:tcW w:w="2266" w:type="dxa"/>
                  <w:vAlign w:val="center"/>
                </w:tcPr>
                <w:p>
                  <w:pPr>
                    <w:jc w:val="center"/>
                    <w:rPr>
                      <w:rFonts w:hint="default"/>
                      <w:vertAlign w:val="baseline"/>
                      <w:lang w:val="en-US" w:eastAsia="zh-CN"/>
                    </w:rPr>
                  </w:pPr>
                  <w:r>
                    <w:rPr>
                      <w:rFonts w:hint="eastAsia"/>
                    </w:rPr>
                    <w:t>0.0070</w:t>
                  </w:r>
                </w:p>
              </w:tc>
              <w:tc>
                <w:tcPr>
                  <w:tcW w:w="2266" w:type="dxa"/>
                  <w:vAlign w:val="center"/>
                </w:tcPr>
                <w:p>
                  <w:pPr>
                    <w:jc w:val="center"/>
                    <w:rPr>
                      <w:rFonts w:hint="default"/>
                      <w:vertAlign w:val="baseline"/>
                      <w:lang w:val="en-US" w:eastAsia="zh-CN"/>
                    </w:rPr>
                  </w:pPr>
                  <w:r>
                    <w:rPr>
                      <w:rFonts w:hint="eastAsia"/>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100</w:t>
                  </w:r>
                </w:p>
              </w:tc>
              <w:tc>
                <w:tcPr>
                  <w:tcW w:w="2266" w:type="dxa"/>
                  <w:vAlign w:val="center"/>
                </w:tcPr>
                <w:p>
                  <w:pPr>
                    <w:jc w:val="center"/>
                    <w:rPr>
                      <w:rFonts w:hint="default"/>
                      <w:vertAlign w:val="baseline"/>
                      <w:lang w:val="en-US" w:eastAsia="zh-CN"/>
                    </w:rPr>
                  </w:pPr>
                  <w:r>
                    <w:rPr>
                      <w:rFonts w:hint="eastAsia"/>
                    </w:rPr>
                    <w:t>0.0054</w:t>
                  </w:r>
                </w:p>
              </w:tc>
              <w:tc>
                <w:tcPr>
                  <w:tcW w:w="2266" w:type="dxa"/>
                  <w:vAlign w:val="center"/>
                </w:tcPr>
                <w:p>
                  <w:pPr>
                    <w:jc w:val="center"/>
                    <w:rPr>
                      <w:rFonts w:hint="default"/>
                      <w:vertAlign w:val="baseline"/>
                      <w:lang w:val="en-US" w:eastAsia="zh-CN"/>
                    </w:rPr>
                  </w:pPr>
                  <w:r>
                    <w:rPr>
                      <w:rFonts w:hint="eastAsia"/>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125</w:t>
                  </w:r>
                </w:p>
              </w:tc>
              <w:tc>
                <w:tcPr>
                  <w:tcW w:w="2266" w:type="dxa"/>
                  <w:vAlign w:val="center"/>
                </w:tcPr>
                <w:p>
                  <w:pPr>
                    <w:jc w:val="center"/>
                    <w:rPr>
                      <w:rFonts w:hint="default"/>
                      <w:vertAlign w:val="baseline"/>
                      <w:lang w:val="en-US" w:eastAsia="zh-CN"/>
                    </w:rPr>
                  </w:pPr>
                  <w:r>
                    <w:rPr>
                      <w:rFonts w:hint="eastAsia"/>
                    </w:rPr>
                    <w:t>0.0051</w:t>
                  </w:r>
                </w:p>
              </w:tc>
              <w:tc>
                <w:tcPr>
                  <w:tcW w:w="2266" w:type="dxa"/>
                  <w:vAlign w:val="center"/>
                </w:tcPr>
                <w:p>
                  <w:pPr>
                    <w:jc w:val="center"/>
                    <w:rPr>
                      <w:rFonts w:hint="default"/>
                      <w:vertAlign w:val="baseline"/>
                      <w:lang w:val="en-US" w:eastAsia="zh-CN"/>
                    </w:rPr>
                  </w:pPr>
                  <w:r>
                    <w:rPr>
                      <w:rFonts w:hint="eastAsia"/>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150</w:t>
                  </w:r>
                </w:p>
              </w:tc>
              <w:tc>
                <w:tcPr>
                  <w:tcW w:w="2266" w:type="dxa"/>
                  <w:vAlign w:val="center"/>
                </w:tcPr>
                <w:p>
                  <w:pPr>
                    <w:jc w:val="center"/>
                    <w:rPr>
                      <w:rFonts w:hint="default"/>
                      <w:vertAlign w:val="baseline"/>
                      <w:lang w:val="en-US" w:eastAsia="zh-CN"/>
                    </w:rPr>
                  </w:pPr>
                  <w:r>
                    <w:rPr>
                      <w:rFonts w:hint="eastAsia"/>
                    </w:rPr>
                    <w:t>0.0048</w:t>
                  </w:r>
                </w:p>
              </w:tc>
              <w:tc>
                <w:tcPr>
                  <w:tcW w:w="2266" w:type="dxa"/>
                  <w:vAlign w:val="center"/>
                </w:tcPr>
                <w:p>
                  <w:pPr>
                    <w:jc w:val="center"/>
                    <w:rPr>
                      <w:rFonts w:hint="default"/>
                      <w:vertAlign w:val="baseline"/>
                      <w:lang w:val="en-US" w:eastAsia="zh-CN"/>
                    </w:rPr>
                  </w:pPr>
                  <w:r>
                    <w:rPr>
                      <w:rFonts w:hint="eastAsia"/>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175</w:t>
                  </w:r>
                </w:p>
              </w:tc>
              <w:tc>
                <w:tcPr>
                  <w:tcW w:w="2266" w:type="dxa"/>
                  <w:vAlign w:val="center"/>
                </w:tcPr>
                <w:p>
                  <w:pPr>
                    <w:jc w:val="center"/>
                    <w:rPr>
                      <w:rFonts w:hint="default"/>
                      <w:vertAlign w:val="baseline"/>
                      <w:lang w:val="en-US" w:eastAsia="zh-CN"/>
                    </w:rPr>
                  </w:pPr>
                  <w:r>
                    <w:rPr>
                      <w:rFonts w:hint="eastAsia"/>
                    </w:rPr>
                    <w:t>0.0046</w:t>
                  </w:r>
                </w:p>
              </w:tc>
              <w:tc>
                <w:tcPr>
                  <w:tcW w:w="2266" w:type="dxa"/>
                  <w:vAlign w:val="center"/>
                </w:tcPr>
                <w:p>
                  <w:pPr>
                    <w:jc w:val="center"/>
                    <w:rPr>
                      <w:rFonts w:hint="default"/>
                      <w:vertAlign w:val="baseline"/>
                      <w:lang w:val="en-US" w:eastAsia="zh-CN"/>
                    </w:rPr>
                  </w:pPr>
                  <w:r>
                    <w:rPr>
                      <w:rFonts w:hint="eastAsia"/>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200</w:t>
                  </w:r>
                </w:p>
              </w:tc>
              <w:tc>
                <w:tcPr>
                  <w:tcW w:w="2266" w:type="dxa"/>
                  <w:vAlign w:val="center"/>
                </w:tcPr>
                <w:p>
                  <w:pPr>
                    <w:jc w:val="center"/>
                    <w:rPr>
                      <w:rFonts w:hint="default"/>
                      <w:vertAlign w:val="baseline"/>
                      <w:lang w:val="en-US" w:eastAsia="zh-CN"/>
                    </w:rPr>
                  </w:pPr>
                  <w:r>
                    <w:rPr>
                      <w:rFonts w:hint="eastAsia"/>
                    </w:rPr>
                    <w:t>0.0045</w:t>
                  </w:r>
                </w:p>
              </w:tc>
              <w:tc>
                <w:tcPr>
                  <w:tcW w:w="2266" w:type="dxa"/>
                  <w:vAlign w:val="center"/>
                </w:tcPr>
                <w:p>
                  <w:pPr>
                    <w:jc w:val="center"/>
                    <w:rPr>
                      <w:rFonts w:hint="default"/>
                      <w:vertAlign w:val="baseline"/>
                      <w:lang w:val="en-US" w:eastAsia="zh-CN"/>
                    </w:rPr>
                  </w:pPr>
                  <w:r>
                    <w:rPr>
                      <w:rFonts w:hint="eastAsia"/>
                    </w:rPr>
                    <w: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225</w:t>
                  </w:r>
                </w:p>
              </w:tc>
              <w:tc>
                <w:tcPr>
                  <w:tcW w:w="2266" w:type="dxa"/>
                  <w:vAlign w:val="center"/>
                </w:tcPr>
                <w:p>
                  <w:pPr>
                    <w:jc w:val="center"/>
                    <w:rPr>
                      <w:rFonts w:hint="default"/>
                      <w:vertAlign w:val="baseline"/>
                      <w:lang w:val="en-US" w:eastAsia="zh-CN"/>
                    </w:rPr>
                  </w:pPr>
                  <w:r>
                    <w:rPr>
                      <w:rFonts w:hint="eastAsia"/>
                    </w:rPr>
                    <w:t>0.0043</w:t>
                  </w:r>
                </w:p>
              </w:tc>
              <w:tc>
                <w:tcPr>
                  <w:tcW w:w="2266" w:type="dxa"/>
                  <w:vAlign w:val="center"/>
                </w:tcPr>
                <w:p>
                  <w:pPr>
                    <w:jc w:val="center"/>
                    <w:rPr>
                      <w:rFonts w:hint="default"/>
                      <w:vertAlign w:val="baseline"/>
                      <w:lang w:val="en-US" w:eastAsia="zh-CN"/>
                    </w:rPr>
                  </w:pPr>
                  <w:r>
                    <w:rPr>
                      <w:rFonts w:hint="eastAsia"/>
                    </w:rPr>
                    <w:t>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250</w:t>
                  </w:r>
                </w:p>
              </w:tc>
              <w:tc>
                <w:tcPr>
                  <w:tcW w:w="2266" w:type="dxa"/>
                  <w:vAlign w:val="center"/>
                </w:tcPr>
                <w:p>
                  <w:pPr>
                    <w:jc w:val="center"/>
                    <w:rPr>
                      <w:rFonts w:hint="default"/>
                      <w:vertAlign w:val="baseline"/>
                      <w:lang w:val="en-US" w:eastAsia="zh-CN"/>
                    </w:rPr>
                  </w:pPr>
                  <w:r>
                    <w:rPr>
                      <w:rFonts w:hint="eastAsia"/>
                    </w:rPr>
                    <w:t>0.0042</w:t>
                  </w:r>
                </w:p>
              </w:tc>
              <w:tc>
                <w:tcPr>
                  <w:tcW w:w="2266" w:type="dxa"/>
                  <w:vAlign w:val="center"/>
                </w:tcPr>
                <w:p>
                  <w:pPr>
                    <w:jc w:val="center"/>
                    <w:rPr>
                      <w:rFonts w:hint="default"/>
                      <w:vertAlign w:val="baseline"/>
                      <w:lang w:val="en-US" w:eastAsia="zh-CN"/>
                    </w:rPr>
                  </w:pPr>
                  <w:r>
                    <w:rPr>
                      <w:rFonts w:hint="eastAsia"/>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275</w:t>
                  </w:r>
                </w:p>
              </w:tc>
              <w:tc>
                <w:tcPr>
                  <w:tcW w:w="2266" w:type="dxa"/>
                  <w:vAlign w:val="center"/>
                </w:tcPr>
                <w:p>
                  <w:pPr>
                    <w:jc w:val="center"/>
                    <w:rPr>
                      <w:rFonts w:hint="default"/>
                      <w:vertAlign w:val="baseline"/>
                      <w:lang w:val="en-US" w:eastAsia="zh-CN"/>
                    </w:rPr>
                  </w:pPr>
                  <w:r>
                    <w:rPr>
                      <w:rFonts w:hint="eastAsia"/>
                    </w:rPr>
                    <w:t>0.0041</w:t>
                  </w:r>
                </w:p>
              </w:tc>
              <w:tc>
                <w:tcPr>
                  <w:tcW w:w="2266" w:type="dxa"/>
                  <w:vAlign w:val="center"/>
                </w:tcPr>
                <w:p>
                  <w:pPr>
                    <w:jc w:val="center"/>
                    <w:rPr>
                      <w:rFonts w:hint="default"/>
                      <w:vertAlign w:val="baseline"/>
                      <w:lang w:val="en-US" w:eastAsia="zh-CN"/>
                    </w:rPr>
                  </w:pPr>
                  <w:r>
                    <w:rPr>
                      <w:rFonts w:hint="eastAsia"/>
                    </w:rPr>
                    <w:t>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300</w:t>
                  </w:r>
                </w:p>
              </w:tc>
              <w:tc>
                <w:tcPr>
                  <w:tcW w:w="2266" w:type="dxa"/>
                  <w:vAlign w:val="center"/>
                </w:tcPr>
                <w:p>
                  <w:pPr>
                    <w:jc w:val="center"/>
                    <w:rPr>
                      <w:rFonts w:hint="default"/>
                      <w:vertAlign w:val="baseline"/>
                      <w:lang w:val="en-US" w:eastAsia="zh-CN"/>
                    </w:rPr>
                  </w:pPr>
                  <w:r>
                    <w:rPr>
                      <w:rFonts w:hint="eastAsia"/>
                    </w:rPr>
                    <w:t>0.0040</w:t>
                  </w:r>
                </w:p>
              </w:tc>
              <w:tc>
                <w:tcPr>
                  <w:tcW w:w="2266" w:type="dxa"/>
                  <w:vAlign w:val="center"/>
                </w:tcPr>
                <w:p>
                  <w:pPr>
                    <w:jc w:val="center"/>
                    <w:rPr>
                      <w:rFonts w:hint="default"/>
                      <w:vertAlign w:val="baseline"/>
                      <w:lang w:val="en-US" w:eastAsia="zh-CN"/>
                    </w:rPr>
                  </w:pPr>
                  <w:r>
                    <w:rPr>
                      <w:rFonts w:hint="eastAsia"/>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325</w:t>
                  </w:r>
                </w:p>
              </w:tc>
              <w:tc>
                <w:tcPr>
                  <w:tcW w:w="2266" w:type="dxa"/>
                  <w:vAlign w:val="center"/>
                </w:tcPr>
                <w:p>
                  <w:pPr>
                    <w:jc w:val="center"/>
                    <w:rPr>
                      <w:rFonts w:hint="default"/>
                      <w:vertAlign w:val="baseline"/>
                      <w:lang w:val="en-US" w:eastAsia="zh-CN"/>
                    </w:rPr>
                  </w:pPr>
                  <w:r>
                    <w:rPr>
                      <w:rFonts w:hint="eastAsia"/>
                    </w:rPr>
                    <w:t>0.0039</w:t>
                  </w:r>
                </w:p>
              </w:tc>
              <w:tc>
                <w:tcPr>
                  <w:tcW w:w="2266" w:type="dxa"/>
                  <w:vAlign w:val="center"/>
                </w:tcPr>
                <w:p>
                  <w:pPr>
                    <w:jc w:val="center"/>
                    <w:rPr>
                      <w:rFonts w:hint="default"/>
                      <w:vertAlign w:val="baseline"/>
                      <w:lang w:val="en-US" w:eastAsia="zh-CN"/>
                    </w:rPr>
                  </w:pPr>
                  <w:r>
                    <w:rPr>
                      <w:rFonts w:hint="eastAsia"/>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350</w:t>
                  </w:r>
                </w:p>
              </w:tc>
              <w:tc>
                <w:tcPr>
                  <w:tcW w:w="2266" w:type="dxa"/>
                  <w:vAlign w:val="center"/>
                </w:tcPr>
                <w:p>
                  <w:pPr>
                    <w:jc w:val="center"/>
                    <w:rPr>
                      <w:rFonts w:hint="default"/>
                      <w:vertAlign w:val="baseline"/>
                      <w:lang w:val="en-US" w:eastAsia="zh-CN"/>
                    </w:rPr>
                  </w:pPr>
                  <w:r>
                    <w:rPr>
                      <w:rFonts w:hint="eastAsia"/>
                    </w:rPr>
                    <w:t>0.0038</w:t>
                  </w:r>
                </w:p>
              </w:tc>
              <w:tc>
                <w:tcPr>
                  <w:tcW w:w="2266" w:type="dxa"/>
                  <w:vAlign w:val="center"/>
                </w:tcPr>
                <w:p>
                  <w:pPr>
                    <w:jc w:val="center"/>
                    <w:rPr>
                      <w:rFonts w:hint="default"/>
                      <w:vertAlign w:val="baseline"/>
                      <w:lang w:val="en-US" w:eastAsia="zh-CN"/>
                    </w:rPr>
                  </w:pPr>
                  <w:r>
                    <w:rPr>
                      <w:rFonts w:hint="eastAsia"/>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375</w:t>
                  </w:r>
                </w:p>
              </w:tc>
              <w:tc>
                <w:tcPr>
                  <w:tcW w:w="2266" w:type="dxa"/>
                  <w:vAlign w:val="center"/>
                </w:tcPr>
                <w:p>
                  <w:pPr>
                    <w:jc w:val="center"/>
                    <w:rPr>
                      <w:rFonts w:hint="default"/>
                      <w:vertAlign w:val="baseline"/>
                      <w:lang w:val="en-US" w:eastAsia="zh-CN"/>
                    </w:rPr>
                  </w:pPr>
                  <w:r>
                    <w:rPr>
                      <w:rFonts w:hint="eastAsia"/>
                    </w:rPr>
                    <w:t>0.0037</w:t>
                  </w:r>
                </w:p>
              </w:tc>
              <w:tc>
                <w:tcPr>
                  <w:tcW w:w="2266" w:type="dxa"/>
                  <w:vAlign w:val="center"/>
                </w:tcPr>
                <w:p>
                  <w:pPr>
                    <w:jc w:val="center"/>
                    <w:rPr>
                      <w:rFonts w:hint="default"/>
                      <w:vertAlign w:val="baseline"/>
                      <w:lang w:val="en-US" w:eastAsia="zh-CN"/>
                    </w:rPr>
                  </w:pPr>
                  <w:r>
                    <w:rPr>
                      <w:rFonts w:hint="eastAsia"/>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400</w:t>
                  </w:r>
                </w:p>
              </w:tc>
              <w:tc>
                <w:tcPr>
                  <w:tcW w:w="2266" w:type="dxa"/>
                  <w:vAlign w:val="center"/>
                </w:tcPr>
                <w:p>
                  <w:pPr>
                    <w:jc w:val="center"/>
                    <w:rPr>
                      <w:rFonts w:hint="default"/>
                      <w:vertAlign w:val="baseline"/>
                      <w:lang w:val="en-US" w:eastAsia="zh-CN"/>
                    </w:rPr>
                  </w:pPr>
                  <w:r>
                    <w:rPr>
                      <w:rFonts w:hint="eastAsia"/>
                    </w:rPr>
                    <w:t>0.0036</w:t>
                  </w:r>
                </w:p>
              </w:tc>
              <w:tc>
                <w:tcPr>
                  <w:tcW w:w="2266" w:type="dxa"/>
                  <w:vAlign w:val="center"/>
                </w:tcPr>
                <w:p>
                  <w:pPr>
                    <w:jc w:val="center"/>
                    <w:rPr>
                      <w:rFonts w:hint="default"/>
                      <w:vertAlign w:val="baseline"/>
                      <w:lang w:val="en-US" w:eastAsia="zh-CN"/>
                    </w:rPr>
                  </w:pPr>
                  <w:r>
                    <w:rPr>
                      <w:rFonts w:hint="eastAsia"/>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425</w:t>
                  </w:r>
                </w:p>
              </w:tc>
              <w:tc>
                <w:tcPr>
                  <w:tcW w:w="2266" w:type="dxa"/>
                  <w:vAlign w:val="center"/>
                </w:tcPr>
                <w:p>
                  <w:pPr>
                    <w:jc w:val="center"/>
                    <w:rPr>
                      <w:rFonts w:hint="default"/>
                      <w:vertAlign w:val="baseline"/>
                      <w:lang w:val="en-US" w:eastAsia="zh-CN"/>
                    </w:rPr>
                  </w:pPr>
                  <w:r>
                    <w:rPr>
                      <w:rFonts w:hint="eastAsia"/>
                    </w:rPr>
                    <w:t>0.0035</w:t>
                  </w:r>
                </w:p>
              </w:tc>
              <w:tc>
                <w:tcPr>
                  <w:tcW w:w="2266" w:type="dxa"/>
                  <w:vAlign w:val="center"/>
                </w:tcPr>
                <w:p>
                  <w:pPr>
                    <w:jc w:val="center"/>
                    <w:rPr>
                      <w:rFonts w:hint="default"/>
                      <w:vertAlign w:val="baseline"/>
                      <w:lang w:val="en-US" w:eastAsia="zh-CN"/>
                    </w:rPr>
                  </w:pPr>
                  <w:r>
                    <w:rPr>
                      <w:rFonts w:hint="eastAsia"/>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450</w:t>
                  </w:r>
                </w:p>
              </w:tc>
              <w:tc>
                <w:tcPr>
                  <w:tcW w:w="2266" w:type="dxa"/>
                  <w:vAlign w:val="center"/>
                </w:tcPr>
                <w:p>
                  <w:pPr>
                    <w:jc w:val="center"/>
                    <w:rPr>
                      <w:rFonts w:hint="default"/>
                      <w:vertAlign w:val="baseline"/>
                      <w:lang w:val="en-US" w:eastAsia="zh-CN"/>
                    </w:rPr>
                  </w:pPr>
                  <w:r>
                    <w:rPr>
                      <w:rFonts w:hint="eastAsia"/>
                    </w:rPr>
                    <w:t>0.0034</w:t>
                  </w:r>
                </w:p>
              </w:tc>
              <w:tc>
                <w:tcPr>
                  <w:tcW w:w="2266" w:type="dxa"/>
                  <w:vAlign w:val="center"/>
                </w:tcPr>
                <w:p>
                  <w:pPr>
                    <w:jc w:val="center"/>
                    <w:rPr>
                      <w:rFonts w:hint="default"/>
                      <w:vertAlign w:val="baseline"/>
                      <w:lang w:val="en-US" w:eastAsia="zh-CN"/>
                    </w:rPr>
                  </w:pPr>
                  <w:r>
                    <w:rPr>
                      <w:rFonts w:hint="eastAsia"/>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475</w:t>
                  </w:r>
                </w:p>
              </w:tc>
              <w:tc>
                <w:tcPr>
                  <w:tcW w:w="2266" w:type="dxa"/>
                  <w:vAlign w:val="center"/>
                </w:tcPr>
                <w:p>
                  <w:pPr>
                    <w:jc w:val="center"/>
                    <w:rPr>
                      <w:rFonts w:hint="default"/>
                      <w:vertAlign w:val="baseline"/>
                      <w:lang w:val="en-US" w:eastAsia="zh-CN"/>
                    </w:rPr>
                  </w:pPr>
                  <w:r>
                    <w:rPr>
                      <w:rFonts w:hint="eastAsia"/>
                    </w:rPr>
                    <w:t>0.0034</w:t>
                  </w:r>
                </w:p>
              </w:tc>
              <w:tc>
                <w:tcPr>
                  <w:tcW w:w="2266" w:type="dxa"/>
                  <w:vAlign w:val="center"/>
                </w:tcPr>
                <w:p>
                  <w:pPr>
                    <w:jc w:val="center"/>
                    <w:rPr>
                      <w:rFonts w:hint="default"/>
                      <w:vertAlign w:val="baseline"/>
                      <w:lang w:val="en-US" w:eastAsia="zh-CN"/>
                    </w:rPr>
                  </w:pPr>
                  <w:r>
                    <w:rPr>
                      <w:rFonts w:hint="eastAsia"/>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500</w:t>
                  </w:r>
                </w:p>
              </w:tc>
              <w:tc>
                <w:tcPr>
                  <w:tcW w:w="2266" w:type="dxa"/>
                  <w:vAlign w:val="center"/>
                </w:tcPr>
                <w:p>
                  <w:pPr>
                    <w:jc w:val="center"/>
                    <w:rPr>
                      <w:rFonts w:hint="default"/>
                      <w:vertAlign w:val="baseline"/>
                      <w:lang w:val="en-US" w:eastAsia="zh-CN"/>
                    </w:rPr>
                  </w:pPr>
                  <w:r>
                    <w:rPr>
                      <w:rFonts w:hint="eastAsia"/>
                    </w:rPr>
                    <w:t>0.0033</w:t>
                  </w:r>
                </w:p>
              </w:tc>
              <w:tc>
                <w:tcPr>
                  <w:tcW w:w="2266" w:type="dxa"/>
                  <w:vAlign w:val="center"/>
                </w:tcPr>
                <w:p>
                  <w:pPr>
                    <w:jc w:val="center"/>
                    <w:rPr>
                      <w:rFonts w:hint="default"/>
                      <w:vertAlign w:val="baseline"/>
                      <w:lang w:val="en-US" w:eastAsia="zh-CN"/>
                    </w:rPr>
                  </w:pPr>
                  <w:r>
                    <w:rPr>
                      <w:rFonts w:hint="eastAsia"/>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525</w:t>
                  </w:r>
                </w:p>
              </w:tc>
              <w:tc>
                <w:tcPr>
                  <w:tcW w:w="2266" w:type="dxa"/>
                  <w:vAlign w:val="center"/>
                </w:tcPr>
                <w:p>
                  <w:pPr>
                    <w:jc w:val="center"/>
                    <w:rPr>
                      <w:rFonts w:hint="default"/>
                      <w:vertAlign w:val="baseline"/>
                      <w:lang w:val="en-US" w:eastAsia="zh-CN"/>
                    </w:rPr>
                  </w:pPr>
                  <w:r>
                    <w:rPr>
                      <w:rFonts w:hint="eastAsia"/>
                    </w:rPr>
                    <w:t>0.0032</w:t>
                  </w:r>
                </w:p>
              </w:tc>
              <w:tc>
                <w:tcPr>
                  <w:tcW w:w="2266" w:type="dxa"/>
                  <w:vAlign w:val="center"/>
                </w:tcPr>
                <w:p>
                  <w:pPr>
                    <w:jc w:val="center"/>
                    <w:rPr>
                      <w:rFonts w:hint="default"/>
                      <w:vertAlign w:val="baseline"/>
                      <w:lang w:val="en-US" w:eastAsia="zh-CN"/>
                    </w:rPr>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550</w:t>
                  </w:r>
                </w:p>
              </w:tc>
              <w:tc>
                <w:tcPr>
                  <w:tcW w:w="2266" w:type="dxa"/>
                  <w:vAlign w:val="center"/>
                </w:tcPr>
                <w:p>
                  <w:pPr>
                    <w:jc w:val="center"/>
                    <w:rPr>
                      <w:rFonts w:hint="default"/>
                      <w:vertAlign w:val="baseline"/>
                      <w:lang w:val="en-US" w:eastAsia="zh-CN"/>
                    </w:rPr>
                  </w:pPr>
                  <w:r>
                    <w:rPr>
                      <w:rFonts w:hint="eastAsia"/>
                    </w:rPr>
                    <w:t>0.0032</w:t>
                  </w:r>
                </w:p>
              </w:tc>
              <w:tc>
                <w:tcPr>
                  <w:tcW w:w="2266" w:type="dxa"/>
                  <w:vAlign w:val="center"/>
                </w:tcPr>
                <w:p>
                  <w:pPr>
                    <w:jc w:val="center"/>
                    <w:rPr>
                      <w:rFonts w:hint="default"/>
                      <w:vertAlign w:val="baseline"/>
                      <w:lang w:val="en-US" w:eastAsia="zh-CN"/>
                    </w:rPr>
                  </w:pPr>
                  <w:r>
                    <w:rPr>
                      <w:rFonts w:hint="eastAsi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575</w:t>
                  </w:r>
                </w:p>
              </w:tc>
              <w:tc>
                <w:tcPr>
                  <w:tcW w:w="2266" w:type="dxa"/>
                  <w:vAlign w:val="center"/>
                </w:tcPr>
                <w:p>
                  <w:pPr>
                    <w:jc w:val="center"/>
                    <w:rPr>
                      <w:rFonts w:hint="default"/>
                      <w:vertAlign w:val="baseline"/>
                      <w:lang w:val="en-US" w:eastAsia="zh-CN"/>
                    </w:rPr>
                  </w:pPr>
                  <w:r>
                    <w:rPr>
                      <w:rFonts w:hint="eastAsia"/>
                    </w:rPr>
                    <w:t>0.0031</w:t>
                  </w:r>
                </w:p>
              </w:tc>
              <w:tc>
                <w:tcPr>
                  <w:tcW w:w="2266" w:type="dxa"/>
                  <w:vAlign w:val="center"/>
                </w:tcPr>
                <w:p>
                  <w:pPr>
                    <w:jc w:val="center"/>
                    <w:rPr>
                      <w:rFonts w:hint="default"/>
                      <w:vertAlign w:val="baseline"/>
                      <w:lang w:val="en-US" w:eastAsia="zh-CN"/>
                    </w:rPr>
                  </w:pPr>
                  <w:r>
                    <w:rPr>
                      <w:rFonts w:hint="eastAsia"/>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600</w:t>
                  </w:r>
                </w:p>
              </w:tc>
              <w:tc>
                <w:tcPr>
                  <w:tcW w:w="2266" w:type="dxa"/>
                  <w:vAlign w:val="center"/>
                </w:tcPr>
                <w:p>
                  <w:pPr>
                    <w:jc w:val="center"/>
                    <w:rPr>
                      <w:rFonts w:hint="default"/>
                      <w:vertAlign w:val="baseline"/>
                      <w:lang w:val="en-US" w:eastAsia="zh-CN"/>
                    </w:rPr>
                  </w:pPr>
                  <w:r>
                    <w:rPr>
                      <w:rFonts w:hint="eastAsia"/>
                    </w:rPr>
                    <w:t>0.0031</w:t>
                  </w:r>
                </w:p>
              </w:tc>
              <w:tc>
                <w:tcPr>
                  <w:tcW w:w="2266" w:type="dxa"/>
                  <w:vAlign w:val="center"/>
                </w:tcPr>
                <w:p>
                  <w:pPr>
                    <w:jc w:val="center"/>
                    <w:rPr>
                      <w:rFonts w:hint="default"/>
                      <w:vertAlign w:val="baseline"/>
                      <w:lang w:val="en-US" w:eastAsia="zh-CN"/>
                    </w:rPr>
                  </w:pPr>
                  <w:r>
                    <w:rPr>
                      <w:rFonts w:hint="eastAsia"/>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625</w:t>
                  </w:r>
                </w:p>
              </w:tc>
              <w:tc>
                <w:tcPr>
                  <w:tcW w:w="2266" w:type="dxa"/>
                  <w:vAlign w:val="center"/>
                </w:tcPr>
                <w:p>
                  <w:pPr>
                    <w:jc w:val="center"/>
                    <w:rPr>
                      <w:rFonts w:hint="default"/>
                      <w:vertAlign w:val="baseline"/>
                      <w:lang w:val="en-US" w:eastAsia="zh-CN"/>
                    </w:rPr>
                  </w:pPr>
                  <w:r>
                    <w:rPr>
                      <w:rFonts w:hint="eastAsia"/>
                    </w:rPr>
                    <w:t>0.0030</w:t>
                  </w:r>
                </w:p>
              </w:tc>
              <w:tc>
                <w:tcPr>
                  <w:tcW w:w="2266" w:type="dxa"/>
                  <w:vAlign w:val="center"/>
                </w:tcPr>
                <w:p>
                  <w:pPr>
                    <w:jc w:val="center"/>
                    <w:rPr>
                      <w:rFonts w:hint="default"/>
                      <w:vertAlign w:val="baseline"/>
                      <w:lang w:val="en-US" w:eastAsia="zh-CN"/>
                    </w:rPr>
                  </w:pPr>
                  <w:r>
                    <w:rPr>
                      <w:rFonts w:hint="eastAsia"/>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650</w:t>
                  </w:r>
                </w:p>
              </w:tc>
              <w:tc>
                <w:tcPr>
                  <w:tcW w:w="2266" w:type="dxa"/>
                  <w:vAlign w:val="center"/>
                </w:tcPr>
                <w:p>
                  <w:pPr>
                    <w:jc w:val="center"/>
                    <w:rPr>
                      <w:rFonts w:hint="default"/>
                      <w:vertAlign w:val="baseline"/>
                      <w:lang w:val="en-US" w:eastAsia="zh-CN"/>
                    </w:rPr>
                  </w:pPr>
                  <w:r>
                    <w:rPr>
                      <w:rFonts w:hint="eastAsia"/>
                    </w:rPr>
                    <w:t>0.0030</w:t>
                  </w:r>
                </w:p>
              </w:tc>
              <w:tc>
                <w:tcPr>
                  <w:tcW w:w="2266" w:type="dxa"/>
                  <w:vAlign w:val="center"/>
                </w:tcPr>
                <w:p>
                  <w:pPr>
                    <w:jc w:val="center"/>
                    <w:rPr>
                      <w:rFonts w:hint="default"/>
                      <w:vertAlign w:val="baseline"/>
                      <w:lang w:val="en-US" w:eastAsia="zh-CN"/>
                    </w:rPr>
                  </w:pPr>
                  <w:r>
                    <w:rPr>
                      <w:rFonts w:hint="eastAsia"/>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675</w:t>
                  </w:r>
                </w:p>
              </w:tc>
              <w:tc>
                <w:tcPr>
                  <w:tcW w:w="2266" w:type="dxa"/>
                  <w:vAlign w:val="center"/>
                </w:tcPr>
                <w:p>
                  <w:pPr>
                    <w:jc w:val="center"/>
                    <w:rPr>
                      <w:rFonts w:hint="default"/>
                      <w:vertAlign w:val="baseline"/>
                      <w:lang w:val="en-US" w:eastAsia="zh-CN"/>
                    </w:rPr>
                  </w:pPr>
                  <w:r>
                    <w:rPr>
                      <w:rFonts w:hint="eastAsia"/>
                    </w:rPr>
                    <w:t>0.0029</w:t>
                  </w:r>
                </w:p>
              </w:tc>
              <w:tc>
                <w:tcPr>
                  <w:tcW w:w="2266" w:type="dxa"/>
                  <w:vAlign w:val="center"/>
                </w:tcPr>
                <w:p>
                  <w:pPr>
                    <w:jc w:val="center"/>
                    <w:rPr>
                      <w:rFonts w:hint="default"/>
                      <w:vertAlign w:val="baseline"/>
                      <w:lang w:val="en-US" w:eastAsia="zh-CN"/>
                    </w:rPr>
                  </w:pPr>
                  <w:r>
                    <w:rPr>
                      <w:rFonts w:hint="eastAsia"/>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700</w:t>
                  </w:r>
                </w:p>
              </w:tc>
              <w:tc>
                <w:tcPr>
                  <w:tcW w:w="2266" w:type="dxa"/>
                  <w:vAlign w:val="center"/>
                </w:tcPr>
                <w:p>
                  <w:pPr>
                    <w:jc w:val="center"/>
                    <w:rPr>
                      <w:rFonts w:hint="default"/>
                      <w:vertAlign w:val="baseline"/>
                      <w:lang w:val="en-US" w:eastAsia="zh-CN"/>
                    </w:rPr>
                  </w:pPr>
                  <w:r>
                    <w:rPr>
                      <w:rFonts w:hint="eastAsia"/>
                    </w:rPr>
                    <w:t>0.0029</w:t>
                  </w:r>
                </w:p>
              </w:tc>
              <w:tc>
                <w:tcPr>
                  <w:tcW w:w="2266" w:type="dxa"/>
                  <w:vAlign w:val="center"/>
                </w:tcPr>
                <w:p>
                  <w:pPr>
                    <w:jc w:val="center"/>
                    <w:rPr>
                      <w:rFonts w:hint="default"/>
                      <w:vertAlign w:val="baseline"/>
                      <w:lang w:val="en-US" w:eastAsia="zh-CN"/>
                    </w:rPr>
                  </w:pPr>
                  <w:r>
                    <w:rPr>
                      <w:rFonts w:hint="eastAsia"/>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725</w:t>
                  </w:r>
                </w:p>
              </w:tc>
              <w:tc>
                <w:tcPr>
                  <w:tcW w:w="2266" w:type="dxa"/>
                  <w:vAlign w:val="center"/>
                </w:tcPr>
                <w:p>
                  <w:pPr>
                    <w:jc w:val="center"/>
                    <w:rPr>
                      <w:rFonts w:hint="default"/>
                      <w:vertAlign w:val="baseline"/>
                      <w:lang w:val="en-US" w:eastAsia="zh-CN"/>
                    </w:rPr>
                  </w:pPr>
                  <w:r>
                    <w:rPr>
                      <w:rFonts w:hint="eastAsia"/>
                    </w:rPr>
                    <w:t>0.0028</w:t>
                  </w:r>
                </w:p>
              </w:tc>
              <w:tc>
                <w:tcPr>
                  <w:tcW w:w="2266" w:type="dxa"/>
                  <w:vAlign w:val="center"/>
                </w:tcPr>
                <w:p>
                  <w:pPr>
                    <w:jc w:val="center"/>
                    <w:rPr>
                      <w:rFonts w:hint="default"/>
                      <w:vertAlign w:val="baseline"/>
                      <w:lang w:val="en-US" w:eastAsia="zh-CN"/>
                    </w:rPr>
                  </w:pPr>
                  <w:r>
                    <w:rPr>
                      <w:rFonts w:hint="eastAsia"/>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750</w:t>
                  </w:r>
                </w:p>
              </w:tc>
              <w:tc>
                <w:tcPr>
                  <w:tcW w:w="2266" w:type="dxa"/>
                  <w:vAlign w:val="center"/>
                </w:tcPr>
                <w:p>
                  <w:pPr>
                    <w:jc w:val="center"/>
                    <w:rPr>
                      <w:rFonts w:hint="default"/>
                      <w:vertAlign w:val="baseline"/>
                      <w:lang w:val="en-US" w:eastAsia="zh-CN"/>
                    </w:rPr>
                  </w:pPr>
                  <w:r>
                    <w:rPr>
                      <w:rFonts w:hint="eastAsia"/>
                    </w:rPr>
                    <w:t>0.0028</w:t>
                  </w:r>
                </w:p>
              </w:tc>
              <w:tc>
                <w:tcPr>
                  <w:tcW w:w="2266" w:type="dxa"/>
                  <w:vAlign w:val="center"/>
                </w:tcPr>
                <w:p>
                  <w:pPr>
                    <w:jc w:val="center"/>
                    <w:rPr>
                      <w:rFonts w:hint="default"/>
                      <w:vertAlign w:val="baseline"/>
                      <w:lang w:val="en-US" w:eastAsia="zh-CN"/>
                    </w:rPr>
                  </w:pPr>
                  <w:r>
                    <w:rPr>
                      <w:rFonts w:hint="eastAsia"/>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775</w:t>
                  </w:r>
                </w:p>
              </w:tc>
              <w:tc>
                <w:tcPr>
                  <w:tcW w:w="2266" w:type="dxa"/>
                  <w:vAlign w:val="center"/>
                </w:tcPr>
                <w:p>
                  <w:pPr>
                    <w:jc w:val="center"/>
                    <w:rPr>
                      <w:rFonts w:hint="default"/>
                      <w:vertAlign w:val="baseline"/>
                      <w:lang w:val="en-US" w:eastAsia="zh-CN"/>
                    </w:rPr>
                  </w:pPr>
                  <w:r>
                    <w:rPr>
                      <w:rFonts w:hint="eastAsia"/>
                    </w:rPr>
                    <w:t>0.0027</w:t>
                  </w:r>
                </w:p>
              </w:tc>
              <w:tc>
                <w:tcPr>
                  <w:tcW w:w="2266" w:type="dxa"/>
                  <w:vAlign w:val="center"/>
                </w:tcPr>
                <w:p>
                  <w:pPr>
                    <w:jc w:val="center"/>
                    <w:rPr>
                      <w:rFonts w:hint="default"/>
                      <w:vertAlign w:val="baseline"/>
                      <w:lang w:val="en-US" w:eastAsia="zh-CN"/>
                    </w:rPr>
                  </w:pPr>
                  <w:r>
                    <w:rPr>
                      <w:rFonts w:hint="eastAsia"/>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800</w:t>
                  </w:r>
                </w:p>
              </w:tc>
              <w:tc>
                <w:tcPr>
                  <w:tcW w:w="2266" w:type="dxa"/>
                  <w:vAlign w:val="center"/>
                </w:tcPr>
                <w:p>
                  <w:pPr>
                    <w:jc w:val="center"/>
                    <w:rPr>
                      <w:rFonts w:hint="default"/>
                      <w:vertAlign w:val="baseline"/>
                      <w:lang w:val="en-US" w:eastAsia="zh-CN"/>
                    </w:rPr>
                  </w:pPr>
                  <w:r>
                    <w:rPr>
                      <w:rFonts w:hint="eastAsia"/>
                    </w:rPr>
                    <w:t>0.0027</w:t>
                  </w:r>
                </w:p>
              </w:tc>
              <w:tc>
                <w:tcPr>
                  <w:tcW w:w="2266" w:type="dxa"/>
                  <w:vAlign w:val="center"/>
                </w:tcPr>
                <w:p>
                  <w:pPr>
                    <w:jc w:val="center"/>
                    <w:rPr>
                      <w:rFonts w:hint="default"/>
                      <w:vertAlign w:val="baseline"/>
                      <w:lang w:val="en-US" w:eastAsia="zh-CN"/>
                    </w:rPr>
                  </w:pPr>
                  <w:r>
                    <w:rPr>
                      <w:rFonts w:hint="eastAsia"/>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825</w:t>
                  </w:r>
                </w:p>
              </w:tc>
              <w:tc>
                <w:tcPr>
                  <w:tcW w:w="2266" w:type="dxa"/>
                  <w:vAlign w:val="center"/>
                </w:tcPr>
                <w:p>
                  <w:pPr>
                    <w:jc w:val="center"/>
                    <w:rPr>
                      <w:rFonts w:hint="default"/>
                      <w:vertAlign w:val="baseline"/>
                      <w:lang w:val="en-US" w:eastAsia="zh-CN"/>
                    </w:rPr>
                  </w:pPr>
                  <w:r>
                    <w:rPr>
                      <w:rFonts w:hint="eastAsia"/>
                    </w:rPr>
                    <w:t>0.0026</w:t>
                  </w:r>
                </w:p>
              </w:tc>
              <w:tc>
                <w:tcPr>
                  <w:tcW w:w="2266" w:type="dxa"/>
                  <w:vAlign w:val="center"/>
                </w:tcPr>
                <w:p>
                  <w:pPr>
                    <w:jc w:val="center"/>
                    <w:rPr>
                      <w:rFonts w:hint="default"/>
                      <w:vertAlign w:val="baseline"/>
                      <w:lang w:val="en-US" w:eastAsia="zh-CN"/>
                    </w:rPr>
                  </w:pPr>
                  <w:r>
                    <w:rPr>
                      <w:rFonts w:hint="eastAsia"/>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850</w:t>
                  </w:r>
                </w:p>
              </w:tc>
              <w:tc>
                <w:tcPr>
                  <w:tcW w:w="2266" w:type="dxa"/>
                  <w:vAlign w:val="center"/>
                </w:tcPr>
                <w:p>
                  <w:pPr>
                    <w:jc w:val="center"/>
                    <w:rPr>
                      <w:rFonts w:hint="default"/>
                      <w:vertAlign w:val="baseline"/>
                      <w:lang w:val="en-US" w:eastAsia="zh-CN"/>
                    </w:rPr>
                  </w:pPr>
                  <w:r>
                    <w:rPr>
                      <w:rFonts w:hint="eastAsia"/>
                    </w:rPr>
                    <w:t>0.0026</w:t>
                  </w:r>
                </w:p>
              </w:tc>
              <w:tc>
                <w:tcPr>
                  <w:tcW w:w="2266" w:type="dxa"/>
                  <w:vAlign w:val="center"/>
                </w:tcPr>
                <w:p>
                  <w:pPr>
                    <w:jc w:val="center"/>
                    <w:rPr>
                      <w:rFonts w:hint="default"/>
                      <w:vertAlign w:val="baseline"/>
                      <w:lang w:val="en-US" w:eastAsia="zh-CN"/>
                    </w:rPr>
                  </w:pPr>
                  <w:r>
                    <w:rPr>
                      <w:rFonts w:hint="eastAsia"/>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875</w:t>
                  </w:r>
                </w:p>
              </w:tc>
              <w:tc>
                <w:tcPr>
                  <w:tcW w:w="2266" w:type="dxa"/>
                  <w:vAlign w:val="center"/>
                </w:tcPr>
                <w:p>
                  <w:pPr>
                    <w:jc w:val="center"/>
                    <w:rPr>
                      <w:rFonts w:hint="default"/>
                      <w:vertAlign w:val="baseline"/>
                      <w:lang w:val="en-US" w:eastAsia="zh-CN"/>
                    </w:rPr>
                  </w:pPr>
                  <w:r>
                    <w:rPr>
                      <w:rFonts w:hint="eastAsia"/>
                    </w:rPr>
                    <w:t>0.0026</w:t>
                  </w:r>
                </w:p>
              </w:tc>
              <w:tc>
                <w:tcPr>
                  <w:tcW w:w="2266" w:type="dxa"/>
                  <w:vAlign w:val="center"/>
                </w:tcPr>
                <w:p>
                  <w:pPr>
                    <w:jc w:val="center"/>
                    <w:rPr>
                      <w:rFonts w:hint="default"/>
                      <w:vertAlign w:val="baseline"/>
                      <w:lang w:val="en-US" w:eastAsia="zh-CN"/>
                    </w:rPr>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900</w:t>
                  </w:r>
                </w:p>
              </w:tc>
              <w:tc>
                <w:tcPr>
                  <w:tcW w:w="2266" w:type="dxa"/>
                  <w:vAlign w:val="center"/>
                </w:tcPr>
                <w:p>
                  <w:pPr>
                    <w:jc w:val="center"/>
                    <w:rPr>
                      <w:rFonts w:hint="default"/>
                      <w:vertAlign w:val="baseline"/>
                      <w:lang w:val="en-US" w:eastAsia="zh-CN"/>
                    </w:rPr>
                  </w:pPr>
                  <w:r>
                    <w:rPr>
                      <w:rFonts w:hint="eastAsia"/>
                    </w:rPr>
                    <w:t>0.0025</w:t>
                  </w:r>
                </w:p>
              </w:tc>
              <w:tc>
                <w:tcPr>
                  <w:tcW w:w="2266" w:type="dxa"/>
                  <w:vAlign w:val="center"/>
                </w:tcPr>
                <w:p>
                  <w:pPr>
                    <w:jc w:val="center"/>
                    <w:rPr>
                      <w:rFonts w:hint="default"/>
                      <w:vertAlign w:val="baseline"/>
                      <w:lang w:val="en-US" w:eastAsia="zh-CN"/>
                    </w:rPr>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925</w:t>
                  </w:r>
                </w:p>
              </w:tc>
              <w:tc>
                <w:tcPr>
                  <w:tcW w:w="2266" w:type="dxa"/>
                  <w:vAlign w:val="center"/>
                </w:tcPr>
                <w:p>
                  <w:pPr>
                    <w:jc w:val="center"/>
                    <w:rPr>
                      <w:rFonts w:hint="default"/>
                      <w:vertAlign w:val="baseline"/>
                      <w:lang w:val="en-US" w:eastAsia="zh-CN"/>
                    </w:rPr>
                  </w:pPr>
                  <w:r>
                    <w:rPr>
                      <w:rFonts w:hint="eastAsia"/>
                    </w:rPr>
                    <w:t>0.0025</w:t>
                  </w:r>
                </w:p>
              </w:tc>
              <w:tc>
                <w:tcPr>
                  <w:tcW w:w="2266" w:type="dxa"/>
                  <w:vAlign w:val="center"/>
                </w:tcPr>
                <w:p>
                  <w:pPr>
                    <w:jc w:val="center"/>
                    <w:rPr>
                      <w:rFonts w:hint="default"/>
                      <w:vertAlign w:val="baseline"/>
                      <w:lang w:val="en-US" w:eastAsia="zh-CN"/>
                    </w:rPr>
                  </w:pPr>
                  <w:r>
                    <w:rPr>
                      <w:rFonts w:hint="eastAsia"/>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950</w:t>
                  </w:r>
                </w:p>
              </w:tc>
              <w:tc>
                <w:tcPr>
                  <w:tcW w:w="2266" w:type="dxa"/>
                  <w:vAlign w:val="center"/>
                </w:tcPr>
                <w:p>
                  <w:pPr>
                    <w:jc w:val="center"/>
                    <w:rPr>
                      <w:rFonts w:hint="default"/>
                      <w:vertAlign w:val="baseline"/>
                      <w:lang w:val="en-US" w:eastAsia="zh-CN"/>
                    </w:rPr>
                  </w:pPr>
                  <w:r>
                    <w:rPr>
                      <w:rFonts w:hint="eastAsia"/>
                    </w:rPr>
                    <w:t>0.0025</w:t>
                  </w:r>
                </w:p>
              </w:tc>
              <w:tc>
                <w:tcPr>
                  <w:tcW w:w="2266" w:type="dxa"/>
                  <w:vAlign w:val="center"/>
                </w:tcPr>
                <w:p>
                  <w:pPr>
                    <w:jc w:val="center"/>
                    <w:rPr>
                      <w:rFonts w:hint="default"/>
                      <w:vertAlign w:val="baseline"/>
                      <w:lang w:val="en-US" w:eastAsia="zh-CN"/>
                    </w:rPr>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975</w:t>
                  </w:r>
                </w:p>
              </w:tc>
              <w:tc>
                <w:tcPr>
                  <w:tcW w:w="2266" w:type="dxa"/>
                  <w:vAlign w:val="center"/>
                </w:tcPr>
                <w:p>
                  <w:pPr>
                    <w:jc w:val="center"/>
                    <w:rPr>
                      <w:rFonts w:hint="default"/>
                      <w:vertAlign w:val="baseline"/>
                      <w:lang w:val="en-US" w:eastAsia="zh-CN"/>
                    </w:rPr>
                  </w:pPr>
                  <w:r>
                    <w:rPr>
                      <w:rFonts w:hint="eastAsia"/>
                    </w:rPr>
                    <w:t>0.0024</w:t>
                  </w:r>
                </w:p>
              </w:tc>
              <w:tc>
                <w:tcPr>
                  <w:tcW w:w="2266" w:type="dxa"/>
                  <w:vAlign w:val="center"/>
                </w:tcPr>
                <w:p>
                  <w:pPr>
                    <w:jc w:val="center"/>
                    <w:rPr>
                      <w:rFonts w:hint="default"/>
                      <w:vertAlign w:val="baseline"/>
                      <w:lang w:val="en-US" w:eastAsia="zh-CN"/>
                    </w:rPr>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1000</w:t>
                  </w:r>
                </w:p>
              </w:tc>
              <w:tc>
                <w:tcPr>
                  <w:tcW w:w="2266" w:type="dxa"/>
                  <w:vAlign w:val="center"/>
                </w:tcPr>
                <w:p>
                  <w:pPr>
                    <w:jc w:val="center"/>
                    <w:rPr>
                      <w:rFonts w:hint="default"/>
                      <w:vertAlign w:val="baseline"/>
                      <w:lang w:val="en-US" w:eastAsia="zh-CN"/>
                    </w:rPr>
                  </w:pPr>
                  <w:r>
                    <w:rPr>
                      <w:rFonts w:hint="eastAsia"/>
                    </w:rPr>
                    <w:t>0.0024</w:t>
                  </w:r>
                </w:p>
              </w:tc>
              <w:tc>
                <w:tcPr>
                  <w:tcW w:w="2266" w:type="dxa"/>
                  <w:vAlign w:val="center"/>
                </w:tcPr>
                <w:p>
                  <w:pPr>
                    <w:jc w:val="center"/>
                    <w:rPr>
                      <w:rFonts w:hint="default"/>
                      <w:vertAlign w:val="baseline"/>
                      <w:lang w:val="en-US" w:eastAsia="zh-CN"/>
                    </w:rPr>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1025</w:t>
                  </w:r>
                </w:p>
              </w:tc>
              <w:tc>
                <w:tcPr>
                  <w:tcW w:w="2266" w:type="dxa"/>
                  <w:vAlign w:val="center"/>
                </w:tcPr>
                <w:p>
                  <w:pPr>
                    <w:jc w:val="center"/>
                    <w:rPr>
                      <w:rFonts w:hint="default"/>
                      <w:vertAlign w:val="baseline"/>
                      <w:lang w:val="en-US" w:eastAsia="zh-CN"/>
                    </w:rPr>
                  </w:pPr>
                  <w:r>
                    <w:rPr>
                      <w:rFonts w:hint="eastAsia"/>
                    </w:rPr>
                    <w:t>0.0023</w:t>
                  </w:r>
                </w:p>
              </w:tc>
              <w:tc>
                <w:tcPr>
                  <w:tcW w:w="2266" w:type="dxa"/>
                  <w:vAlign w:val="center"/>
                </w:tcPr>
                <w:p>
                  <w:pPr>
                    <w:jc w:val="center"/>
                    <w:rPr>
                      <w:rFonts w:hint="default"/>
                      <w:vertAlign w:val="baseline"/>
                      <w:lang w:val="en-US" w:eastAsia="zh-CN"/>
                    </w:rPr>
                  </w:pPr>
                  <w:r>
                    <w:rPr>
                      <w:rFonts w:hint="eastAsia"/>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1050</w:t>
                  </w:r>
                </w:p>
              </w:tc>
              <w:tc>
                <w:tcPr>
                  <w:tcW w:w="2266" w:type="dxa"/>
                  <w:vAlign w:val="center"/>
                </w:tcPr>
                <w:p>
                  <w:pPr>
                    <w:jc w:val="center"/>
                    <w:rPr>
                      <w:rFonts w:hint="default"/>
                      <w:vertAlign w:val="baseline"/>
                      <w:lang w:val="en-US" w:eastAsia="zh-CN"/>
                    </w:rPr>
                  </w:pPr>
                  <w:r>
                    <w:rPr>
                      <w:rFonts w:hint="eastAsia"/>
                    </w:rPr>
                    <w:t>0.0023</w:t>
                  </w:r>
                </w:p>
              </w:tc>
              <w:tc>
                <w:tcPr>
                  <w:tcW w:w="2266" w:type="dxa"/>
                  <w:vAlign w:val="center"/>
                </w:tcPr>
                <w:p>
                  <w:pPr>
                    <w:jc w:val="center"/>
                    <w:rPr>
                      <w:rFonts w:hint="default"/>
                      <w:vertAlign w:val="baseline"/>
                      <w:lang w:val="en-US" w:eastAsia="zh-CN"/>
                    </w:rPr>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1075</w:t>
                  </w:r>
                </w:p>
              </w:tc>
              <w:tc>
                <w:tcPr>
                  <w:tcW w:w="2266" w:type="dxa"/>
                  <w:vAlign w:val="center"/>
                </w:tcPr>
                <w:p>
                  <w:pPr>
                    <w:jc w:val="center"/>
                    <w:rPr>
                      <w:rFonts w:hint="default"/>
                      <w:vertAlign w:val="baseline"/>
                      <w:lang w:val="en-US" w:eastAsia="zh-CN"/>
                    </w:rPr>
                  </w:pPr>
                  <w:r>
                    <w:rPr>
                      <w:rFonts w:hint="eastAsia"/>
                    </w:rPr>
                    <w:t>0.0023</w:t>
                  </w:r>
                </w:p>
              </w:tc>
              <w:tc>
                <w:tcPr>
                  <w:tcW w:w="2266" w:type="dxa"/>
                  <w:vAlign w:val="center"/>
                </w:tcPr>
                <w:p>
                  <w:pPr>
                    <w:jc w:val="center"/>
                    <w:rPr>
                      <w:rFonts w:hint="default"/>
                      <w:vertAlign w:val="baseline"/>
                      <w:lang w:val="en-US" w:eastAsia="zh-CN"/>
                    </w:rPr>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1100</w:t>
                  </w:r>
                </w:p>
              </w:tc>
              <w:tc>
                <w:tcPr>
                  <w:tcW w:w="2266" w:type="dxa"/>
                  <w:vAlign w:val="center"/>
                </w:tcPr>
                <w:p>
                  <w:pPr>
                    <w:jc w:val="center"/>
                    <w:rPr>
                      <w:rFonts w:hint="default"/>
                      <w:vertAlign w:val="baseline"/>
                      <w:lang w:val="en-US" w:eastAsia="zh-CN"/>
                    </w:rPr>
                  </w:pPr>
                  <w:r>
                    <w:rPr>
                      <w:rFonts w:hint="eastAsia"/>
                    </w:rPr>
                    <w:t>0.0022</w:t>
                  </w:r>
                </w:p>
              </w:tc>
              <w:tc>
                <w:tcPr>
                  <w:tcW w:w="2266" w:type="dxa"/>
                  <w:vAlign w:val="center"/>
                </w:tcPr>
                <w:p>
                  <w:pPr>
                    <w:jc w:val="center"/>
                    <w:rPr>
                      <w:rFonts w:hint="default"/>
                      <w:vertAlign w:val="baseline"/>
                      <w:lang w:val="en-US" w:eastAsia="zh-CN"/>
                    </w:rPr>
                  </w:pPr>
                  <w:r>
                    <w:rPr>
                      <w:rFonts w:hint="eastAsia"/>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1125</w:t>
                  </w:r>
                </w:p>
              </w:tc>
              <w:tc>
                <w:tcPr>
                  <w:tcW w:w="2266" w:type="dxa"/>
                  <w:vAlign w:val="center"/>
                </w:tcPr>
                <w:p>
                  <w:pPr>
                    <w:jc w:val="center"/>
                    <w:rPr>
                      <w:rFonts w:hint="default"/>
                      <w:vertAlign w:val="baseline"/>
                      <w:lang w:val="en-US" w:eastAsia="zh-CN"/>
                    </w:rPr>
                  </w:pPr>
                  <w:r>
                    <w:rPr>
                      <w:rFonts w:hint="eastAsia"/>
                    </w:rPr>
                    <w:t>0.0022</w:t>
                  </w:r>
                </w:p>
              </w:tc>
              <w:tc>
                <w:tcPr>
                  <w:tcW w:w="2266" w:type="dxa"/>
                  <w:vAlign w:val="center"/>
                </w:tcPr>
                <w:p>
                  <w:pPr>
                    <w:jc w:val="center"/>
                    <w:rPr>
                      <w:rFonts w:hint="default"/>
                      <w:vertAlign w:val="baseline"/>
                      <w:lang w:val="en-US" w:eastAsia="zh-CN"/>
                    </w:rPr>
                  </w:pPr>
                  <w:r>
                    <w:rPr>
                      <w:rFonts w:hint="eastAsi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1150</w:t>
                  </w:r>
                </w:p>
              </w:tc>
              <w:tc>
                <w:tcPr>
                  <w:tcW w:w="2266" w:type="dxa"/>
                  <w:vAlign w:val="center"/>
                </w:tcPr>
                <w:p>
                  <w:pPr>
                    <w:jc w:val="center"/>
                    <w:rPr>
                      <w:rFonts w:hint="default"/>
                      <w:vertAlign w:val="baseline"/>
                      <w:lang w:val="en-US" w:eastAsia="zh-CN"/>
                    </w:rPr>
                  </w:pPr>
                  <w:r>
                    <w:rPr>
                      <w:rFonts w:hint="eastAsia"/>
                    </w:rPr>
                    <w:t>0.0022</w:t>
                  </w:r>
                </w:p>
              </w:tc>
              <w:tc>
                <w:tcPr>
                  <w:tcW w:w="2266" w:type="dxa"/>
                  <w:vAlign w:val="center"/>
                </w:tcPr>
                <w:p>
                  <w:pPr>
                    <w:jc w:val="center"/>
                    <w:rPr>
                      <w:rFonts w:hint="default"/>
                      <w:vertAlign w:val="baseline"/>
                      <w:lang w:val="en-US" w:eastAsia="zh-CN"/>
                    </w:rPr>
                  </w:pPr>
                  <w:r>
                    <w:rPr>
                      <w:rFonts w:hint="eastAsi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1175</w:t>
                  </w:r>
                </w:p>
              </w:tc>
              <w:tc>
                <w:tcPr>
                  <w:tcW w:w="2266" w:type="dxa"/>
                  <w:vAlign w:val="center"/>
                </w:tcPr>
                <w:p>
                  <w:pPr>
                    <w:jc w:val="center"/>
                    <w:rPr>
                      <w:rFonts w:hint="default"/>
                      <w:vertAlign w:val="baseline"/>
                      <w:lang w:val="en-US" w:eastAsia="zh-CN"/>
                    </w:rPr>
                  </w:pPr>
                  <w:r>
                    <w:rPr>
                      <w:rFonts w:hint="eastAsia"/>
                    </w:rPr>
                    <w:t>0.0022</w:t>
                  </w:r>
                </w:p>
              </w:tc>
              <w:tc>
                <w:tcPr>
                  <w:tcW w:w="2266" w:type="dxa"/>
                  <w:vAlign w:val="center"/>
                </w:tcPr>
                <w:p>
                  <w:pPr>
                    <w:jc w:val="center"/>
                    <w:rPr>
                      <w:rFonts w:hint="default"/>
                      <w:vertAlign w:val="baseline"/>
                      <w:lang w:val="en-US" w:eastAsia="zh-CN"/>
                    </w:rPr>
                  </w:pPr>
                  <w:r>
                    <w:rPr>
                      <w:rFonts w:hint="eastAsi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1200</w:t>
                  </w:r>
                </w:p>
              </w:tc>
              <w:tc>
                <w:tcPr>
                  <w:tcW w:w="2266" w:type="dxa"/>
                  <w:vAlign w:val="center"/>
                </w:tcPr>
                <w:p>
                  <w:pPr>
                    <w:jc w:val="center"/>
                    <w:rPr>
                      <w:rFonts w:hint="default"/>
                      <w:vertAlign w:val="baseline"/>
                      <w:lang w:val="en-US" w:eastAsia="zh-CN"/>
                    </w:rPr>
                  </w:pPr>
                  <w:r>
                    <w:rPr>
                      <w:rFonts w:hint="eastAsia"/>
                    </w:rPr>
                    <w:t>0.0021</w:t>
                  </w:r>
                </w:p>
              </w:tc>
              <w:tc>
                <w:tcPr>
                  <w:tcW w:w="2266" w:type="dxa"/>
                  <w:vAlign w:val="center"/>
                </w:tcPr>
                <w:p>
                  <w:pPr>
                    <w:jc w:val="center"/>
                    <w:rPr>
                      <w:rFonts w:hint="default"/>
                      <w:vertAlign w:val="baseline"/>
                      <w:lang w:val="en-US" w:eastAsia="zh-CN"/>
                    </w:rPr>
                  </w:pPr>
                  <w:r>
                    <w:rPr>
                      <w:rFonts w:hint="eastAsi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1225</w:t>
                  </w:r>
                </w:p>
              </w:tc>
              <w:tc>
                <w:tcPr>
                  <w:tcW w:w="2266" w:type="dxa"/>
                  <w:vAlign w:val="center"/>
                </w:tcPr>
                <w:p>
                  <w:pPr>
                    <w:jc w:val="center"/>
                    <w:rPr>
                      <w:rFonts w:hint="default"/>
                      <w:vertAlign w:val="baseline"/>
                      <w:lang w:val="en-US" w:eastAsia="zh-CN"/>
                    </w:rPr>
                  </w:pPr>
                  <w:r>
                    <w:rPr>
                      <w:rFonts w:hint="eastAsia"/>
                    </w:rPr>
                    <w:t>0.0021</w:t>
                  </w:r>
                </w:p>
              </w:tc>
              <w:tc>
                <w:tcPr>
                  <w:tcW w:w="2266" w:type="dxa"/>
                  <w:vAlign w:val="center"/>
                </w:tcPr>
                <w:p>
                  <w:pPr>
                    <w:jc w:val="center"/>
                    <w:rPr>
                      <w:rFonts w:hint="default"/>
                      <w:vertAlign w:val="baseline"/>
                      <w:lang w:val="en-US" w:eastAsia="zh-CN"/>
                    </w:rPr>
                  </w:pPr>
                  <w:r>
                    <w:rPr>
                      <w:rFonts w:hint="eastAsia"/>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1250</w:t>
                  </w:r>
                </w:p>
              </w:tc>
              <w:tc>
                <w:tcPr>
                  <w:tcW w:w="2266" w:type="dxa"/>
                  <w:vAlign w:val="center"/>
                </w:tcPr>
                <w:p>
                  <w:pPr>
                    <w:jc w:val="center"/>
                    <w:rPr>
                      <w:rFonts w:hint="default"/>
                      <w:vertAlign w:val="baseline"/>
                      <w:lang w:val="en-US" w:eastAsia="zh-CN"/>
                    </w:rPr>
                  </w:pPr>
                  <w:r>
                    <w:rPr>
                      <w:rFonts w:hint="eastAsia"/>
                    </w:rPr>
                    <w:t>0.0021</w:t>
                  </w:r>
                </w:p>
              </w:tc>
              <w:tc>
                <w:tcPr>
                  <w:tcW w:w="2266" w:type="dxa"/>
                  <w:vAlign w:val="center"/>
                </w:tcPr>
                <w:p>
                  <w:pPr>
                    <w:jc w:val="center"/>
                    <w:rPr>
                      <w:rFonts w:hint="default"/>
                      <w:vertAlign w:val="baseline"/>
                      <w:lang w:val="en-US" w:eastAsia="zh-CN"/>
                    </w:rPr>
                  </w:pPr>
                  <w:r>
                    <w:rPr>
                      <w:rFonts w:hint="eastAsia"/>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1275</w:t>
                  </w:r>
                </w:p>
              </w:tc>
              <w:tc>
                <w:tcPr>
                  <w:tcW w:w="2266" w:type="dxa"/>
                  <w:vAlign w:val="center"/>
                </w:tcPr>
                <w:p>
                  <w:pPr>
                    <w:jc w:val="center"/>
                    <w:rPr>
                      <w:rFonts w:hint="default"/>
                      <w:vertAlign w:val="baseline"/>
                      <w:lang w:val="en-US" w:eastAsia="zh-CN"/>
                    </w:rPr>
                  </w:pPr>
                  <w:r>
                    <w:rPr>
                      <w:rFonts w:hint="eastAsia"/>
                    </w:rPr>
                    <w:t>0.0020</w:t>
                  </w:r>
                </w:p>
              </w:tc>
              <w:tc>
                <w:tcPr>
                  <w:tcW w:w="2266" w:type="dxa"/>
                  <w:vAlign w:val="center"/>
                </w:tcPr>
                <w:p>
                  <w:pPr>
                    <w:jc w:val="center"/>
                    <w:rPr>
                      <w:rFonts w:hint="default"/>
                      <w:vertAlign w:val="baseline"/>
                      <w:lang w:val="en-US" w:eastAsia="zh-CN"/>
                    </w:rPr>
                  </w:pPr>
                  <w:r>
                    <w:rPr>
                      <w:rFonts w:hint="eastAsia"/>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1300</w:t>
                  </w:r>
                </w:p>
              </w:tc>
              <w:tc>
                <w:tcPr>
                  <w:tcW w:w="2266" w:type="dxa"/>
                  <w:vAlign w:val="center"/>
                </w:tcPr>
                <w:p>
                  <w:pPr>
                    <w:jc w:val="center"/>
                    <w:rPr>
                      <w:rFonts w:hint="default"/>
                      <w:vertAlign w:val="baseline"/>
                      <w:lang w:val="en-US" w:eastAsia="zh-CN"/>
                    </w:rPr>
                  </w:pPr>
                  <w:r>
                    <w:rPr>
                      <w:rFonts w:hint="eastAsia"/>
                    </w:rPr>
                    <w:t>0.0020</w:t>
                  </w:r>
                </w:p>
              </w:tc>
              <w:tc>
                <w:tcPr>
                  <w:tcW w:w="2266" w:type="dxa"/>
                  <w:vAlign w:val="center"/>
                </w:tcPr>
                <w:p>
                  <w:pPr>
                    <w:jc w:val="center"/>
                    <w:rPr>
                      <w:rFonts w:hint="default"/>
                      <w:vertAlign w:val="baseline"/>
                      <w:lang w:val="en-US" w:eastAsia="zh-CN"/>
                    </w:rPr>
                  </w:pPr>
                  <w:r>
                    <w:rPr>
                      <w:rFonts w:hint="eastAsia"/>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1325</w:t>
                  </w:r>
                </w:p>
              </w:tc>
              <w:tc>
                <w:tcPr>
                  <w:tcW w:w="2266" w:type="dxa"/>
                  <w:vAlign w:val="center"/>
                </w:tcPr>
                <w:p>
                  <w:pPr>
                    <w:jc w:val="center"/>
                    <w:rPr>
                      <w:rFonts w:hint="default"/>
                      <w:vertAlign w:val="baseline"/>
                      <w:lang w:val="en-US" w:eastAsia="zh-CN"/>
                    </w:rPr>
                  </w:pPr>
                  <w:r>
                    <w:rPr>
                      <w:rFonts w:hint="eastAsia"/>
                    </w:rPr>
                    <w:t>0.0020</w:t>
                  </w:r>
                </w:p>
              </w:tc>
              <w:tc>
                <w:tcPr>
                  <w:tcW w:w="2266" w:type="dxa"/>
                  <w:vAlign w:val="center"/>
                </w:tcPr>
                <w:p>
                  <w:pPr>
                    <w:jc w:val="center"/>
                    <w:rPr>
                      <w:rFonts w:hint="default"/>
                      <w:vertAlign w:val="baseline"/>
                      <w:lang w:val="en-US" w:eastAsia="zh-CN"/>
                    </w:rPr>
                  </w:pPr>
                  <w:r>
                    <w:rPr>
                      <w:rFonts w:hint="eastAsia"/>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1350</w:t>
                  </w:r>
                </w:p>
              </w:tc>
              <w:tc>
                <w:tcPr>
                  <w:tcW w:w="2266" w:type="dxa"/>
                  <w:vAlign w:val="center"/>
                </w:tcPr>
                <w:p>
                  <w:pPr>
                    <w:jc w:val="center"/>
                    <w:rPr>
                      <w:rFonts w:hint="default"/>
                      <w:vertAlign w:val="baseline"/>
                      <w:lang w:val="en-US" w:eastAsia="zh-CN"/>
                    </w:rPr>
                  </w:pPr>
                  <w:r>
                    <w:rPr>
                      <w:rFonts w:hint="eastAsia"/>
                    </w:rPr>
                    <w:t>0.0020</w:t>
                  </w:r>
                </w:p>
              </w:tc>
              <w:tc>
                <w:tcPr>
                  <w:tcW w:w="2266" w:type="dxa"/>
                  <w:vAlign w:val="center"/>
                </w:tcPr>
                <w:p>
                  <w:pPr>
                    <w:jc w:val="center"/>
                    <w:rPr>
                      <w:rFonts w:hint="default"/>
                      <w:vertAlign w:val="baseline"/>
                      <w:lang w:val="en-US" w:eastAsia="zh-CN"/>
                    </w:rPr>
                  </w:pPr>
                  <w:r>
                    <w:rPr>
                      <w:rFonts w:hint="eastAsia"/>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1375</w:t>
                  </w:r>
                </w:p>
              </w:tc>
              <w:tc>
                <w:tcPr>
                  <w:tcW w:w="2266" w:type="dxa"/>
                  <w:vAlign w:val="center"/>
                </w:tcPr>
                <w:p>
                  <w:pPr>
                    <w:jc w:val="center"/>
                    <w:rPr>
                      <w:rFonts w:hint="default"/>
                      <w:vertAlign w:val="baseline"/>
                      <w:lang w:val="en-US" w:eastAsia="zh-CN"/>
                    </w:rPr>
                  </w:pPr>
                  <w:r>
                    <w:rPr>
                      <w:rFonts w:hint="eastAsia"/>
                    </w:rPr>
                    <w:t>0.0019</w:t>
                  </w:r>
                </w:p>
              </w:tc>
              <w:tc>
                <w:tcPr>
                  <w:tcW w:w="2266" w:type="dxa"/>
                  <w:vAlign w:val="center"/>
                </w:tcPr>
                <w:p>
                  <w:pPr>
                    <w:jc w:val="center"/>
                    <w:rPr>
                      <w:rFonts w:hint="default"/>
                      <w:vertAlign w:val="baseline"/>
                      <w:lang w:val="en-US" w:eastAsia="zh-CN"/>
                    </w:rPr>
                  </w:pPr>
                  <w:r>
                    <w:rPr>
                      <w:rFonts w:hint="eastAsia"/>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1400</w:t>
                  </w:r>
                </w:p>
              </w:tc>
              <w:tc>
                <w:tcPr>
                  <w:tcW w:w="2266" w:type="dxa"/>
                  <w:vAlign w:val="center"/>
                </w:tcPr>
                <w:p>
                  <w:pPr>
                    <w:jc w:val="center"/>
                    <w:rPr>
                      <w:rFonts w:hint="default"/>
                      <w:vertAlign w:val="baseline"/>
                      <w:lang w:val="en-US" w:eastAsia="zh-CN"/>
                    </w:rPr>
                  </w:pPr>
                  <w:r>
                    <w:rPr>
                      <w:rFonts w:hint="eastAsia"/>
                    </w:rPr>
                    <w:t>0.0019</w:t>
                  </w:r>
                </w:p>
              </w:tc>
              <w:tc>
                <w:tcPr>
                  <w:tcW w:w="2266" w:type="dxa"/>
                  <w:vAlign w:val="center"/>
                </w:tcPr>
                <w:p>
                  <w:pPr>
                    <w:jc w:val="center"/>
                    <w:rPr>
                      <w:rFonts w:hint="default"/>
                      <w:vertAlign w:val="baseline"/>
                      <w:lang w:val="en-US" w:eastAsia="zh-CN"/>
                    </w:rPr>
                  </w:pPr>
                  <w:r>
                    <w:rPr>
                      <w:rFonts w:hint="eastAsia"/>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1425</w:t>
                  </w:r>
                </w:p>
              </w:tc>
              <w:tc>
                <w:tcPr>
                  <w:tcW w:w="2266" w:type="dxa"/>
                  <w:vAlign w:val="center"/>
                </w:tcPr>
                <w:p>
                  <w:pPr>
                    <w:jc w:val="center"/>
                    <w:rPr>
                      <w:rFonts w:hint="default"/>
                      <w:vertAlign w:val="baseline"/>
                      <w:lang w:val="en-US" w:eastAsia="zh-CN"/>
                    </w:rPr>
                  </w:pPr>
                  <w:r>
                    <w:rPr>
                      <w:rFonts w:hint="eastAsia"/>
                    </w:rPr>
                    <w:t>0.0019</w:t>
                  </w:r>
                </w:p>
              </w:tc>
              <w:tc>
                <w:tcPr>
                  <w:tcW w:w="2266" w:type="dxa"/>
                  <w:vAlign w:val="center"/>
                </w:tcPr>
                <w:p>
                  <w:pPr>
                    <w:jc w:val="center"/>
                    <w:rPr>
                      <w:rFonts w:hint="default"/>
                      <w:vertAlign w:val="baseline"/>
                      <w:lang w:val="en-US" w:eastAsia="zh-CN"/>
                    </w:rPr>
                  </w:pPr>
                  <w:r>
                    <w:rPr>
                      <w:rFonts w:hint="eastAsia"/>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1450</w:t>
                  </w:r>
                </w:p>
              </w:tc>
              <w:tc>
                <w:tcPr>
                  <w:tcW w:w="2266" w:type="dxa"/>
                  <w:vAlign w:val="center"/>
                </w:tcPr>
                <w:p>
                  <w:pPr>
                    <w:jc w:val="center"/>
                    <w:rPr>
                      <w:rFonts w:hint="default"/>
                      <w:vertAlign w:val="baseline"/>
                      <w:lang w:val="en-US" w:eastAsia="zh-CN"/>
                    </w:rPr>
                  </w:pPr>
                  <w:r>
                    <w:rPr>
                      <w:rFonts w:hint="eastAsia"/>
                    </w:rPr>
                    <w:t>0.0019</w:t>
                  </w:r>
                </w:p>
              </w:tc>
              <w:tc>
                <w:tcPr>
                  <w:tcW w:w="2266" w:type="dxa"/>
                  <w:vAlign w:val="center"/>
                </w:tcPr>
                <w:p>
                  <w:pPr>
                    <w:jc w:val="center"/>
                    <w:rPr>
                      <w:rFonts w:hint="default"/>
                      <w:vertAlign w:val="baseline"/>
                      <w:lang w:val="en-US" w:eastAsia="zh-CN"/>
                    </w:rPr>
                  </w:pPr>
                  <w:r>
                    <w:rPr>
                      <w:rFonts w:hint="eastAsia"/>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1475</w:t>
                  </w:r>
                </w:p>
              </w:tc>
              <w:tc>
                <w:tcPr>
                  <w:tcW w:w="2266" w:type="dxa"/>
                  <w:vAlign w:val="center"/>
                </w:tcPr>
                <w:p>
                  <w:pPr>
                    <w:jc w:val="center"/>
                    <w:rPr>
                      <w:rFonts w:hint="default"/>
                      <w:vertAlign w:val="baseline"/>
                      <w:lang w:val="en-US" w:eastAsia="zh-CN"/>
                    </w:rPr>
                  </w:pPr>
                  <w:r>
                    <w:rPr>
                      <w:rFonts w:hint="eastAsia"/>
                    </w:rPr>
                    <w:t>0.0018</w:t>
                  </w:r>
                </w:p>
              </w:tc>
              <w:tc>
                <w:tcPr>
                  <w:tcW w:w="2266" w:type="dxa"/>
                  <w:vAlign w:val="center"/>
                </w:tcPr>
                <w:p>
                  <w:pPr>
                    <w:jc w:val="center"/>
                    <w:rPr>
                      <w:rFonts w:hint="default"/>
                      <w:vertAlign w:val="baseline"/>
                      <w:lang w:val="en-US" w:eastAsia="zh-CN"/>
                    </w:rPr>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1500</w:t>
                  </w:r>
                </w:p>
              </w:tc>
              <w:tc>
                <w:tcPr>
                  <w:tcW w:w="2266" w:type="dxa"/>
                  <w:vAlign w:val="center"/>
                </w:tcPr>
                <w:p>
                  <w:pPr>
                    <w:jc w:val="center"/>
                    <w:rPr>
                      <w:rFonts w:hint="default"/>
                      <w:vertAlign w:val="baseline"/>
                      <w:lang w:val="en-US" w:eastAsia="zh-CN"/>
                    </w:rPr>
                  </w:pPr>
                  <w:r>
                    <w:rPr>
                      <w:rFonts w:hint="eastAsia"/>
                    </w:rPr>
                    <w:t>0.0018</w:t>
                  </w:r>
                </w:p>
              </w:tc>
              <w:tc>
                <w:tcPr>
                  <w:tcW w:w="2266" w:type="dxa"/>
                  <w:vAlign w:val="center"/>
                </w:tcPr>
                <w:p>
                  <w:pPr>
                    <w:jc w:val="center"/>
                    <w:rPr>
                      <w:rFonts w:hint="default"/>
                      <w:vertAlign w:val="baseline"/>
                      <w:lang w:val="en-US" w:eastAsia="zh-CN"/>
                    </w:rPr>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1525</w:t>
                  </w:r>
                </w:p>
              </w:tc>
              <w:tc>
                <w:tcPr>
                  <w:tcW w:w="2266" w:type="dxa"/>
                  <w:vAlign w:val="center"/>
                </w:tcPr>
                <w:p>
                  <w:pPr>
                    <w:jc w:val="center"/>
                    <w:rPr>
                      <w:rFonts w:hint="default"/>
                      <w:vertAlign w:val="baseline"/>
                      <w:lang w:val="en-US" w:eastAsia="zh-CN"/>
                    </w:rPr>
                  </w:pPr>
                  <w:r>
                    <w:rPr>
                      <w:rFonts w:hint="eastAsia"/>
                    </w:rPr>
                    <w:t>0.0018</w:t>
                  </w:r>
                </w:p>
              </w:tc>
              <w:tc>
                <w:tcPr>
                  <w:tcW w:w="2266" w:type="dxa"/>
                  <w:vAlign w:val="center"/>
                </w:tcPr>
                <w:p>
                  <w:pPr>
                    <w:jc w:val="center"/>
                    <w:rPr>
                      <w:rFonts w:hint="default"/>
                      <w:vertAlign w:val="baseline"/>
                      <w:lang w:val="en-US" w:eastAsia="zh-CN"/>
                    </w:rPr>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1550</w:t>
                  </w:r>
                </w:p>
              </w:tc>
              <w:tc>
                <w:tcPr>
                  <w:tcW w:w="2266" w:type="dxa"/>
                  <w:vAlign w:val="center"/>
                </w:tcPr>
                <w:p>
                  <w:pPr>
                    <w:jc w:val="center"/>
                    <w:rPr>
                      <w:rFonts w:hint="default"/>
                      <w:vertAlign w:val="baseline"/>
                      <w:lang w:val="en-US" w:eastAsia="zh-CN"/>
                    </w:rPr>
                  </w:pPr>
                  <w:r>
                    <w:rPr>
                      <w:rFonts w:hint="eastAsia"/>
                    </w:rPr>
                    <w:t>0.0018</w:t>
                  </w:r>
                </w:p>
              </w:tc>
              <w:tc>
                <w:tcPr>
                  <w:tcW w:w="2266" w:type="dxa"/>
                  <w:vAlign w:val="center"/>
                </w:tcPr>
                <w:p>
                  <w:pPr>
                    <w:jc w:val="center"/>
                    <w:rPr>
                      <w:rFonts w:hint="default"/>
                      <w:vertAlign w:val="baseline"/>
                      <w:lang w:val="en-US" w:eastAsia="zh-CN"/>
                    </w:rPr>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1575</w:t>
                  </w:r>
                </w:p>
              </w:tc>
              <w:tc>
                <w:tcPr>
                  <w:tcW w:w="2266" w:type="dxa"/>
                  <w:vAlign w:val="center"/>
                </w:tcPr>
                <w:p>
                  <w:pPr>
                    <w:jc w:val="center"/>
                    <w:rPr>
                      <w:rFonts w:hint="default"/>
                      <w:vertAlign w:val="baseline"/>
                      <w:lang w:val="en-US" w:eastAsia="zh-CN"/>
                    </w:rPr>
                  </w:pPr>
                  <w:r>
                    <w:rPr>
                      <w:rFonts w:hint="eastAsia"/>
                    </w:rPr>
                    <w:t>0.0018</w:t>
                  </w:r>
                </w:p>
              </w:tc>
              <w:tc>
                <w:tcPr>
                  <w:tcW w:w="2266" w:type="dxa"/>
                  <w:vAlign w:val="center"/>
                </w:tcPr>
                <w:p>
                  <w:pPr>
                    <w:jc w:val="center"/>
                    <w:rPr>
                      <w:rFonts w:hint="default"/>
                      <w:vertAlign w:val="baseline"/>
                      <w:lang w:val="en-US" w:eastAsia="zh-CN"/>
                    </w:rPr>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1600</w:t>
                  </w:r>
                </w:p>
              </w:tc>
              <w:tc>
                <w:tcPr>
                  <w:tcW w:w="2266" w:type="dxa"/>
                  <w:vAlign w:val="center"/>
                </w:tcPr>
                <w:p>
                  <w:pPr>
                    <w:jc w:val="center"/>
                    <w:rPr>
                      <w:rFonts w:hint="default"/>
                      <w:vertAlign w:val="baseline"/>
                      <w:lang w:val="en-US" w:eastAsia="zh-CN"/>
                    </w:rPr>
                  </w:pPr>
                  <w:r>
                    <w:rPr>
                      <w:rFonts w:hint="eastAsia"/>
                    </w:rPr>
                    <w:t>0.0017</w:t>
                  </w:r>
                </w:p>
              </w:tc>
              <w:tc>
                <w:tcPr>
                  <w:tcW w:w="2266" w:type="dxa"/>
                  <w:vAlign w:val="center"/>
                </w:tcPr>
                <w:p>
                  <w:pPr>
                    <w:jc w:val="center"/>
                    <w:rPr>
                      <w:rFonts w:hint="default"/>
                      <w:vertAlign w:val="baseline"/>
                      <w:lang w:val="en-US" w:eastAsia="zh-CN"/>
                    </w:rPr>
                  </w:pPr>
                  <w:r>
                    <w:rPr>
                      <w:rFonts w:hint="eastAsia"/>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1625</w:t>
                  </w:r>
                </w:p>
              </w:tc>
              <w:tc>
                <w:tcPr>
                  <w:tcW w:w="2266" w:type="dxa"/>
                  <w:vAlign w:val="center"/>
                </w:tcPr>
                <w:p>
                  <w:pPr>
                    <w:jc w:val="center"/>
                    <w:rPr>
                      <w:rFonts w:hint="default"/>
                      <w:vertAlign w:val="baseline"/>
                      <w:lang w:val="en-US" w:eastAsia="zh-CN"/>
                    </w:rPr>
                  </w:pPr>
                  <w:r>
                    <w:rPr>
                      <w:rFonts w:hint="eastAsia"/>
                    </w:rPr>
                    <w:t>0.0017</w:t>
                  </w:r>
                </w:p>
              </w:tc>
              <w:tc>
                <w:tcPr>
                  <w:tcW w:w="2266" w:type="dxa"/>
                  <w:vAlign w:val="center"/>
                </w:tcPr>
                <w:p>
                  <w:pPr>
                    <w:jc w:val="center"/>
                    <w:rPr>
                      <w:rFonts w:hint="default"/>
                      <w:vertAlign w:val="baseline"/>
                      <w:lang w:val="en-US" w:eastAsia="zh-CN"/>
                    </w:rPr>
                  </w:pPr>
                  <w:r>
                    <w:rPr>
                      <w:rFonts w:hint="eastAsia"/>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1650</w:t>
                  </w:r>
                </w:p>
              </w:tc>
              <w:tc>
                <w:tcPr>
                  <w:tcW w:w="2266" w:type="dxa"/>
                  <w:vAlign w:val="center"/>
                </w:tcPr>
                <w:p>
                  <w:pPr>
                    <w:jc w:val="center"/>
                    <w:rPr>
                      <w:rFonts w:hint="default"/>
                      <w:vertAlign w:val="baseline"/>
                      <w:lang w:val="en-US" w:eastAsia="zh-CN"/>
                    </w:rPr>
                  </w:pPr>
                  <w:r>
                    <w:rPr>
                      <w:rFonts w:hint="eastAsia"/>
                    </w:rPr>
                    <w:t>0.0017</w:t>
                  </w:r>
                </w:p>
              </w:tc>
              <w:tc>
                <w:tcPr>
                  <w:tcW w:w="2266" w:type="dxa"/>
                  <w:vAlign w:val="center"/>
                </w:tcPr>
                <w:p>
                  <w:pPr>
                    <w:jc w:val="center"/>
                    <w:rPr>
                      <w:rFonts w:hint="default"/>
                      <w:vertAlign w:val="baseline"/>
                      <w:lang w:val="en-US" w:eastAsia="zh-CN"/>
                    </w:rPr>
                  </w:pPr>
                  <w:r>
                    <w:rPr>
                      <w:rFonts w:hint="eastAsia"/>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1675</w:t>
                  </w:r>
                </w:p>
              </w:tc>
              <w:tc>
                <w:tcPr>
                  <w:tcW w:w="2266" w:type="dxa"/>
                  <w:vAlign w:val="center"/>
                </w:tcPr>
                <w:p>
                  <w:pPr>
                    <w:jc w:val="center"/>
                    <w:rPr>
                      <w:rFonts w:hint="default"/>
                      <w:vertAlign w:val="baseline"/>
                      <w:lang w:val="en-US" w:eastAsia="zh-CN"/>
                    </w:rPr>
                  </w:pPr>
                  <w:r>
                    <w:rPr>
                      <w:rFonts w:hint="eastAsia"/>
                    </w:rPr>
                    <w:t>0.0017</w:t>
                  </w:r>
                </w:p>
              </w:tc>
              <w:tc>
                <w:tcPr>
                  <w:tcW w:w="2266" w:type="dxa"/>
                  <w:vAlign w:val="center"/>
                </w:tcPr>
                <w:p>
                  <w:pPr>
                    <w:jc w:val="center"/>
                    <w:rPr>
                      <w:rFonts w:hint="default"/>
                      <w:vertAlign w:val="baseline"/>
                      <w:lang w:val="en-US" w:eastAsia="zh-CN"/>
                    </w:rPr>
                  </w:pPr>
                  <w:r>
                    <w:rPr>
                      <w:rFonts w:hint="eastAsia"/>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1700</w:t>
                  </w:r>
                </w:p>
              </w:tc>
              <w:tc>
                <w:tcPr>
                  <w:tcW w:w="2266" w:type="dxa"/>
                  <w:vAlign w:val="center"/>
                </w:tcPr>
                <w:p>
                  <w:pPr>
                    <w:jc w:val="center"/>
                    <w:rPr>
                      <w:rFonts w:hint="default"/>
                      <w:vertAlign w:val="baseline"/>
                      <w:lang w:val="en-US" w:eastAsia="zh-CN"/>
                    </w:rPr>
                  </w:pPr>
                  <w:r>
                    <w:rPr>
                      <w:rFonts w:hint="eastAsia"/>
                    </w:rPr>
                    <w:t>0.0017</w:t>
                  </w:r>
                </w:p>
              </w:tc>
              <w:tc>
                <w:tcPr>
                  <w:tcW w:w="2266" w:type="dxa"/>
                  <w:vAlign w:val="center"/>
                </w:tcPr>
                <w:p>
                  <w:pPr>
                    <w:jc w:val="center"/>
                    <w:rPr>
                      <w:rFonts w:hint="default"/>
                      <w:vertAlign w:val="baseline"/>
                      <w:lang w:val="en-US" w:eastAsia="zh-CN"/>
                    </w:rPr>
                  </w:pPr>
                  <w:r>
                    <w:rPr>
                      <w:rFonts w:hint="eastAsia"/>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1725</w:t>
                  </w:r>
                </w:p>
              </w:tc>
              <w:tc>
                <w:tcPr>
                  <w:tcW w:w="2266" w:type="dxa"/>
                  <w:vAlign w:val="center"/>
                </w:tcPr>
                <w:p>
                  <w:pPr>
                    <w:jc w:val="center"/>
                    <w:rPr>
                      <w:rFonts w:hint="default"/>
                      <w:vertAlign w:val="baseline"/>
                      <w:lang w:val="en-US" w:eastAsia="zh-CN"/>
                    </w:rPr>
                  </w:pPr>
                  <w:r>
                    <w:rPr>
                      <w:rFonts w:hint="eastAsia"/>
                    </w:rPr>
                    <w:t>0.0016</w:t>
                  </w:r>
                </w:p>
              </w:tc>
              <w:tc>
                <w:tcPr>
                  <w:tcW w:w="2266" w:type="dxa"/>
                  <w:vAlign w:val="center"/>
                </w:tcPr>
                <w:p>
                  <w:pPr>
                    <w:jc w:val="center"/>
                    <w:rPr>
                      <w:rFonts w:hint="default"/>
                      <w:vertAlign w:val="baseline"/>
                      <w:lang w:val="en-US" w:eastAsia="zh-CN"/>
                    </w:rPr>
                  </w:pPr>
                  <w:r>
                    <w:rPr>
                      <w:rFonts w:hint="eastAsia"/>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1750</w:t>
                  </w:r>
                </w:p>
              </w:tc>
              <w:tc>
                <w:tcPr>
                  <w:tcW w:w="2266" w:type="dxa"/>
                  <w:vAlign w:val="center"/>
                </w:tcPr>
                <w:p>
                  <w:pPr>
                    <w:jc w:val="center"/>
                    <w:rPr>
                      <w:rFonts w:hint="default"/>
                      <w:vertAlign w:val="baseline"/>
                      <w:lang w:val="en-US" w:eastAsia="zh-CN"/>
                    </w:rPr>
                  </w:pPr>
                  <w:r>
                    <w:rPr>
                      <w:rFonts w:hint="eastAsia"/>
                    </w:rPr>
                    <w:t>0.0016</w:t>
                  </w:r>
                </w:p>
              </w:tc>
              <w:tc>
                <w:tcPr>
                  <w:tcW w:w="2266" w:type="dxa"/>
                  <w:vAlign w:val="center"/>
                </w:tcPr>
                <w:p>
                  <w:pPr>
                    <w:jc w:val="center"/>
                    <w:rPr>
                      <w:rFonts w:hint="default"/>
                      <w:vertAlign w:val="baseline"/>
                      <w:lang w:val="en-US" w:eastAsia="zh-CN"/>
                    </w:rPr>
                  </w:pPr>
                  <w:r>
                    <w:rPr>
                      <w:rFonts w:hint="eastAsia"/>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1775</w:t>
                  </w:r>
                </w:p>
              </w:tc>
              <w:tc>
                <w:tcPr>
                  <w:tcW w:w="2266" w:type="dxa"/>
                  <w:vAlign w:val="center"/>
                </w:tcPr>
                <w:p>
                  <w:pPr>
                    <w:jc w:val="center"/>
                    <w:rPr>
                      <w:rFonts w:hint="default"/>
                      <w:vertAlign w:val="baseline"/>
                      <w:lang w:val="en-US" w:eastAsia="zh-CN"/>
                    </w:rPr>
                  </w:pPr>
                  <w:r>
                    <w:rPr>
                      <w:rFonts w:hint="eastAsia"/>
                    </w:rPr>
                    <w:t>0.0016</w:t>
                  </w:r>
                </w:p>
              </w:tc>
              <w:tc>
                <w:tcPr>
                  <w:tcW w:w="2266" w:type="dxa"/>
                  <w:vAlign w:val="center"/>
                </w:tcPr>
                <w:p>
                  <w:pPr>
                    <w:jc w:val="center"/>
                    <w:rPr>
                      <w:rFonts w:hint="default"/>
                      <w:vertAlign w:val="baseline"/>
                      <w:lang w:val="en-US" w:eastAsia="zh-CN"/>
                    </w:rPr>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1800</w:t>
                  </w:r>
                </w:p>
              </w:tc>
              <w:tc>
                <w:tcPr>
                  <w:tcW w:w="2266" w:type="dxa"/>
                  <w:vAlign w:val="center"/>
                </w:tcPr>
                <w:p>
                  <w:pPr>
                    <w:jc w:val="center"/>
                    <w:rPr>
                      <w:rFonts w:hint="default"/>
                      <w:vertAlign w:val="baseline"/>
                      <w:lang w:val="en-US" w:eastAsia="zh-CN"/>
                    </w:rPr>
                  </w:pPr>
                  <w:r>
                    <w:rPr>
                      <w:rFonts w:hint="eastAsia"/>
                    </w:rPr>
                    <w:t>0.0016</w:t>
                  </w:r>
                </w:p>
              </w:tc>
              <w:tc>
                <w:tcPr>
                  <w:tcW w:w="2266" w:type="dxa"/>
                  <w:vAlign w:val="center"/>
                </w:tcPr>
                <w:p>
                  <w:pPr>
                    <w:jc w:val="center"/>
                    <w:rPr>
                      <w:rFonts w:hint="default"/>
                      <w:vertAlign w:val="baseline"/>
                      <w:lang w:val="en-US" w:eastAsia="zh-CN"/>
                    </w:rPr>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1825</w:t>
                  </w:r>
                </w:p>
              </w:tc>
              <w:tc>
                <w:tcPr>
                  <w:tcW w:w="2266" w:type="dxa"/>
                  <w:vAlign w:val="center"/>
                </w:tcPr>
                <w:p>
                  <w:pPr>
                    <w:jc w:val="center"/>
                    <w:rPr>
                      <w:rFonts w:hint="default"/>
                      <w:vertAlign w:val="baseline"/>
                      <w:lang w:val="en-US" w:eastAsia="zh-CN"/>
                    </w:rPr>
                  </w:pPr>
                  <w:r>
                    <w:rPr>
                      <w:rFonts w:hint="eastAsia"/>
                    </w:rPr>
                    <w:t>0.0016</w:t>
                  </w:r>
                </w:p>
              </w:tc>
              <w:tc>
                <w:tcPr>
                  <w:tcW w:w="2266" w:type="dxa"/>
                  <w:vAlign w:val="center"/>
                </w:tcPr>
                <w:p>
                  <w:pPr>
                    <w:jc w:val="center"/>
                    <w:rPr>
                      <w:rFonts w:hint="default"/>
                      <w:vertAlign w:val="baseline"/>
                      <w:lang w:val="en-US" w:eastAsia="zh-CN"/>
                    </w:rPr>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1850</w:t>
                  </w:r>
                </w:p>
              </w:tc>
              <w:tc>
                <w:tcPr>
                  <w:tcW w:w="2266" w:type="dxa"/>
                  <w:vAlign w:val="center"/>
                </w:tcPr>
                <w:p>
                  <w:pPr>
                    <w:jc w:val="center"/>
                    <w:rPr>
                      <w:rFonts w:hint="default"/>
                      <w:vertAlign w:val="baseline"/>
                      <w:lang w:val="en-US" w:eastAsia="zh-CN"/>
                    </w:rPr>
                  </w:pPr>
                  <w:r>
                    <w:rPr>
                      <w:rFonts w:hint="eastAsia"/>
                    </w:rPr>
                    <w:t>0.0016</w:t>
                  </w:r>
                </w:p>
              </w:tc>
              <w:tc>
                <w:tcPr>
                  <w:tcW w:w="2266" w:type="dxa"/>
                  <w:vAlign w:val="center"/>
                </w:tcPr>
                <w:p>
                  <w:pPr>
                    <w:jc w:val="center"/>
                    <w:rPr>
                      <w:rFonts w:hint="default"/>
                      <w:vertAlign w:val="baseline"/>
                      <w:lang w:val="en-US" w:eastAsia="zh-CN"/>
                    </w:rPr>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1875</w:t>
                  </w:r>
                </w:p>
              </w:tc>
              <w:tc>
                <w:tcPr>
                  <w:tcW w:w="2266" w:type="dxa"/>
                  <w:vAlign w:val="center"/>
                </w:tcPr>
                <w:p>
                  <w:pPr>
                    <w:jc w:val="center"/>
                    <w:rPr>
                      <w:rFonts w:hint="default"/>
                      <w:vertAlign w:val="baseline"/>
                      <w:lang w:val="en-US" w:eastAsia="zh-CN"/>
                    </w:rPr>
                  </w:pPr>
                  <w:r>
                    <w:rPr>
                      <w:rFonts w:hint="eastAsia"/>
                    </w:rPr>
                    <w:t>0.0015</w:t>
                  </w:r>
                </w:p>
              </w:tc>
              <w:tc>
                <w:tcPr>
                  <w:tcW w:w="2266" w:type="dxa"/>
                  <w:vAlign w:val="center"/>
                </w:tcPr>
                <w:p>
                  <w:pPr>
                    <w:jc w:val="center"/>
                    <w:rPr>
                      <w:rFonts w:hint="default"/>
                      <w:vertAlign w:val="baseline"/>
                      <w:lang w:val="en-US" w:eastAsia="zh-CN"/>
                    </w:rPr>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1900</w:t>
                  </w:r>
                </w:p>
              </w:tc>
              <w:tc>
                <w:tcPr>
                  <w:tcW w:w="2266" w:type="dxa"/>
                  <w:vAlign w:val="center"/>
                </w:tcPr>
                <w:p>
                  <w:pPr>
                    <w:jc w:val="center"/>
                    <w:rPr>
                      <w:rFonts w:hint="default"/>
                      <w:vertAlign w:val="baseline"/>
                      <w:lang w:val="en-US" w:eastAsia="zh-CN"/>
                    </w:rPr>
                  </w:pPr>
                  <w:r>
                    <w:rPr>
                      <w:rFonts w:hint="eastAsia"/>
                    </w:rPr>
                    <w:t>0.0015</w:t>
                  </w:r>
                </w:p>
              </w:tc>
              <w:tc>
                <w:tcPr>
                  <w:tcW w:w="2266" w:type="dxa"/>
                  <w:vAlign w:val="center"/>
                </w:tcPr>
                <w:p>
                  <w:pPr>
                    <w:jc w:val="center"/>
                    <w:rPr>
                      <w:rFonts w:hint="default"/>
                      <w:vertAlign w:val="baseline"/>
                      <w:lang w:val="en-US" w:eastAsia="zh-CN"/>
                    </w:rPr>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1925</w:t>
                  </w:r>
                </w:p>
              </w:tc>
              <w:tc>
                <w:tcPr>
                  <w:tcW w:w="2266" w:type="dxa"/>
                  <w:vAlign w:val="center"/>
                </w:tcPr>
                <w:p>
                  <w:pPr>
                    <w:jc w:val="center"/>
                    <w:rPr>
                      <w:rFonts w:hint="default"/>
                      <w:vertAlign w:val="baseline"/>
                      <w:lang w:val="en-US" w:eastAsia="zh-CN"/>
                    </w:rPr>
                  </w:pPr>
                  <w:r>
                    <w:rPr>
                      <w:rFonts w:hint="eastAsia"/>
                    </w:rPr>
                    <w:t>0.0015</w:t>
                  </w:r>
                </w:p>
              </w:tc>
              <w:tc>
                <w:tcPr>
                  <w:tcW w:w="2266" w:type="dxa"/>
                  <w:vAlign w:val="center"/>
                </w:tcPr>
                <w:p>
                  <w:pPr>
                    <w:jc w:val="center"/>
                    <w:rPr>
                      <w:rFonts w:hint="default"/>
                      <w:vertAlign w:val="baseline"/>
                      <w:lang w:val="en-US" w:eastAsia="zh-CN"/>
                    </w:rPr>
                  </w:pPr>
                  <w:r>
                    <w:rPr>
                      <w:rFonts w:hint="eastAsia"/>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1950</w:t>
                  </w:r>
                </w:p>
              </w:tc>
              <w:tc>
                <w:tcPr>
                  <w:tcW w:w="2266" w:type="dxa"/>
                  <w:vAlign w:val="center"/>
                </w:tcPr>
                <w:p>
                  <w:pPr>
                    <w:jc w:val="center"/>
                    <w:rPr>
                      <w:rFonts w:hint="default"/>
                      <w:vertAlign w:val="baseline"/>
                      <w:lang w:val="en-US" w:eastAsia="zh-CN"/>
                    </w:rPr>
                  </w:pPr>
                  <w:r>
                    <w:rPr>
                      <w:rFonts w:hint="eastAsia"/>
                    </w:rPr>
                    <w:t>0.0015</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1975</w:t>
                  </w:r>
                </w:p>
              </w:tc>
              <w:tc>
                <w:tcPr>
                  <w:tcW w:w="2266" w:type="dxa"/>
                  <w:vAlign w:val="center"/>
                </w:tcPr>
                <w:p>
                  <w:pPr>
                    <w:jc w:val="center"/>
                    <w:rPr>
                      <w:rFonts w:hint="default"/>
                      <w:vertAlign w:val="baseline"/>
                      <w:lang w:val="en-US" w:eastAsia="zh-CN"/>
                    </w:rPr>
                  </w:pPr>
                  <w:r>
                    <w:rPr>
                      <w:rFonts w:hint="eastAsia"/>
                    </w:rPr>
                    <w:t>0.0015</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2000</w:t>
                  </w:r>
                </w:p>
              </w:tc>
              <w:tc>
                <w:tcPr>
                  <w:tcW w:w="2266" w:type="dxa"/>
                  <w:vAlign w:val="center"/>
                </w:tcPr>
                <w:p>
                  <w:pPr>
                    <w:jc w:val="center"/>
                    <w:rPr>
                      <w:rFonts w:hint="default"/>
                      <w:vertAlign w:val="baseline"/>
                      <w:lang w:val="en-US" w:eastAsia="zh-CN"/>
                    </w:rPr>
                  </w:pPr>
                  <w:r>
                    <w:rPr>
                      <w:rFonts w:hint="eastAsia"/>
                    </w:rPr>
                    <w:t>0.0015</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2025</w:t>
                  </w:r>
                </w:p>
              </w:tc>
              <w:tc>
                <w:tcPr>
                  <w:tcW w:w="2266" w:type="dxa"/>
                  <w:vAlign w:val="center"/>
                </w:tcPr>
                <w:p>
                  <w:pPr>
                    <w:jc w:val="center"/>
                    <w:rPr>
                      <w:rFonts w:hint="default"/>
                      <w:vertAlign w:val="baseline"/>
                      <w:lang w:val="en-US" w:eastAsia="zh-CN"/>
                    </w:rPr>
                  </w:pPr>
                  <w:r>
                    <w:rPr>
                      <w:rFonts w:hint="eastAsia"/>
                    </w:rPr>
                    <w:t>0.0015</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2050</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2075</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2100</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2125</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2150</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2175</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2200</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2225</w:t>
                  </w:r>
                </w:p>
              </w:tc>
              <w:tc>
                <w:tcPr>
                  <w:tcW w:w="2266" w:type="dxa"/>
                  <w:vAlign w:val="center"/>
                </w:tcPr>
                <w:p>
                  <w:pPr>
                    <w:jc w:val="center"/>
                    <w:rPr>
                      <w:rFonts w:hint="default"/>
                      <w:vertAlign w:val="baseline"/>
                      <w:lang w:val="en-US" w:eastAsia="zh-CN"/>
                    </w:rPr>
                  </w:pPr>
                  <w:r>
                    <w:rPr>
                      <w:rFonts w:hint="eastAsia"/>
                    </w:rPr>
                    <w:t>0.0014</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2250</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2275</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2300</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2325</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2350</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2375</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2400</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2425</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2450</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2475</w:t>
                  </w:r>
                </w:p>
              </w:tc>
              <w:tc>
                <w:tcPr>
                  <w:tcW w:w="2266" w:type="dxa"/>
                  <w:vAlign w:val="center"/>
                </w:tcPr>
                <w:p>
                  <w:pPr>
                    <w:jc w:val="center"/>
                    <w:rPr>
                      <w:rFonts w:hint="default"/>
                      <w:vertAlign w:val="baseline"/>
                      <w:lang w:val="en-US" w:eastAsia="zh-CN"/>
                    </w:rPr>
                  </w:pPr>
                  <w:r>
                    <w:rPr>
                      <w:rFonts w:hint="eastAsia"/>
                    </w:rPr>
                    <w:t>0.0013</w:t>
                  </w:r>
                </w:p>
              </w:tc>
              <w:tc>
                <w:tcPr>
                  <w:tcW w:w="2266" w:type="dxa"/>
                  <w:vAlign w:val="center"/>
                </w:tcPr>
                <w:p>
                  <w:pPr>
                    <w:jc w:val="center"/>
                    <w:rPr>
                      <w:rFonts w:hint="default"/>
                      <w:vertAlign w:val="baseline"/>
                      <w:lang w:val="en-US" w:eastAsia="zh-CN"/>
                    </w:rPr>
                  </w:pPr>
                  <w:r>
                    <w:rPr>
                      <w:rFonts w:hint="eastAsia"/>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4" w:type="dxa"/>
                  <w:vAlign w:val="center"/>
                </w:tcPr>
                <w:p>
                  <w:pPr>
                    <w:numPr>
                      <w:ilvl w:val="0"/>
                      <w:numId w:val="7"/>
                    </w:numPr>
                    <w:ind w:left="425" w:leftChars="0" w:hanging="425" w:firstLineChars="0"/>
                    <w:jc w:val="center"/>
                    <w:rPr>
                      <w:rFonts w:hint="default"/>
                      <w:vertAlign w:val="baseline"/>
                      <w:lang w:val="en-US" w:eastAsia="zh-CN"/>
                    </w:rPr>
                  </w:pPr>
                </w:p>
              </w:tc>
              <w:tc>
                <w:tcPr>
                  <w:tcW w:w="2264" w:type="dxa"/>
                  <w:vAlign w:val="center"/>
                </w:tcPr>
                <w:p>
                  <w:pPr>
                    <w:jc w:val="center"/>
                    <w:rPr>
                      <w:rFonts w:hint="default"/>
                      <w:vertAlign w:val="baseline"/>
                      <w:lang w:val="en-US" w:eastAsia="zh-CN"/>
                    </w:rPr>
                  </w:pPr>
                  <w:r>
                    <w:rPr>
                      <w:rFonts w:hint="eastAsia"/>
                    </w:rPr>
                    <w:t>2500</w:t>
                  </w:r>
                </w:p>
              </w:tc>
              <w:tc>
                <w:tcPr>
                  <w:tcW w:w="2266" w:type="dxa"/>
                  <w:vAlign w:val="center"/>
                </w:tcPr>
                <w:p>
                  <w:pPr>
                    <w:jc w:val="center"/>
                    <w:rPr>
                      <w:rFonts w:hint="default"/>
                      <w:vertAlign w:val="baseline"/>
                      <w:lang w:val="en-US" w:eastAsia="zh-CN"/>
                    </w:rPr>
                  </w:pPr>
                  <w:r>
                    <w:rPr>
                      <w:rFonts w:hint="eastAsia"/>
                    </w:rPr>
                    <w:t>0.0012</w:t>
                  </w:r>
                </w:p>
              </w:tc>
              <w:tc>
                <w:tcPr>
                  <w:tcW w:w="2266" w:type="dxa"/>
                  <w:vAlign w:val="center"/>
                </w:tcPr>
                <w:p>
                  <w:pPr>
                    <w:jc w:val="center"/>
                    <w:rPr>
                      <w:rFonts w:hint="default"/>
                      <w:vertAlign w:val="baseline"/>
                      <w:lang w:val="en-US" w:eastAsia="zh-CN"/>
                    </w:rPr>
                  </w:pPr>
                  <w:r>
                    <w:rPr>
                      <w:rFonts w:hint="eastAsia"/>
                    </w:rPr>
                    <w:t>0.10</w:t>
                  </w:r>
                </w:p>
              </w:tc>
            </w:tr>
          </w:tbl>
          <w:p>
            <w:pPr>
              <w:spacing w:line="360" w:lineRule="auto"/>
              <w:ind w:firstLine="480" w:firstLineChars="200"/>
              <w:jc w:val="left"/>
              <w:rPr>
                <w:rFonts w:hint="default" w:eastAsiaTheme="minorEastAsia"/>
                <w:sz w:val="24"/>
                <w:lang w:val="en-US" w:eastAsia="zh-CN"/>
              </w:rPr>
            </w:pPr>
            <w:r>
              <w:rPr>
                <w:rFonts w:hint="default" w:eastAsiaTheme="minorEastAsia"/>
                <w:sz w:val="24"/>
                <w:lang w:val="en-US" w:eastAsia="zh-CN"/>
              </w:rPr>
              <w:t>由上表可知，项目废气污染物无组织排放中</w:t>
            </w:r>
            <w:r>
              <w:rPr>
                <w:rFonts w:hint="eastAsia" w:eastAsiaTheme="minorEastAsia"/>
                <w:sz w:val="24"/>
                <w:lang w:val="en-US" w:eastAsia="zh-CN"/>
              </w:rPr>
              <w:t>非甲烷总烃</w:t>
            </w:r>
            <w:r>
              <w:rPr>
                <w:rFonts w:hint="default" w:eastAsiaTheme="minorEastAsia"/>
                <w:sz w:val="24"/>
                <w:lang w:val="en-US" w:eastAsia="zh-CN"/>
              </w:rPr>
              <w:t>的最大落地浓度为0.0</w:t>
            </w:r>
            <w:r>
              <w:rPr>
                <w:rFonts w:hint="eastAsia" w:eastAsiaTheme="minorEastAsia"/>
                <w:sz w:val="24"/>
                <w:lang w:val="en-US" w:eastAsia="zh-CN"/>
              </w:rPr>
              <w:t>114</w:t>
            </w:r>
            <w:r>
              <w:rPr>
                <w:rFonts w:hint="default" w:eastAsiaTheme="minorEastAsia"/>
                <w:sz w:val="24"/>
                <w:lang w:val="en-US" w:eastAsia="zh-CN"/>
              </w:rPr>
              <w:t>mg/m</w:t>
            </w:r>
            <w:r>
              <w:rPr>
                <w:rFonts w:hint="default" w:eastAsiaTheme="minorEastAsia"/>
                <w:sz w:val="24"/>
                <w:vertAlign w:val="superscript"/>
                <w:lang w:val="en-US" w:eastAsia="zh-CN"/>
              </w:rPr>
              <w:t>3</w:t>
            </w:r>
            <w:r>
              <w:rPr>
                <w:rFonts w:hint="default" w:eastAsiaTheme="minorEastAsia"/>
                <w:sz w:val="24"/>
                <w:lang w:val="en-US" w:eastAsia="zh-CN"/>
              </w:rPr>
              <w:t>，占标率为0.</w:t>
            </w:r>
            <w:r>
              <w:rPr>
                <w:rFonts w:hint="eastAsia" w:eastAsiaTheme="minorEastAsia"/>
                <w:sz w:val="24"/>
                <w:lang w:val="en-US" w:eastAsia="zh-CN"/>
              </w:rPr>
              <w:t>95</w:t>
            </w:r>
            <w:r>
              <w:rPr>
                <w:rFonts w:hint="default" w:eastAsiaTheme="minorEastAsia"/>
                <w:sz w:val="24"/>
                <w:lang w:val="en-US" w:eastAsia="zh-CN"/>
              </w:rPr>
              <w:t>%</w:t>
            </w:r>
            <w:r>
              <w:rPr>
                <w:rFonts w:hint="eastAsia" w:eastAsiaTheme="minorEastAsia"/>
                <w:sz w:val="24"/>
                <w:lang w:val="en-US" w:eastAsia="zh-CN"/>
              </w:rPr>
              <w:t>＜1%</w:t>
            </w:r>
            <w:r>
              <w:rPr>
                <w:rFonts w:hint="default" w:eastAsiaTheme="minorEastAsia"/>
                <w:sz w:val="24"/>
                <w:lang w:val="en-US" w:eastAsia="zh-CN"/>
              </w:rPr>
              <w:t>，对周边环境影响</w:t>
            </w:r>
            <w:r>
              <w:rPr>
                <w:rFonts w:hint="eastAsia" w:eastAsiaTheme="minorEastAsia"/>
                <w:sz w:val="24"/>
                <w:lang w:val="en-US" w:eastAsia="zh-CN"/>
              </w:rPr>
              <w:t>相对</w:t>
            </w:r>
            <w:r>
              <w:rPr>
                <w:rFonts w:hint="default" w:eastAsiaTheme="minorEastAsia"/>
                <w:sz w:val="24"/>
                <w:lang w:val="en-US" w:eastAsia="zh-CN"/>
              </w:rPr>
              <w:t>较小。</w:t>
            </w:r>
          </w:p>
          <w:p>
            <w:pPr>
              <w:spacing w:line="360" w:lineRule="auto"/>
              <w:ind w:firstLine="480" w:firstLineChars="200"/>
              <w:jc w:val="left"/>
            </w:pPr>
            <w:r>
              <w:rPr>
                <w:rFonts w:hint="default" w:eastAsiaTheme="minorEastAsia"/>
                <w:sz w:val="24"/>
                <w:lang w:val="en-US" w:eastAsia="zh-CN"/>
              </w:rPr>
              <w:t>根据《环境影响评价技术导则 大气环境》（HJ2.2-2018），项目废气污染物排放最大落地浓度占标率为</w:t>
            </w:r>
            <w:r>
              <w:rPr>
                <w:rFonts w:hint="eastAsia" w:eastAsiaTheme="minorEastAsia"/>
                <w:sz w:val="24"/>
                <w:lang w:val="en-US" w:eastAsia="zh-CN"/>
              </w:rPr>
              <w:t>0.95</w:t>
            </w:r>
            <w:r>
              <w:rPr>
                <w:rFonts w:hint="default" w:eastAsiaTheme="minorEastAsia"/>
                <w:sz w:val="24"/>
                <w:lang w:val="en-US" w:eastAsia="zh-CN"/>
              </w:rPr>
              <w:t>%</w:t>
            </w:r>
            <w:r>
              <w:rPr>
                <w:rFonts w:hint="eastAsia" w:eastAsiaTheme="minorEastAsia"/>
                <w:sz w:val="24"/>
                <w:lang w:val="en-US" w:eastAsia="zh-CN"/>
              </w:rPr>
              <w:t>＜1%</w:t>
            </w:r>
            <w:r>
              <w:rPr>
                <w:rFonts w:hint="default" w:eastAsiaTheme="minorEastAsia"/>
                <w:sz w:val="24"/>
                <w:lang w:val="en-US" w:eastAsia="zh-CN"/>
              </w:rPr>
              <w:t>，因此本次评价为三级评价，不需进一步预测，不需设置大气环境防护距离</w:t>
            </w:r>
            <w:r>
              <w:rPr>
                <w:rFonts w:hint="eastAsia" w:eastAsiaTheme="minorEastAsia"/>
                <w:sz w:val="24"/>
                <w:lang w:val="en-US" w:eastAsia="zh-CN"/>
              </w:rPr>
              <w:t>，对周边环境影响较小</w:t>
            </w:r>
            <w:r>
              <w:rPr>
                <w:rFonts w:hint="default" w:eastAsiaTheme="minorEastAsia"/>
                <w:sz w:val="24"/>
                <w:lang w:val="en-US" w:eastAsia="zh-CN"/>
              </w:rPr>
              <w:t>。</w:t>
            </w:r>
          </w:p>
          <w:p>
            <w:pPr>
              <w:spacing w:line="360" w:lineRule="auto"/>
              <w:ind w:firstLine="482" w:firstLineChars="200"/>
              <w:rPr>
                <w:rFonts w:eastAsiaTheme="minorEastAsia"/>
                <w:sz w:val="24"/>
              </w:rPr>
            </w:pPr>
            <w:r>
              <w:rPr>
                <w:rFonts w:eastAsiaTheme="minorEastAsia"/>
                <w:b/>
                <w:sz w:val="24"/>
              </w:rPr>
              <w:t>2、水环境影响分析</w:t>
            </w:r>
          </w:p>
          <w:p>
            <w:pPr>
              <w:spacing w:line="360" w:lineRule="auto"/>
              <w:ind w:firstLine="480" w:firstLineChars="200"/>
              <w:contextualSpacing/>
              <w:rPr>
                <w:rFonts w:eastAsiaTheme="minorEastAsia"/>
                <w:sz w:val="24"/>
              </w:rPr>
            </w:pPr>
            <w:r>
              <w:rPr>
                <w:rFonts w:hint="eastAsia" w:eastAsiaTheme="minorEastAsia"/>
                <w:sz w:val="24"/>
              </w:rPr>
              <w:t>（1）地表水环境影响分析</w:t>
            </w:r>
          </w:p>
          <w:p>
            <w:pPr>
              <w:spacing w:line="360" w:lineRule="auto"/>
              <w:ind w:firstLine="480" w:firstLineChars="200"/>
              <w:jc w:val="left"/>
              <w:rPr>
                <w:rFonts w:hint="eastAsia" w:eastAsiaTheme="minorEastAsia"/>
                <w:sz w:val="24"/>
                <w:lang w:eastAsia="zh-CN"/>
              </w:rPr>
            </w:pPr>
            <w:r>
              <w:rPr>
                <w:rFonts w:hint="eastAsia" w:eastAsiaTheme="minorEastAsia"/>
                <w:sz w:val="24"/>
              </w:rPr>
              <w:t>项目运营期废水主要为职工生活污水，职工生活污水每日产生量为</w:t>
            </w:r>
            <w:r>
              <w:rPr>
                <w:rFonts w:hint="eastAsia" w:eastAsiaTheme="minorEastAsia"/>
                <w:sz w:val="24"/>
                <w:lang w:val="en-US" w:eastAsia="zh-CN"/>
              </w:rPr>
              <w:t>0.51m³</w:t>
            </w:r>
            <w:r>
              <w:rPr>
                <w:rFonts w:hint="eastAsia" w:eastAsiaTheme="minorEastAsia"/>
                <w:sz w:val="24"/>
              </w:rPr>
              <w:t>/d（</w:t>
            </w:r>
            <w:r>
              <w:rPr>
                <w:rFonts w:hint="eastAsia" w:eastAsiaTheme="minorEastAsia"/>
                <w:sz w:val="24"/>
                <w:lang w:val="en-US" w:eastAsia="zh-CN"/>
              </w:rPr>
              <w:t>186m</w:t>
            </w:r>
            <w:r>
              <w:rPr>
                <w:rFonts w:hint="default" w:ascii="Times New Roman" w:hAnsi="Times New Roman" w:cs="Times New Roman" w:eastAsiaTheme="minorEastAsia"/>
                <w:sz w:val="24"/>
                <w:lang w:val="en-US" w:eastAsia="zh-CN"/>
              </w:rPr>
              <w:t>³</w:t>
            </w:r>
            <w:r>
              <w:rPr>
                <w:rFonts w:hint="eastAsia" w:eastAsiaTheme="minorEastAsia"/>
                <w:sz w:val="24"/>
              </w:rPr>
              <w:t>/a）。生活污水经化粪池处理后，用作周边农田农肥，不外排。</w:t>
            </w:r>
            <w:r>
              <w:rPr>
                <w:rFonts w:hint="eastAsia" w:eastAsiaTheme="minorEastAsia"/>
                <w:sz w:val="24"/>
                <w:lang w:eastAsia="zh-CN"/>
              </w:rPr>
              <w:t>站区地面冲洗废水经导流沟排至站外低洼处。</w:t>
            </w:r>
          </w:p>
          <w:p>
            <w:pPr>
              <w:spacing w:line="360" w:lineRule="auto"/>
              <w:ind w:firstLine="480" w:firstLineChars="200"/>
              <w:jc w:val="left"/>
              <w:rPr>
                <w:rFonts w:hint="eastAsia" w:eastAsiaTheme="minorEastAsia"/>
                <w:sz w:val="24"/>
              </w:rPr>
            </w:pPr>
            <w:r>
              <w:rPr>
                <w:rFonts w:hint="eastAsia" w:eastAsiaTheme="minorEastAsia"/>
                <w:sz w:val="24"/>
              </w:rPr>
              <w:t>按照《环境影响评价技术导则 地表水环境》（HJ2.3-2018），本项目生产工艺中有废水产生，</w:t>
            </w:r>
            <w:r>
              <w:rPr>
                <w:rFonts w:hint="eastAsia" w:eastAsiaTheme="minorEastAsia"/>
                <w:sz w:val="24"/>
                <w:lang w:eastAsia="zh-CN"/>
              </w:rPr>
              <w:t>但均</w:t>
            </w:r>
            <w:r>
              <w:rPr>
                <w:rFonts w:hint="eastAsia" w:eastAsiaTheme="minorEastAsia"/>
                <w:sz w:val="24"/>
              </w:rPr>
              <w:t>不外排到外环境中，因此评价等级确定为三级B，不再进行水环境影响预测。</w:t>
            </w:r>
          </w:p>
          <w:p>
            <w:pPr>
              <w:spacing w:line="360" w:lineRule="auto"/>
              <w:ind w:firstLine="480" w:firstLineChars="200"/>
              <w:jc w:val="left"/>
              <w:rPr>
                <w:rFonts w:eastAsiaTheme="minorEastAsia"/>
                <w:sz w:val="24"/>
              </w:rPr>
            </w:pPr>
            <w:r>
              <w:rPr>
                <w:rFonts w:hint="eastAsia" w:eastAsiaTheme="minorEastAsia"/>
                <w:sz w:val="24"/>
              </w:rPr>
              <w:t>因此，项目运营期污水对当地地表水环境基本不构成影响。具体等级判定见表7-</w:t>
            </w:r>
            <w:r>
              <w:rPr>
                <w:rFonts w:hint="eastAsia" w:eastAsiaTheme="minorEastAsia"/>
                <w:sz w:val="24"/>
                <w:lang w:val="en-US" w:eastAsia="zh-CN"/>
              </w:rPr>
              <w:t>9</w:t>
            </w:r>
            <w:r>
              <w:rPr>
                <w:rFonts w:hint="eastAsia" w:eastAsiaTheme="minorEastAsia"/>
                <w:sz w:val="24"/>
              </w:rPr>
              <w:t>。</w:t>
            </w:r>
          </w:p>
          <w:p>
            <w:pPr>
              <w:pStyle w:val="7"/>
              <w:spacing w:line="240" w:lineRule="auto"/>
              <w:ind w:firstLine="0" w:firstLineChars="0"/>
              <w:jc w:val="center"/>
              <w:rPr>
                <w:b/>
                <w:bCs/>
                <w:sz w:val="21"/>
                <w:szCs w:val="21"/>
              </w:rPr>
            </w:pPr>
            <w:r>
              <w:rPr>
                <w:rFonts w:hint="eastAsia"/>
                <w:b/>
                <w:bCs/>
                <w:sz w:val="21"/>
                <w:szCs w:val="21"/>
                <w:lang w:eastAsia="zh-CN" w:bidi="ar"/>
              </w:rPr>
              <w:t>表</w:t>
            </w:r>
            <w:r>
              <w:rPr>
                <w:b/>
                <w:bCs/>
                <w:sz w:val="21"/>
                <w:szCs w:val="21"/>
                <w:lang w:bidi="ar"/>
              </w:rPr>
              <w:t>7-</w:t>
            </w:r>
            <w:r>
              <w:rPr>
                <w:rFonts w:hint="eastAsia"/>
                <w:b/>
                <w:bCs/>
                <w:sz w:val="21"/>
                <w:szCs w:val="21"/>
                <w:lang w:val="en-US" w:eastAsia="zh-CN" w:bidi="ar"/>
              </w:rPr>
              <w:t>9</w:t>
            </w:r>
            <w:r>
              <w:rPr>
                <w:b/>
                <w:bCs/>
                <w:sz w:val="21"/>
                <w:szCs w:val="21"/>
                <w:lang w:bidi="ar"/>
              </w:rPr>
              <w:t>地表水等级判定依据</w:t>
            </w:r>
          </w:p>
          <w:tbl>
            <w:tblPr>
              <w:tblStyle w:val="29"/>
              <w:tblW w:w="0" w:type="auto"/>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3"/>
              <w:gridCol w:w="2269"/>
              <w:gridCol w:w="559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08" w:type="dxa"/>
                  <w:vMerge w:val="restart"/>
                  <w:vAlign w:val="center"/>
                </w:tcPr>
                <w:p>
                  <w:pPr>
                    <w:pStyle w:val="161"/>
                    <w:bidi w:val="0"/>
                  </w:pPr>
                  <w:r>
                    <w:t>评价等级</w:t>
                  </w:r>
                </w:p>
              </w:tc>
              <w:tc>
                <w:tcPr>
                  <w:tcW w:w="7898" w:type="dxa"/>
                  <w:gridSpan w:val="2"/>
                  <w:vAlign w:val="center"/>
                </w:tcPr>
                <w:p>
                  <w:pPr>
                    <w:pStyle w:val="161"/>
                    <w:bidi w:val="0"/>
                  </w:pPr>
                  <w:r>
                    <w:t>判定依据</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08" w:type="dxa"/>
                  <w:vMerge w:val="continue"/>
                  <w:vAlign w:val="center"/>
                </w:tcPr>
                <w:p>
                  <w:pPr>
                    <w:pStyle w:val="161"/>
                    <w:bidi w:val="0"/>
                  </w:pPr>
                </w:p>
              </w:tc>
              <w:tc>
                <w:tcPr>
                  <w:tcW w:w="2280" w:type="dxa"/>
                  <w:vAlign w:val="center"/>
                </w:tcPr>
                <w:p>
                  <w:pPr>
                    <w:pStyle w:val="161"/>
                    <w:bidi w:val="0"/>
                  </w:pPr>
                  <w:r>
                    <w:t>排放方式</w:t>
                  </w:r>
                </w:p>
              </w:tc>
              <w:tc>
                <w:tcPr>
                  <w:tcW w:w="5618" w:type="dxa"/>
                  <w:vAlign w:val="center"/>
                </w:tcPr>
                <w:p>
                  <w:pPr>
                    <w:pStyle w:val="161"/>
                    <w:bidi w:val="0"/>
                  </w:pPr>
                  <w:r>
                    <w:t>废水排放量 Q/（m3 /d）；水污染物当量数 W/（无量纲）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08" w:type="dxa"/>
                  <w:vAlign w:val="center"/>
                </w:tcPr>
                <w:p>
                  <w:pPr>
                    <w:pStyle w:val="161"/>
                    <w:bidi w:val="0"/>
                  </w:pPr>
                  <w:r>
                    <w:t>一级</w:t>
                  </w:r>
                </w:p>
              </w:tc>
              <w:tc>
                <w:tcPr>
                  <w:tcW w:w="2280" w:type="dxa"/>
                  <w:vAlign w:val="center"/>
                </w:tcPr>
                <w:p>
                  <w:pPr>
                    <w:pStyle w:val="161"/>
                    <w:bidi w:val="0"/>
                  </w:pPr>
                  <w:r>
                    <w:t>直接排放</w:t>
                  </w:r>
                </w:p>
              </w:tc>
              <w:tc>
                <w:tcPr>
                  <w:tcW w:w="5618" w:type="dxa"/>
                  <w:vAlign w:val="center"/>
                </w:tcPr>
                <w:p>
                  <w:pPr>
                    <w:pStyle w:val="161"/>
                    <w:bidi w:val="0"/>
                  </w:pPr>
                  <w:r>
                    <w:t>Q≥20000 或 W≥600000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08" w:type="dxa"/>
                  <w:vAlign w:val="center"/>
                </w:tcPr>
                <w:p>
                  <w:pPr>
                    <w:pStyle w:val="161"/>
                    <w:bidi w:val="0"/>
                  </w:pPr>
                  <w:r>
                    <w:t>二级</w:t>
                  </w:r>
                </w:p>
              </w:tc>
              <w:tc>
                <w:tcPr>
                  <w:tcW w:w="2280" w:type="dxa"/>
                  <w:vAlign w:val="center"/>
                </w:tcPr>
                <w:p>
                  <w:pPr>
                    <w:pStyle w:val="161"/>
                    <w:bidi w:val="0"/>
                  </w:pPr>
                  <w:r>
                    <w:t>直接排放</w:t>
                  </w:r>
                </w:p>
              </w:tc>
              <w:tc>
                <w:tcPr>
                  <w:tcW w:w="5618" w:type="dxa"/>
                  <w:vAlign w:val="center"/>
                </w:tcPr>
                <w:p>
                  <w:pPr>
                    <w:pStyle w:val="161"/>
                    <w:bidi w:val="0"/>
                  </w:pPr>
                  <w:r>
                    <w:t>其他</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08" w:type="dxa"/>
                  <w:vAlign w:val="center"/>
                </w:tcPr>
                <w:p>
                  <w:pPr>
                    <w:pStyle w:val="161"/>
                    <w:bidi w:val="0"/>
                  </w:pPr>
                  <w:r>
                    <w:t>三级A</w:t>
                  </w:r>
                </w:p>
              </w:tc>
              <w:tc>
                <w:tcPr>
                  <w:tcW w:w="2280" w:type="dxa"/>
                  <w:vAlign w:val="center"/>
                </w:tcPr>
                <w:p>
                  <w:pPr>
                    <w:pStyle w:val="161"/>
                    <w:bidi w:val="0"/>
                  </w:pPr>
                  <w:r>
                    <w:t>直接排放</w:t>
                  </w:r>
                </w:p>
              </w:tc>
              <w:tc>
                <w:tcPr>
                  <w:tcW w:w="5618" w:type="dxa"/>
                  <w:vAlign w:val="center"/>
                </w:tcPr>
                <w:p>
                  <w:pPr>
                    <w:pStyle w:val="161"/>
                    <w:bidi w:val="0"/>
                  </w:pPr>
                  <w:r>
                    <w:t>Q＜200 且 W＜6000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08" w:type="dxa"/>
                  <w:vAlign w:val="center"/>
                </w:tcPr>
                <w:p>
                  <w:pPr>
                    <w:pStyle w:val="161"/>
                    <w:bidi w:val="0"/>
                  </w:pPr>
                  <w:r>
                    <w:t>三级B</w:t>
                  </w:r>
                </w:p>
              </w:tc>
              <w:tc>
                <w:tcPr>
                  <w:tcW w:w="2280" w:type="dxa"/>
                  <w:vAlign w:val="center"/>
                </w:tcPr>
                <w:p>
                  <w:pPr>
                    <w:pStyle w:val="161"/>
                    <w:bidi w:val="0"/>
                  </w:pPr>
                  <w:r>
                    <w:t>间接排放</w:t>
                  </w:r>
                </w:p>
              </w:tc>
              <w:tc>
                <w:tcPr>
                  <w:tcW w:w="5618" w:type="dxa"/>
                  <w:vAlign w:val="center"/>
                </w:tcPr>
                <w:p>
                  <w:pPr>
                    <w:pStyle w:val="161"/>
                    <w:bidi w:val="0"/>
                  </w:pPr>
                  <w:r>
                    <w:t>-</w:t>
                  </w:r>
                </w:p>
              </w:tc>
            </w:tr>
          </w:tbl>
          <w:p>
            <w:pPr>
              <w:spacing w:line="360" w:lineRule="auto"/>
              <w:ind w:firstLine="482" w:firstLineChars="200"/>
              <w:jc w:val="left"/>
              <w:rPr>
                <w:rFonts w:eastAsiaTheme="minorEastAsia"/>
                <w:color w:val="auto"/>
                <w:sz w:val="24"/>
              </w:rPr>
            </w:pPr>
            <w:r>
              <w:rPr>
                <w:rFonts w:eastAsiaTheme="minorEastAsia"/>
                <w:b/>
                <w:color w:val="auto"/>
                <w:sz w:val="24"/>
              </w:rPr>
              <w:t>3、声环境影响分析</w:t>
            </w:r>
          </w:p>
          <w:p>
            <w:pPr>
              <w:pStyle w:val="97"/>
              <w:bidi w:val="0"/>
              <w:rPr>
                <w:rFonts w:cs="宋体"/>
                <w:sz w:val="24"/>
                <w:szCs w:val="20"/>
              </w:rPr>
            </w:pPr>
            <w:r>
              <w:rPr>
                <w:rFonts w:hint="eastAsia"/>
                <w:lang w:eastAsia="zh-CN"/>
              </w:rPr>
              <w:t>本项目建成后主要噪声污染源为加气机、空压机、潜液泵、车辆进出形式噪声、人员活动噪声等，各类噪声声级约在</w:t>
            </w:r>
            <w:r>
              <w:rPr>
                <w:rFonts w:hint="eastAsia"/>
                <w:lang w:val="en-US" w:eastAsia="zh-CN"/>
              </w:rPr>
              <w:t>70~80db(A)之间。</w:t>
            </w:r>
          </w:p>
          <w:p>
            <w:pPr>
              <w:spacing w:line="360" w:lineRule="auto"/>
              <w:ind w:firstLine="464" w:firstLineChars="200"/>
              <w:rPr>
                <w:rFonts w:cs="宋体"/>
                <w:spacing w:val="-4"/>
                <w:sz w:val="28"/>
                <w:szCs w:val="28"/>
              </w:rPr>
            </w:pPr>
            <w:r>
              <w:rPr>
                <w:rFonts w:cs="宋体"/>
                <w:spacing w:val="-4"/>
                <w:sz w:val="24"/>
              </w:rPr>
              <w:t>根据拟建项目设备声源特征和声学环境的特点，视设备声源为点源，依据HJ2.4-</w:t>
            </w:r>
            <w:r>
              <w:rPr>
                <w:rFonts w:hint="eastAsia" w:cs="宋体"/>
                <w:spacing w:val="-4"/>
                <w:sz w:val="24"/>
              </w:rPr>
              <w:t>2009</w:t>
            </w:r>
            <w:r>
              <w:rPr>
                <w:rFonts w:cs="宋体"/>
                <w:spacing w:val="-4"/>
                <w:sz w:val="24"/>
              </w:rPr>
              <w:t>《环境影响评价技术导则—声环境》，</w:t>
            </w:r>
            <w:r>
              <w:rPr>
                <w:rFonts w:hint="eastAsia" w:cs="宋体"/>
                <w:spacing w:val="-4"/>
                <w:sz w:val="24"/>
                <w:lang w:eastAsia="zh-CN"/>
              </w:rPr>
              <w:t>项目噪声预测采用点声源衰减模式，仅考虑距离衰减值、厂界围墙屏障等因素，其噪声预测公式为</w:t>
            </w:r>
            <w:r>
              <w:rPr>
                <w:rFonts w:cs="宋体"/>
                <w:spacing w:val="-4"/>
                <w:sz w:val="24"/>
              </w:rPr>
              <w:t>。</w:t>
            </w:r>
          </w:p>
          <w:p>
            <w:pPr>
              <w:spacing w:line="360" w:lineRule="auto"/>
              <w:ind w:firstLine="480" w:firstLineChars="200"/>
              <w:rPr>
                <w:rFonts w:cs="宋体"/>
                <w:sz w:val="24"/>
                <w:szCs w:val="20"/>
              </w:rPr>
            </w:pPr>
            <w:r>
              <w:rPr>
                <w:rFonts w:cs="宋体"/>
                <w:sz w:val="24"/>
                <w:szCs w:val="20"/>
              </w:rPr>
              <w:t>点声源预测模式</w:t>
            </w:r>
          </w:p>
          <w:p>
            <w:pPr>
              <w:widowControl/>
              <w:tabs>
                <w:tab w:val="left" w:pos="-160"/>
              </w:tabs>
              <w:spacing w:line="360" w:lineRule="auto"/>
              <w:ind w:firstLine="2040" w:firstLineChars="850"/>
              <w:jc w:val="left"/>
              <w:rPr>
                <w:rFonts w:hint="default" w:eastAsia="宋体"/>
                <w:kern w:val="24"/>
                <w:sz w:val="24"/>
                <w:szCs w:val="20"/>
                <w:vertAlign w:val="baseline"/>
                <w:lang w:val="en-US" w:eastAsia="zh-CN"/>
              </w:rPr>
            </w:pPr>
            <w:r>
              <w:rPr>
                <w:kern w:val="24"/>
                <w:sz w:val="24"/>
                <w:szCs w:val="20"/>
              </w:rPr>
              <w:t>LA（r）=L</w:t>
            </w:r>
            <w:r>
              <w:rPr>
                <w:kern w:val="24"/>
                <w:sz w:val="24"/>
                <w:szCs w:val="20"/>
                <w:vertAlign w:val="subscript"/>
              </w:rPr>
              <w:t>A</w:t>
            </w:r>
            <w:r>
              <w:rPr>
                <w:rFonts w:hint="eastAsia"/>
                <w:kern w:val="24"/>
                <w:sz w:val="24"/>
                <w:szCs w:val="20"/>
                <w:vertAlign w:val="baseline"/>
                <w:lang w:eastAsia="zh-CN"/>
              </w:rPr>
              <w:t>（</w:t>
            </w:r>
            <w:r>
              <w:rPr>
                <w:rFonts w:hint="eastAsia"/>
                <w:kern w:val="24"/>
                <w:sz w:val="24"/>
                <w:szCs w:val="20"/>
                <w:vertAlign w:val="baseline"/>
                <w:lang w:val="en-US" w:eastAsia="zh-CN"/>
              </w:rPr>
              <w:t>r</w:t>
            </w:r>
            <w:r>
              <w:rPr>
                <w:rFonts w:hint="eastAsia"/>
                <w:kern w:val="24"/>
                <w:sz w:val="24"/>
                <w:szCs w:val="20"/>
                <w:vertAlign w:val="subscript"/>
                <w:lang w:val="en-US" w:eastAsia="zh-CN"/>
              </w:rPr>
              <w:t>0</w:t>
            </w:r>
            <w:r>
              <w:rPr>
                <w:rFonts w:hint="eastAsia"/>
                <w:kern w:val="24"/>
                <w:sz w:val="24"/>
                <w:szCs w:val="20"/>
                <w:vertAlign w:val="baseline"/>
                <w:lang w:val="en-US" w:eastAsia="zh-CN"/>
              </w:rPr>
              <w:t>）</w:t>
            </w:r>
            <w:r>
              <w:rPr>
                <w:kern w:val="24"/>
                <w:sz w:val="24"/>
                <w:szCs w:val="20"/>
              </w:rPr>
              <w:t>-20lg</w:t>
            </w:r>
            <w:r>
              <w:rPr>
                <w:rFonts w:hint="default" w:ascii="Times New Roman" w:hAnsi="Times New Roman" w:cs="Times New Roman"/>
                <w:kern w:val="24"/>
                <w:sz w:val="24"/>
                <w:szCs w:val="20"/>
              </w:rPr>
              <w:t>（</w:t>
            </w:r>
            <w:r>
              <w:rPr>
                <w:kern w:val="24"/>
                <w:sz w:val="24"/>
                <w:szCs w:val="20"/>
              </w:rPr>
              <w:t>r</w:t>
            </w:r>
            <w:r>
              <w:rPr>
                <w:rFonts w:hint="eastAsia"/>
                <w:kern w:val="24"/>
                <w:sz w:val="24"/>
                <w:szCs w:val="20"/>
                <w:lang w:val="en-US" w:eastAsia="zh-CN"/>
              </w:rPr>
              <w:t>/r</w:t>
            </w:r>
            <w:r>
              <w:rPr>
                <w:rFonts w:hint="eastAsia"/>
                <w:kern w:val="24"/>
                <w:sz w:val="24"/>
                <w:szCs w:val="20"/>
                <w:vertAlign w:val="subscript"/>
                <w:lang w:val="en-US" w:eastAsia="zh-CN"/>
              </w:rPr>
              <w:t>0</w:t>
            </w:r>
            <w:r>
              <w:rPr>
                <w:rFonts w:hint="eastAsia"/>
                <w:kern w:val="24"/>
                <w:sz w:val="24"/>
                <w:szCs w:val="20"/>
                <w:vertAlign w:val="baseline"/>
                <w:lang w:val="en-US" w:eastAsia="zh-CN"/>
              </w:rPr>
              <w:t>）</w:t>
            </w:r>
          </w:p>
          <w:p>
            <w:pPr>
              <w:widowControl/>
              <w:tabs>
                <w:tab w:val="left" w:pos="-160"/>
              </w:tabs>
              <w:spacing w:line="360" w:lineRule="auto"/>
              <w:ind w:firstLine="1320" w:firstLineChars="550"/>
              <w:jc w:val="left"/>
              <w:rPr>
                <w:kern w:val="24"/>
                <w:sz w:val="24"/>
                <w:szCs w:val="20"/>
              </w:rPr>
            </w:pPr>
            <w:r>
              <w:rPr>
                <w:kern w:val="24"/>
                <w:sz w:val="24"/>
                <w:szCs w:val="20"/>
              </w:rPr>
              <w:t>式中：</w:t>
            </w:r>
            <w:r>
              <w:rPr>
                <w:rFonts w:hint="eastAsia"/>
                <w:kern w:val="24"/>
                <w:sz w:val="24"/>
                <w:szCs w:val="20"/>
                <w:lang w:val="en-US" w:eastAsia="zh-CN"/>
              </w:rPr>
              <w:t>L</w:t>
            </w:r>
            <w:r>
              <w:rPr>
                <w:kern w:val="24"/>
                <w:sz w:val="24"/>
                <w:szCs w:val="20"/>
              </w:rPr>
              <w:t>A(r)——距噪声源r处预测点的A声级（dB(A)）；</w:t>
            </w:r>
          </w:p>
          <w:p>
            <w:pPr>
              <w:widowControl/>
              <w:tabs>
                <w:tab w:val="left" w:pos="-160"/>
              </w:tabs>
              <w:spacing w:line="360" w:lineRule="auto"/>
              <w:ind w:firstLine="2040" w:firstLineChars="850"/>
              <w:jc w:val="left"/>
              <w:rPr>
                <w:kern w:val="24"/>
                <w:sz w:val="24"/>
                <w:szCs w:val="20"/>
              </w:rPr>
            </w:pPr>
            <w:r>
              <w:rPr>
                <w:rFonts w:hint="eastAsia"/>
                <w:kern w:val="24"/>
                <w:sz w:val="24"/>
                <w:szCs w:val="20"/>
              </w:rPr>
              <w:t xml:space="preserve">L </w:t>
            </w:r>
            <w:r>
              <w:rPr>
                <w:rFonts w:hint="eastAsia"/>
                <w:kern w:val="24"/>
                <w:sz w:val="24"/>
                <w:szCs w:val="20"/>
                <w:vertAlign w:val="subscript"/>
              </w:rPr>
              <w:t>A(r0)</w:t>
            </w:r>
            <w:r>
              <w:rPr>
                <w:kern w:val="24"/>
                <w:sz w:val="24"/>
                <w:szCs w:val="20"/>
                <w:vertAlign w:val="subscript"/>
              </w:rPr>
              <w:t xml:space="preserve"> </w:t>
            </w:r>
            <w:r>
              <w:rPr>
                <w:kern w:val="24"/>
                <w:sz w:val="24"/>
                <w:szCs w:val="20"/>
              </w:rPr>
              <w:t>——</w:t>
            </w:r>
            <w:r>
              <w:rPr>
                <w:rFonts w:hint="eastAsia"/>
                <w:kern w:val="24"/>
                <w:sz w:val="24"/>
                <w:szCs w:val="20"/>
              </w:rPr>
              <w:t>距声源r</w:t>
            </w:r>
            <w:r>
              <w:rPr>
                <w:rFonts w:hint="eastAsia"/>
                <w:kern w:val="24"/>
                <w:sz w:val="24"/>
                <w:szCs w:val="20"/>
                <w:vertAlign w:val="subscript"/>
              </w:rPr>
              <w:t>0</w:t>
            </w:r>
            <w:r>
              <w:rPr>
                <w:rFonts w:hint="eastAsia"/>
                <w:kern w:val="24"/>
                <w:sz w:val="24"/>
                <w:szCs w:val="20"/>
              </w:rPr>
              <w:t>米处的声级值，dB(A)</w:t>
            </w:r>
            <w:r>
              <w:rPr>
                <w:kern w:val="24"/>
                <w:sz w:val="24"/>
                <w:szCs w:val="20"/>
              </w:rPr>
              <w:t>；</w:t>
            </w:r>
          </w:p>
          <w:p>
            <w:pPr>
              <w:pStyle w:val="28"/>
              <w:ind w:firstLine="1980" w:firstLineChars="825"/>
              <w:rPr>
                <w:rFonts w:hint="eastAsia" w:eastAsia="宋体"/>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1520825</wp:posOffset>
                      </wp:positionH>
                      <wp:positionV relativeFrom="paragraph">
                        <wp:posOffset>135890</wp:posOffset>
                      </wp:positionV>
                      <wp:extent cx="361950" cy="0"/>
                      <wp:effectExtent l="0" t="0" r="0" b="0"/>
                      <wp:wrapNone/>
                      <wp:docPr id="4" name="直接连接符 4"/>
                      <wp:cNvGraphicFramePr/>
                      <a:graphic xmlns:a="http://schemas.openxmlformats.org/drawingml/2006/main">
                        <a:graphicData uri="http://schemas.microsoft.com/office/word/2010/wordprocessingShape">
                          <wps:wsp>
                            <wps:cNvCnPr/>
                            <wps:spPr>
                              <a:xfrm>
                                <a:off x="2335530" y="8515350"/>
                                <a:ext cx="361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9.75pt;margin-top:10.7pt;height:0pt;width:28.5pt;z-index:251661312;mso-width-relative:page;mso-height-relative:page;" filled="f" stroked="t" coordsize="21600,21600" o:gfxdata="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FrR+K1gAAAAkBAAAPAAAAAAAAAAEAIAAAACIAAABkcnMvZG93&#10;bnJldi54bWxQSwECFAAUAAAACACHTuJAE8M0PckBAABXAwAADgAAAAAAAAABACAAAAAlAQAAZHJz&#10;L2Uyb0RvYy54bWxQSwUGAAAAAAYABgBZAQAAYAUAAAAA&#10;">
                      <v:fill on="f" focussize="0,0"/>
                      <v:stroke color="#000000 [3213]" joinstyle="round"/>
                      <v:imagedata o:title=""/>
                      <o:lock v:ext="edit" aspectratio="f"/>
                    </v:line>
                  </w:pict>
                </mc:Fallback>
              </mc:AlternateContent>
            </w:r>
            <w:r>
              <w:rPr>
                <w:rFonts w:hint="eastAsia"/>
                <w:kern w:val="24"/>
                <w:sz w:val="24"/>
                <w:szCs w:val="20"/>
                <w:lang w:val="en-US" w:eastAsia="zh-CN"/>
              </w:rPr>
              <w:t xml:space="preserve"> r       </w:t>
            </w:r>
            <w:r>
              <w:rPr>
                <w:rFonts w:hint="eastAsia"/>
                <w:kern w:val="24"/>
                <w:sz w:val="24"/>
                <w:szCs w:val="20"/>
                <w:lang w:eastAsia="zh-CN"/>
              </w:rPr>
              <w:t>预测点</w:t>
            </w:r>
            <w:r>
              <w:rPr>
                <w:rFonts w:hint="eastAsia"/>
              </w:rPr>
              <w:t>距声源的距离，m</w:t>
            </w:r>
            <w:r>
              <w:rPr>
                <w:rFonts w:hint="eastAsia"/>
                <w:lang w:eastAsia="zh-CN"/>
              </w:rPr>
              <w:t>；</w:t>
            </w:r>
          </w:p>
          <w:p>
            <w:pPr>
              <w:widowControl/>
              <w:spacing w:line="360" w:lineRule="auto"/>
              <w:ind w:firstLine="2040" w:firstLineChars="850"/>
              <w:jc w:val="left"/>
              <w:rPr>
                <w:rFonts w:hint="default" w:eastAsia="宋体"/>
                <w:kern w:val="24"/>
                <w:sz w:val="24"/>
                <w:szCs w:val="20"/>
                <w:vertAlign w:val="baseline"/>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1501775</wp:posOffset>
                      </wp:positionH>
                      <wp:positionV relativeFrom="paragraph">
                        <wp:posOffset>156845</wp:posOffset>
                      </wp:positionV>
                      <wp:extent cx="381000" cy="0"/>
                      <wp:effectExtent l="0" t="0" r="0" b="0"/>
                      <wp:wrapNone/>
                      <wp:docPr id="5" name="直接连接符 5"/>
                      <wp:cNvGraphicFramePr/>
                      <a:graphic xmlns:a="http://schemas.openxmlformats.org/drawingml/2006/main">
                        <a:graphicData uri="http://schemas.microsoft.com/office/word/2010/wordprocessingShape">
                          <wps:wsp>
                            <wps:cNvCnPr/>
                            <wps:spPr>
                              <a:xfrm>
                                <a:off x="2402205" y="8810625"/>
                                <a:ext cx="381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8.25pt;margin-top:12.35pt;height:0pt;width:30pt;z-index:251662336;mso-width-relative:page;mso-height-relative:page;" filled="f" stroked="t" coordsize="21600,21600" o:gfxdata="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xFZkjWAAAACQEAAA8AAAAAAAAAAQAgAAAAIgAAAGRycy9kb3du&#10;cmV2LnhtbFBLAQIUABQAAAAIAIdO4kDwXsBmyAEAAFcDAAAOAAAAAAAAAAEAIAAAACUBAABkcnMv&#10;ZTJvRG9jLnhtbFBLBQYAAAAABgAGAFkBAABfBQAAAAA=&#10;">
                      <v:fill on="f" focussize="0,0"/>
                      <v:stroke color="#000000 [3213]" joinstyle="round"/>
                      <v:imagedata o:title=""/>
                      <o:lock v:ext="edit" aspectratio="f"/>
                    </v:line>
                  </w:pict>
                </mc:Fallback>
              </mc:AlternateContent>
            </w:r>
            <w:r>
              <w:rPr>
                <w:rFonts w:hint="eastAsia"/>
                <w:kern w:val="24"/>
                <w:sz w:val="24"/>
                <w:szCs w:val="20"/>
                <w:lang w:val="en-US" w:eastAsia="zh-CN"/>
              </w:rPr>
              <w:t>r</w:t>
            </w:r>
            <w:r>
              <w:rPr>
                <w:rFonts w:hint="eastAsia"/>
                <w:kern w:val="24"/>
                <w:sz w:val="24"/>
                <w:szCs w:val="20"/>
                <w:vertAlign w:val="subscript"/>
                <w:lang w:val="en-US" w:eastAsia="zh-CN"/>
              </w:rPr>
              <w:t xml:space="preserve">0           </w:t>
            </w:r>
            <w:r>
              <w:rPr>
                <w:rFonts w:hint="eastAsia"/>
                <w:kern w:val="24"/>
                <w:sz w:val="24"/>
                <w:szCs w:val="20"/>
                <w:vertAlign w:val="baseline"/>
                <w:lang w:val="en-US" w:eastAsia="zh-CN"/>
              </w:rPr>
              <w:t>源强外1m处；</w:t>
            </w:r>
          </w:p>
          <w:p>
            <w:pPr>
              <w:spacing w:line="360" w:lineRule="auto"/>
              <w:ind w:firstLine="480" w:firstLineChars="200"/>
              <w:rPr>
                <w:rFonts w:cs="宋体"/>
                <w:spacing w:val="-4"/>
                <w:sz w:val="24"/>
                <w:szCs w:val="20"/>
              </w:rPr>
            </w:pPr>
            <w:r>
              <w:rPr>
                <w:rFonts w:cs="宋体"/>
                <w:sz w:val="24"/>
                <w:szCs w:val="20"/>
              </w:rPr>
              <w:t>多声源叠加</w:t>
            </w:r>
            <w:r>
              <w:rPr>
                <w:rFonts w:cs="宋体"/>
                <w:spacing w:val="-4"/>
                <w:sz w:val="24"/>
                <w:szCs w:val="20"/>
              </w:rPr>
              <w:t>模式</w:t>
            </w:r>
          </w:p>
          <w:p>
            <w:pPr>
              <w:widowControl/>
              <w:spacing w:line="360" w:lineRule="auto"/>
              <w:ind w:firstLine="2640" w:firstLineChars="1100"/>
              <w:jc w:val="left"/>
              <w:rPr>
                <w:kern w:val="0"/>
                <w:sz w:val="24"/>
                <w:szCs w:val="20"/>
              </w:rPr>
            </w:pPr>
            <w:r>
              <w:rPr>
                <w:kern w:val="0"/>
                <w:position w:val="-28"/>
                <w:sz w:val="24"/>
                <w:szCs w:val="20"/>
              </w:rPr>
              <w:object>
                <v:shape id="_x0000_i1032" o:spt="75" type="#_x0000_t75" style="height:38.25pt;width:102.75pt;" o:ole="t" fillcolor="#C7EDCC" filled="f" o:preferrelative="t" stroked="f" coordsize="21600,21600">
                  <v:path/>
                  <v:fill on="f" focussize="0,0"/>
                  <v:stroke on="f" joinstyle="miter"/>
                  <v:imagedata r:id="rId28" o:title=""/>
                  <o:lock v:ext="edit" aspectratio="t"/>
                  <w10:wrap type="none"/>
                  <w10:anchorlock/>
                </v:shape>
                <o:OLEObject Type="Embed" ProgID="Equation.3" ShapeID="_x0000_i1032" DrawAspect="Content" ObjectID="_1468075732" r:id="rId27">
                  <o:LockedField>false</o:LockedField>
                </o:OLEObject>
              </w:object>
            </w:r>
            <w:r>
              <w:rPr>
                <w:kern w:val="0"/>
                <w:sz w:val="24"/>
                <w:szCs w:val="20"/>
              </w:rPr>
              <w:t xml:space="preserve">   </w:t>
            </w:r>
          </w:p>
          <w:p>
            <w:pPr>
              <w:widowControl/>
              <w:spacing w:line="360" w:lineRule="auto"/>
              <w:ind w:firstLine="200"/>
              <w:jc w:val="left"/>
              <w:rPr>
                <w:kern w:val="0"/>
                <w:sz w:val="24"/>
                <w:szCs w:val="20"/>
              </w:rPr>
            </w:pPr>
            <w:r>
              <w:rPr>
                <w:kern w:val="0"/>
                <w:sz w:val="24"/>
                <w:szCs w:val="20"/>
              </w:rPr>
              <w:t xml:space="preserve">          式中:  L</w:t>
            </w:r>
            <w:r>
              <w:rPr>
                <w:kern w:val="0"/>
                <w:sz w:val="24"/>
                <w:szCs w:val="20"/>
                <w:vertAlign w:val="subscript"/>
              </w:rPr>
              <w:t>0</w:t>
            </w:r>
            <w:r>
              <w:rPr>
                <w:kern w:val="24"/>
                <w:sz w:val="24"/>
                <w:szCs w:val="20"/>
              </w:rPr>
              <w:t>——</w:t>
            </w:r>
            <w:r>
              <w:rPr>
                <w:kern w:val="0"/>
                <w:sz w:val="24"/>
                <w:szCs w:val="20"/>
              </w:rPr>
              <w:t>叠加后总声压级，dB；</w:t>
            </w:r>
          </w:p>
          <w:p>
            <w:pPr>
              <w:widowControl/>
              <w:spacing w:line="360" w:lineRule="auto"/>
              <w:ind w:firstLine="200"/>
              <w:jc w:val="left"/>
              <w:rPr>
                <w:kern w:val="0"/>
                <w:sz w:val="24"/>
                <w:szCs w:val="20"/>
              </w:rPr>
            </w:pPr>
            <w:r>
              <w:rPr>
                <w:kern w:val="0"/>
                <w:sz w:val="24"/>
                <w:szCs w:val="20"/>
              </w:rPr>
              <w:t xml:space="preserve">                 n</w:t>
            </w:r>
            <w:r>
              <w:rPr>
                <w:kern w:val="24"/>
                <w:sz w:val="24"/>
                <w:szCs w:val="20"/>
              </w:rPr>
              <w:t>——</w:t>
            </w:r>
            <w:r>
              <w:rPr>
                <w:kern w:val="0"/>
                <w:sz w:val="24"/>
                <w:szCs w:val="20"/>
              </w:rPr>
              <w:t xml:space="preserve"> 声源级数；</w:t>
            </w:r>
          </w:p>
          <w:p>
            <w:pPr>
              <w:spacing w:line="360" w:lineRule="auto"/>
              <w:ind w:firstLine="480" w:firstLineChars="200"/>
              <w:rPr>
                <w:rFonts w:cs="宋体"/>
                <w:sz w:val="24"/>
                <w:szCs w:val="20"/>
              </w:rPr>
            </w:pPr>
            <w:r>
              <w:rPr>
                <w:rFonts w:cs="宋体"/>
                <w:sz w:val="24"/>
                <w:szCs w:val="20"/>
              </w:rPr>
              <w:t xml:space="preserve">           </w:t>
            </w:r>
            <w:r>
              <w:rPr>
                <w:rFonts w:hint="eastAsia" w:cs="宋体"/>
                <w:sz w:val="24"/>
                <w:szCs w:val="20"/>
                <w:lang w:val="en-US" w:eastAsia="zh-CN"/>
              </w:rPr>
              <w:t xml:space="preserve">  </w:t>
            </w:r>
            <w:r>
              <w:rPr>
                <w:rFonts w:cs="宋体"/>
                <w:sz w:val="24"/>
                <w:szCs w:val="20"/>
              </w:rPr>
              <w:t xml:space="preserve"> Li ——各声源对某点的声压值，dB。</w:t>
            </w:r>
          </w:p>
          <w:p>
            <w:pPr>
              <w:pStyle w:val="97"/>
              <w:bidi w:val="0"/>
              <w:rPr>
                <w:rFonts w:hint="eastAsia"/>
              </w:rPr>
            </w:pPr>
            <w:r>
              <w:rPr>
                <w:rFonts w:hint="eastAsia"/>
              </w:rPr>
              <w:t xml:space="preserve">项目营运期各噪声源噪声贡献预测结果见表 </w:t>
            </w:r>
            <w:r>
              <w:rPr>
                <w:rFonts w:hint="eastAsia"/>
                <w:color w:val="000000" w:themeColor="text1"/>
                <w14:textFill>
                  <w14:solidFill>
                    <w14:schemeClr w14:val="tx1"/>
                  </w14:solidFill>
                </w14:textFill>
              </w:rPr>
              <w:t>7-</w:t>
            </w:r>
            <w:r>
              <w:rPr>
                <w:rFonts w:hint="eastAsia"/>
                <w:color w:val="000000" w:themeColor="text1"/>
                <w:lang w:val="en-US" w:eastAsia="zh-CN"/>
                <w14:textFill>
                  <w14:solidFill>
                    <w14:schemeClr w14:val="tx1"/>
                  </w14:solidFill>
                </w14:textFill>
              </w:rPr>
              <w:t>10</w:t>
            </w:r>
            <w:r>
              <w:rPr>
                <w:rFonts w:hint="eastAsia"/>
              </w:rPr>
              <w:t>。</w:t>
            </w:r>
          </w:p>
          <w:p>
            <w:pPr>
              <w:widowControl/>
              <w:jc w:val="center"/>
              <w:rPr>
                <w:b/>
              </w:rPr>
            </w:pPr>
            <w:r>
              <w:rPr>
                <w:rFonts w:hint="eastAsia"/>
                <w:b/>
              </w:rPr>
              <w:t>表7-</w:t>
            </w:r>
            <w:r>
              <w:rPr>
                <w:rFonts w:hint="eastAsia"/>
                <w:b/>
                <w:lang w:val="en-US" w:eastAsia="zh-CN"/>
              </w:rPr>
              <w:t>10</w:t>
            </w:r>
            <w:r>
              <w:rPr>
                <w:rFonts w:hint="eastAsia"/>
                <w:b/>
              </w:rPr>
              <w:t xml:space="preserve">  厂界噪声预测结果     单位:dB(A)</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 w:type="dxa"/>
                <w:bottom w:w="0" w:type="dxa"/>
                <w:right w:w="11" w:type="dxa"/>
              </w:tblCellMar>
            </w:tblPr>
            <w:tblGrid>
              <w:gridCol w:w="496"/>
              <w:gridCol w:w="1267"/>
              <w:gridCol w:w="1270"/>
              <w:gridCol w:w="1925"/>
              <w:gridCol w:w="1240"/>
              <w:gridCol w:w="959"/>
              <w:gridCol w:w="959"/>
              <w:gridCol w:w="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3" w:hRule="atLeast"/>
                <w:jc w:val="center"/>
              </w:trPr>
              <w:tc>
                <w:tcPr>
                  <w:tcW w:w="274" w:type="pct"/>
                  <w:vMerge w:val="restart"/>
                  <w:vAlign w:val="center"/>
                </w:tcPr>
                <w:p>
                  <w:pPr>
                    <w:pStyle w:val="161"/>
                    <w:bidi w:val="0"/>
                  </w:pPr>
                  <w:r>
                    <w:t>序号</w:t>
                  </w:r>
                </w:p>
              </w:tc>
              <w:tc>
                <w:tcPr>
                  <w:tcW w:w="699" w:type="pct"/>
                  <w:vMerge w:val="restart"/>
                  <w:vAlign w:val="center"/>
                </w:tcPr>
                <w:p>
                  <w:pPr>
                    <w:pStyle w:val="161"/>
                    <w:bidi w:val="0"/>
                  </w:pPr>
                  <w:r>
                    <w:t>噪声源</w:t>
                  </w:r>
                </w:p>
              </w:tc>
              <w:tc>
                <w:tcPr>
                  <w:tcW w:w="700" w:type="pct"/>
                  <w:vMerge w:val="restart"/>
                  <w:vAlign w:val="center"/>
                </w:tcPr>
                <w:p>
                  <w:pPr>
                    <w:pStyle w:val="161"/>
                    <w:bidi w:val="0"/>
                  </w:pPr>
                  <w:r>
                    <w:t>噪声性质</w:t>
                  </w:r>
                </w:p>
              </w:tc>
              <w:tc>
                <w:tcPr>
                  <w:tcW w:w="1061" w:type="pct"/>
                  <w:vMerge w:val="restart"/>
                  <w:vAlign w:val="center"/>
                </w:tcPr>
                <w:p>
                  <w:pPr>
                    <w:pStyle w:val="161"/>
                    <w:bidi w:val="0"/>
                  </w:pPr>
                  <w:r>
                    <w:t>采取措施后源强dB(A)</w:t>
                  </w:r>
                </w:p>
              </w:tc>
              <w:tc>
                <w:tcPr>
                  <w:tcW w:w="2263" w:type="pct"/>
                  <w:gridSpan w:val="4"/>
                  <w:vAlign w:val="center"/>
                </w:tcPr>
                <w:p>
                  <w:pPr>
                    <w:pStyle w:val="161"/>
                    <w:bidi w:val="0"/>
                  </w:pPr>
                  <w:r>
                    <w:t>距离厂界的距离(m)及声级dB(A)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6" w:hRule="atLeast"/>
                <w:jc w:val="center"/>
              </w:trPr>
              <w:tc>
                <w:tcPr>
                  <w:tcW w:w="274" w:type="pct"/>
                  <w:vMerge w:val="continue"/>
                  <w:vAlign w:val="center"/>
                </w:tcPr>
                <w:p>
                  <w:pPr>
                    <w:pStyle w:val="161"/>
                    <w:bidi w:val="0"/>
                  </w:pPr>
                </w:p>
              </w:tc>
              <w:tc>
                <w:tcPr>
                  <w:tcW w:w="699" w:type="pct"/>
                  <w:vMerge w:val="continue"/>
                  <w:vAlign w:val="center"/>
                </w:tcPr>
                <w:p>
                  <w:pPr>
                    <w:pStyle w:val="161"/>
                    <w:bidi w:val="0"/>
                  </w:pPr>
                </w:p>
              </w:tc>
              <w:tc>
                <w:tcPr>
                  <w:tcW w:w="700" w:type="pct"/>
                  <w:vMerge w:val="continue"/>
                  <w:vAlign w:val="center"/>
                </w:tcPr>
                <w:p>
                  <w:pPr>
                    <w:pStyle w:val="161"/>
                    <w:bidi w:val="0"/>
                  </w:pPr>
                </w:p>
              </w:tc>
              <w:tc>
                <w:tcPr>
                  <w:tcW w:w="1061" w:type="pct"/>
                  <w:vMerge w:val="continue"/>
                  <w:vAlign w:val="center"/>
                </w:tcPr>
                <w:p>
                  <w:pPr>
                    <w:pStyle w:val="161"/>
                    <w:bidi w:val="0"/>
                  </w:pPr>
                </w:p>
              </w:tc>
              <w:tc>
                <w:tcPr>
                  <w:tcW w:w="684" w:type="pct"/>
                  <w:vAlign w:val="center"/>
                </w:tcPr>
                <w:p>
                  <w:pPr>
                    <w:pStyle w:val="161"/>
                    <w:bidi w:val="0"/>
                  </w:pPr>
                  <w:r>
                    <w:t>东</w:t>
                  </w:r>
                </w:p>
              </w:tc>
              <w:tc>
                <w:tcPr>
                  <w:tcW w:w="529" w:type="pct"/>
                  <w:vAlign w:val="center"/>
                </w:tcPr>
                <w:p>
                  <w:pPr>
                    <w:pStyle w:val="161"/>
                    <w:bidi w:val="0"/>
                  </w:pPr>
                  <w:r>
                    <w:t>南</w:t>
                  </w:r>
                </w:p>
              </w:tc>
              <w:tc>
                <w:tcPr>
                  <w:tcW w:w="529" w:type="pct"/>
                  <w:vAlign w:val="center"/>
                </w:tcPr>
                <w:p>
                  <w:pPr>
                    <w:pStyle w:val="161"/>
                    <w:bidi w:val="0"/>
                  </w:pPr>
                  <w:r>
                    <w:t>西</w:t>
                  </w:r>
                </w:p>
              </w:tc>
              <w:tc>
                <w:tcPr>
                  <w:tcW w:w="520" w:type="pct"/>
                  <w:vAlign w:val="center"/>
                </w:tcPr>
                <w:p>
                  <w:pPr>
                    <w:pStyle w:val="161"/>
                    <w:bidi w:val="0"/>
                  </w:pPr>
                  <w:r>
                    <w:t>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50" w:hRule="atLeast"/>
                <w:jc w:val="center"/>
              </w:trPr>
              <w:tc>
                <w:tcPr>
                  <w:tcW w:w="274" w:type="pct"/>
                  <w:vMerge w:val="restart"/>
                  <w:vAlign w:val="center"/>
                </w:tcPr>
                <w:p>
                  <w:pPr>
                    <w:pStyle w:val="161"/>
                    <w:bidi w:val="0"/>
                  </w:pPr>
                  <w:r>
                    <w:t>1</w:t>
                  </w:r>
                </w:p>
              </w:tc>
              <w:tc>
                <w:tcPr>
                  <w:tcW w:w="699" w:type="pct"/>
                  <w:vMerge w:val="restart"/>
                  <w:vAlign w:val="center"/>
                </w:tcPr>
                <w:p>
                  <w:pPr>
                    <w:pStyle w:val="161"/>
                    <w:bidi w:val="0"/>
                    <w:rPr>
                      <w:rFonts w:hint="eastAsia"/>
                      <w:lang w:eastAsia="zh-CN"/>
                    </w:rPr>
                  </w:pPr>
                  <w:r>
                    <w:rPr>
                      <w:rFonts w:hint="eastAsia"/>
                      <w:lang w:eastAsia="zh-CN"/>
                    </w:rPr>
                    <w:t>空压机</w:t>
                  </w:r>
                </w:p>
              </w:tc>
              <w:tc>
                <w:tcPr>
                  <w:tcW w:w="700" w:type="pct"/>
                  <w:vMerge w:val="restart"/>
                  <w:vAlign w:val="center"/>
                </w:tcPr>
                <w:p>
                  <w:pPr>
                    <w:pStyle w:val="161"/>
                    <w:bidi w:val="0"/>
                    <w:rPr>
                      <w:rFonts w:hint="eastAsia"/>
                      <w:lang w:eastAsia="zh-CN"/>
                    </w:rPr>
                  </w:pPr>
                  <w:r>
                    <w:rPr>
                      <w:rFonts w:hint="eastAsia"/>
                      <w:lang w:eastAsia="zh-CN"/>
                    </w:rPr>
                    <w:t>间歇</w:t>
                  </w:r>
                </w:p>
              </w:tc>
              <w:tc>
                <w:tcPr>
                  <w:tcW w:w="1061" w:type="pct"/>
                  <w:vMerge w:val="restart"/>
                  <w:vAlign w:val="center"/>
                </w:tcPr>
                <w:p>
                  <w:pPr>
                    <w:pStyle w:val="161"/>
                    <w:bidi w:val="0"/>
                    <w:rPr>
                      <w:rFonts w:hint="default"/>
                      <w:lang w:val="en-US" w:eastAsia="zh-CN"/>
                    </w:rPr>
                  </w:pPr>
                  <w:r>
                    <w:rPr>
                      <w:rFonts w:hint="eastAsia"/>
                      <w:lang w:val="en-US" w:eastAsia="zh-CN"/>
                    </w:rPr>
                    <w:t>70</w:t>
                  </w:r>
                </w:p>
              </w:tc>
              <w:tc>
                <w:tcPr>
                  <w:tcW w:w="684" w:type="pct"/>
                  <w:vAlign w:val="center"/>
                </w:tcPr>
                <w:p>
                  <w:pPr>
                    <w:pStyle w:val="161"/>
                    <w:bidi w:val="0"/>
                  </w:pPr>
                  <w:r>
                    <w:rPr>
                      <w:rFonts w:hint="eastAsia"/>
                      <w:lang w:val="en-US" w:eastAsia="zh-CN"/>
                    </w:rPr>
                    <w:t>120</w:t>
                  </w:r>
                  <w:r>
                    <w:t>m</w:t>
                  </w:r>
                </w:p>
              </w:tc>
              <w:tc>
                <w:tcPr>
                  <w:tcW w:w="529" w:type="pct"/>
                  <w:vAlign w:val="center"/>
                </w:tcPr>
                <w:p>
                  <w:pPr>
                    <w:pStyle w:val="161"/>
                    <w:bidi w:val="0"/>
                  </w:pPr>
                  <w:r>
                    <w:rPr>
                      <w:rFonts w:hint="eastAsia"/>
                      <w:lang w:val="en-US" w:eastAsia="zh-CN"/>
                    </w:rPr>
                    <w:t>244</w:t>
                  </w:r>
                  <w:r>
                    <w:t>m</w:t>
                  </w:r>
                </w:p>
              </w:tc>
              <w:tc>
                <w:tcPr>
                  <w:tcW w:w="529" w:type="pct"/>
                  <w:vAlign w:val="center"/>
                </w:tcPr>
                <w:p>
                  <w:pPr>
                    <w:pStyle w:val="161"/>
                    <w:bidi w:val="0"/>
                  </w:pPr>
                  <w:r>
                    <w:rPr>
                      <w:rFonts w:hint="eastAsia"/>
                      <w:lang w:val="en-US" w:eastAsia="zh-CN"/>
                    </w:rPr>
                    <w:t>195</w:t>
                  </w:r>
                  <w:r>
                    <w:t>m</w:t>
                  </w:r>
                </w:p>
              </w:tc>
              <w:tc>
                <w:tcPr>
                  <w:tcW w:w="520" w:type="pct"/>
                  <w:vAlign w:val="center"/>
                </w:tcPr>
                <w:p>
                  <w:pPr>
                    <w:pStyle w:val="161"/>
                    <w:bidi w:val="0"/>
                  </w:pPr>
                  <w:r>
                    <w:rPr>
                      <w:rFonts w:hint="eastAsia"/>
                      <w:lang w:val="en-US" w:eastAsia="zh-CN"/>
                    </w:rPr>
                    <w:t>275</w:t>
                  </w:r>
                  <w: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95" w:hRule="atLeast"/>
                <w:jc w:val="center"/>
              </w:trPr>
              <w:tc>
                <w:tcPr>
                  <w:tcW w:w="274" w:type="pct"/>
                  <w:vMerge w:val="continue"/>
                  <w:vAlign w:val="center"/>
                </w:tcPr>
                <w:p>
                  <w:pPr>
                    <w:pStyle w:val="161"/>
                    <w:bidi w:val="0"/>
                  </w:pPr>
                </w:p>
              </w:tc>
              <w:tc>
                <w:tcPr>
                  <w:tcW w:w="699" w:type="pct"/>
                  <w:vMerge w:val="continue"/>
                  <w:vAlign w:val="center"/>
                </w:tcPr>
                <w:p>
                  <w:pPr>
                    <w:pStyle w:val="161"/>
                    <w:bidi w:val="0"/>
                  </w:pPr>
                </w:p>
              </w:tc>
              <w:tc>
                <w:tcPr>
                  <w:tcW w:w="700" w:type="pct"/>
                  <w:vMerge w:val="continue"/>
                  <w:vAlign w:val="center"/>
                </w:tcPr>
                <w:p>
                  <w:pPr>
                    <w:pStyle w:val="161"/>
                    <w:bidi w:val="0"/>
                  </w:pPr>
                </w:p>
              </w:tc>
              <w:tc>
                <w:tcPr>
                  <w:tcW w:w="1061" w:type="pct"/>
                  <w:vMerge w:val="continue"/>
                  <w:vAlign w:val="center"/>
                </w:tcPr>
                <w:p>
                  <w:pPr>
                    <w:pStyle w:val="161"/>
                    <w:bidi w:val="0"/>
                  </w:pPr>
                </w:p>
              </w:tc>
              <w:tc>
                <w:tcPr>
                  <w:tcW w:w="684" w:type="pct"/>
                  <w:vAlign w:val="center"/>
                </w:tcPr>
                <w:p>
                  <w:pPr>
                    <w:pStyle w:val="161"/>
                    <w:bidi w:val="0"/>
                    <w:rPr>
                      <w:rFonts w:hint="default"/>
                      <w:lang w:val="en-US" w:eastAsia="zh-CN"/>
                    </w:rPr>
                  </w:pPr>
                  <w:r>
                    <w:rPr>
                      <w:rFonts w:hint="default"/>
                      <w:lang w:val="en-US" w:eastAsia="zh-CN"/>
                    </w:rPr>
                    <w:t xml:space="preserve">28 </w:t>
                  </w:r>
                </w:p>
              </w:tc>
              <w:tc>
                <w:tcPr>
                  <w:tcW w:w="529" w:type="pct"/>
                  <w:vAlign w:val="center"/>
                </w:tcPr>
                <w:p>
                  <w:pPr>
                    <w:pStyle w:val="161"/>
                    <w:bidi w:val="0"/>
                    <w:rPr>
                      <w:rFonts w:hint="default"/>
                      <w:lang w:val="en-US" w:eastAsia="zh-CN"/>
                    </w:rPr>
                  </w:pPr>
                  <w:r>
                    <w:rPr>
                      <w:rFonts w:hint="default"/>
                      <w:lang w:val="en-US" w:eastAsia="zh-CN"/>
                    </w:rPr>
                    <w:t xml:space="preserve">22 </w:t>
                  </w:r>
                </w:p>
              </w:tc>
              <w:tc>
                <w:tcPr>
                  <w:tcW w:w="529" w:type="pct"/>
                  <w:vAlign w:val="center"/>
                </w:tcPr>
                <w:p>
                  <w:pPr>
                    <w:pStyle w:val="161"/>
                    <w:bidi w:val="0"/>
                    <w:rPr>
                      <w:rFonts w:hint="default"/>
                      <w:lang w:val="en-US" w:eastAsia="zh-CN"/>
                    </w:rPr>
                  </w:pPr>
                  <w:r>
                    <w:rPr>
                      <w:rFonts w:hint="default"/>
                      <w:lang w:val="en-US" w:eastAsia="zh-CN"/>
                    </w:rPr>
                    <w:t xml:space="preserve">24 </w:t>
                  </w:r>
                </w:p>
              </w:tc>
              <w:tc>
                <w:tcPr>
                  <w:tcW w:w="520" w:type="pct"/>
                  <w:vAlign w:val="center"/>
                </w:tcPr>
                <w:p>
                  <w:pPr>
                    <w:pStyle w:val="161"/>
                    <w:bidi w:val="0"/>
                    <w:rPr>
                      <w:rFonts w:hint="default"/>
                      <w:lang w:val="en-US" w:eastAsia="zh-CN"/>
                    </w:rPr>
                  </w:pPr>
                  <w:r>
                    <w:rPr>
                      <w:rFonts w:hint="default"/>
                      <w:lang w:val="en-US" w:eastAsia="zh-CN"/>
                    </w:rPr>
                    <w:t xml:space="preserve">21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65" w:hRule="atLeast"/>
                <w:jc w:val="center"/>
              </w:trPr>
              <w:tc>
                <w:tcPr>
                  <w:tcW w:w="274" w:type="pct"/>
                  <w:vMerge w:val="restart"/>
                  <w:vAlign w:val="center"/>
                </w:tcPr>
                <w:p>
                  <w:pPr>
                    <w:pStyle w:val="161"/>
                    <w:bidi w:val="0"/>
                  </w:pPr>
                  <w:r>
                    <w:t>2</w:t>
                  </w:r>
                </w:p>
              </w:tc>
              <w:tc>
                <w:tcPr>
                  <w:tcW w:w="699" w:type="pct"/>
                  <w:vMerge w:val="restart"/>
                  <w:vAlign w:val="center"/>
                </w:tcPr>
                <w:p>
                  <w:pPr>
                    <w:pStyle w:val="161"/>
                    <w:bidi w:val="0"/>
                    <w:rPr>
                      <w:rFonts w:hint="eastAsia"/>
                      <w:lang w:eastAsia="zh-CN"/>
                    </w:rPr>
                  </w:pPr>
                  <w:r>
                    <w:rPr>
                      <w:rFonts w:hint="eastAsia"/>
                      <w:lang w:eastAsia="zh-CN"/>
                    </w:rPr>
                    <w:t>低温潜夜泵</w:t>
                  </w:r>
                </w:p>
              </w:tc>
              <w:tc>
                <w:tcPr>
                  <w:tcW w:w="700" w:type="pct"/>
                  <w:vMerge w:val="restart"/>
                  <w:vAlign w:val="center"/>
                </w:tcPr>
                <w:p>
                  <w:pPr>
                    <w:pStyle w:val="161"/>
                    <w:bidi w:val="0"/>
                  </w:pPr>
                  <w:r>
                    <w:rPr>
                      <w:rFonts w:hint="eastAsia"/>
                      <w:lang w:eastAsia="zh-CN"/>
                    </w:rPr>
                    <w:t>间歇</w:t>
                  </w:r>
                </w:p>
              </w:tc>
              <w:tc>
                <w:tcPr>
                  <w:tcW w:w="1061" w:type="pct"/>
                  <w:vMerge w:val="restart"/>
                  <w:vAlign w:val="center"/>
                </w:tcPr>
                <w:p>
                  <w:pPr>
                    <w:pStyle w:val="161"/>
                    <w:bidi w:val="0"/>
                    <w:rPr>
                      <w:rFonts w:hint="default"/>
                      <w:lang w:val="en-US" w:eastAsia="zh-CN"/>
                    </w:rPr>
                  </w:pPr>
                  <w:r>
                    <w:rPr>
                      <w:rFonts w:hint="eastAsia"/>
                      <w:lang w:val="en-US" w:eastAsia="zh-CN"/>
                    </w:rPr>
                    <w:t>60</w:t>
                  </w:r>
                </w:p>
              </w:tc>
              <w:tc>
                <w:tcPr>
                  <w:tcW w:w="684" w:type="pct"/>
                  <w:vAlign w:val="center"/>
                </w:tcPr>
                <w:p>
                  <w:pPr>
                    <w:pStyle w:val="161"/>
                    <w:bidi w:val="0"/>
                  </w:pPr>
                  <w:r>
                    <w:rPr>
                      <w:rFonts w:hint="eastAsia"/>
                      <w:lang w:val="en-US" w:eastAsia="zh-CN"/>
                    </w:rPr>
                    <w:t>196</w:t>
                  </w:r>
                  <w:r>
                    <w:t>m</w:t>
                  </w:r>
                </w:p>
              </w:tc>
              <w:tc>
                <w:tcPr>
                  <w:tcW w:w="529" w:type="pct"/>
                  <w:vAlign w:val="center"/>
                </w:tcPr>
                <w:p>
                  <w:pPr>
                    <w:pStyle w:val="161"/>
                    <w:bidi w:val="0"/>
                  </w:pPr>
                  <w:r>
                    <w:rPr>
                      <w:rFonts w:hint="eastAsia"/>
                      <w:lang w:val="en-US" w:eastAsia="zh-CN"/>
                    </w:rPr>
                    <w:t>319</w:t>
                  </w:r>
                  <w:r>
                    <w:t>m</w:t>
                  </w:r>
                </w:p>
              </w:tc>
              <w:tc>
                <w:tcPr>
                  <w:tcW w:w="529" w:type="pct"/>
                  <w:vAlign w:val="center"/>
                </w:tcPr>
                <w:p>
                  <w:pPr>
                    <w:pStyle w:val="161"/>
                    <w:bidi w:val="0"/>
                  </w:pPr>
                  <w:r>
                    <w:rPr>
                      <w:rFonts w:hint="eastAsia"/>
                      <w:lang w:val="en-US" w:eastAsia="zh-CN"/>
                    </w:rPr>
                    <w:t>120</w:t>
                  </w:r>
                  <w:r>
                    <w:t>m</w:t>
                  </w:r>
                </w:p>
              </w:tc>
              <w:tc>
                <w:tcPr>
                  <w:tcW w:w="520" w:type="pct"/>
                  <w:vAlign w:val="center"/>
                </w:tcPr>
                <w:p>
                  <w:pPr>
                    <w:pStyle w:val="161"/>
                    <w:bidi w:val="0"/>
                  </w:pPr>
                  <w:r>
                    <w:rPr>
                      <w:rFonts w:hint="eastAsia"/>
                      <w:lang w:val="en-US" w:eastAsia="zh-CN"/>
                    </w:rPr>
                    <w:t>203</w:t>
                  </w:r>
                  <w: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0" w:hRule="atLeast"/>
                <w:jc w:val="center"/>
              </w:trPr>
              <w:tc>
                <w:tcPr>
                  <w:tcW w:w="274" w:type="pct"/>
                  <w:vMerge w:val="continue"/>
                  <w:vAlign w:val="center"/>
                </w:tcPr>
                <w:p>
                  <w:pPr>
                    <w:pStyle w:val="161"/>
                    <w:bidi w:val="0"/>
                  </w:pPr>
                </w:p>
              </w:tc>
              <w:tc>
                <w:tcPr>
                  <w:tcW w:w="699" w:type="pct"/>
                  <w:vMerge w:val="continue"/>
                  <w:vAlign w:val="center"/>
                </w:tcPr>
                <w:p>
                  <w:pPr>
                    <w:pStyle w:val="161"/>
                    <w:bidi w:val="0"/>
                  </w:pPr>
                </w:p>
              </w:tc>
              <w:tc>
                <w:tcPr>
                  <w:tcW w:w="700" w:type="pct"/>
                  <w:vMerge w:val="continue"/>
                  <w:vAlign w:val="center"/>
                </w:tcPr>
                <w:p>
                  <w:pPr>
                    <w:pStyle w:val="161"/>
                    <w:bidi w:val="0"/>
                  </w:pPr>
                </w:p>
              </w:tc>
              <w:tc>
                <w:tcPr>
                  <w:tcW w:w="1061" w:type="pct"/>
                  <w:vMerge w:val="continue"/>
                  <w:vAlign w:val="center"/>
                </w:tcPr>
                <w:p>
                  <w:pPr>
                    <w:pStyle w:val="161"/>
                    <w:bidi w:val="0"/>
                  </w:pPr>
                </w:p>
              </w:tc>
              <w:tc>
                <w:tcPr>
                  <w:tcW w:w="684" w:type="pct"/>
                  <w:vAlign w:val="center"/>
                </w:tcPr>
                <w:p>
                  <w:pPr>
                    <w:pStyle w:val="161"/>
                    <w:bidi w:val="0"/>
                    <w:rPr>
                      <w:rFonts w:hint="default"/>
                      <w:lang w:val="en-US" w:eastAsia="zh-CN"/>
                    </w:rPr>
                  </w:pPr>
                  <w:r>
                    <w:rPr>
                      <w:rFonts w:hint="default"/>
                      <w:lang w:val="en-US" w:eastAsia="zh-CN"/>
                    </w:rPr>
                    <w:t xml:space="preserve">24 </w:t>
                  </w:r>
                </w:p>
              </w:tc>
              <w:tc>
                <w:tcPr>
                  <w:tcW w:w="529" w:type="pct"/>
                  <w:vAlign w:val="center"/>
                </w:tcPr>
                <w:p>
                  <w:pPr>
                    <w:pStyle w:val="161"/>
                    <w:bidi w:val="0"/>
                    <w:rPr>
                      <w:rFonts w:hint="default"/>
                      <w:lang w:val="en-US" w:eastAsia="zh-CN"/>
                    </w:rPr>
                  </w:pPr>
                  <w:r>
                    <w:rPr>
                      <w:rFonts w:hint="default"/>
                      <w:lang w:val="en-US" w:eastAsia="zh-CN"/>
                    </w:rPr>
                    <w:t xml:space="preserve">20 </w:t>
                  </w:r>
                </w:p>
              </w:tc>
              <w:tc>
                <w:tcPr>
                  <w:tcW w:w="529" w:type="pct"/>
                  <w:vAlign w:val="center"/>
                </w:tcPr>
                <w:p>
                  <w:pPr>
                    <w:pStyle w:val="161"/>
                    <w:bidi w:val="0"/>
                    <w:rPr>
                      <w:rFonts w:hint="default"/>
                      <w:lang w:val="en-US" w:eastAsia="zh-CN"/>
                    </w:rPr>
                  </w:pPr>
                  <w:r>
                    <w:rPr>
                      <w:rFonts w:hint="default"/>
                      <w:lang w:val="en-US" w:eastAsia="zh-CN"/>
                    </w:rPr>
                    <w:t xml:space="preserve">28 </w:t>
                  </w:r>
                </w:p>
              </w:tc>
              <w:tc>
                <w:tcPr>
                  <w:tcW w:w="520" w:type="pct"/>
                  <w:vAlign w:val="center"/>
                </w:tcPr>
                <w:p>
                  <w:pPr>
                    <w:pStyle w:val="161"/>
                    <w:bidi w:val="0"/>
                    <w:rPr>
                      <w:rFonts w:hint="default"/>
                      <w:lang w:val="en-US" w:eastAsia="zh-CN"/>
                    </w:rPr>
                  </w:pPr>
                  <w:r>
                    <w:rPr>
                      <w:rFonts w:hint="default"/>
                      <w:lang w:val="en-US" w:eastAsia="zh-CN"/>
                    </w:rPr>
                    <w:t xml:space="preserve">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65" w:hRule="atLeast"/>
                <w:jc w:val="center"/>
              </w:trPr>
              <w:tc>
                <w:tcPr>
                  <w:tcW w:w="274" w:type="pct"/>
                  <w:vMerge w:val="restart"/>
                  <w:vAlign w:val="center"/>
                </w:tcPr>
                <w:p>
                  <w:pPr>
                    <w:pStyle w:val="161"/>
                    <w:bidi w:val="0"/>
                  </w:pPr>
                  <w:r>
                    <w:t>3</w:t>
                  </w:r>
                </w:p>
              </w:tc>
              <w:tc>
                <w:tcPr>
                  <w:tcW w:w="699" w:type="pct"/>
                  <w:vMerge w:val="restart"/>
                  <w:vAlign w:val="center"/>
                </w:tcPr>
                <w:p>
                  <w:pPr>
                    <w:pStyle w:val="161"/>
                    <w:bidi w:val="0"/>
                    <w:rPr>
                      <w:rFonts w:hint="eastAsia"/>
                      <w:lang w:val="en-US" w:eastAsia="zh-CN"/>
                    </w:rPr>
                  </w:pPr>
                  <w:r>
                    <w:rPr>
                      <w:rFonts w:hint="eastAsia"/>
                      <w:lang w:val="en-US" w:eastAsia="zh-CN"/>
                    </w:rPr>
                    <w:t>1#LNG加</w:t>
                  </w:r>
                </w:p>
                <w:p>
                  <w:pPr>
                    <w:pStyle w:val="161"/>
                    <w:bidi w:val="0"/>
                    <w:rPr>
                      <w:rFonts w:hint="default"/>
                      <w:lang w:val="en-US" w:eastAsia="zh-CN"/>
                    </w:rPr>
                  </w:pPr>
                  <w:r>
                    <w:rPr>
                      <w:rFonts w:hint="eastAsia"/>
                      <w:lang w:val="en-US" w:eastAsia="zh-CN"/>
                    </w:rPr>
                    <w:t>气机</w:t>
                  </w:r>
                </w:p>
              </w:tc>
              <w:tc>
                <w:tcPr>
                  <w:tcW w:w="700" w:type="pct"/>
                  <w:vMerge w:val="restart"/>
                  <w:vAlign w:val="center"/>
                </w:tcPr>
                <w:p>
                  <w:pPr>
                    <w:pStyle w:val="161"/>
                    <w:bidi w:val="0"/>
                  </w:pPr>
                  <w:r>
                    <w:rPr>
                      <w:rFonts w:hint="eastAsia"/>
                      <w:lang w:eastAsia="zh-CN"/>
                    </w:rPr>
                    <w:t>间歇</w:t>
                  </w:r>
                </w:p>
              </w:tc>
              <w:tc>
                <w:tcPr>
                  <w:tcW w:w="1061" w:type="pct"/>
                  <w:vMerge w:val="restart"/>
                  <w:vAlign w:val="center"/>
                </w:tcPr>
                <w:p>
                  <w:pPr>
                    <w:pStyle w:val="161"/>
                    <w:bidi w:val="0"/>
                    <w:rPr>
                      <w:rFonts w:hint="default"/>
                      <w:lang w:val="en-US" w:eastAsia="zh-CN"/>
                    </w:rPr>
                  </w:pPr>
                  <w:r>
                    <w:rPr>
                      <w:rFonts w:hint="eastAsia"/>
                      <w:lang w:val="en-US" w:eastAsia="zh-CN"/>
                    </w:rPr>
                    <w:t>60</w:t>
                  </w:r>
                </w:p>
              </w:tc>
              <w:tc>
                <w:tcPr>
                  <w:tcW w:w="684" w:type="pct"/>
                  <w:vAlign w:val="center"/>
                </w:tcPr>
                <w:p>
                  <w:pPr>
                    <w:pStyle w:val="161"/>
                    <w:bidi w:val="0"/>
                  </w:pPr>
                  <w:r>
                    <w:rPr>
                      <w:rFonts w:hint="eastAsia"/>
                      <w:lang w:val="en-US" w:eastAsia="zh-CN"/>
                    </w:rPr>
                    <w:t>117</w:t>
                  </w:r>
                  <w:r>
                    <w:t>m</w:t>
                  </w:r>
                </w:p>
              </w:tc>
              <w:tc>
                <w:tcPr>
                  <w:tcW w:w="529" w:type="pct"/>
                  <w:vAlign w:val="center"/>
                </w:tcPr>
                <w:p>
                  <w:pPr>
                    <w:pStyle w:val="161"/>
                    <w:bidi w:val="0"/>
                  </w:pPr>
                  <w:r>
                    <w:rPr>
                      <w:rFonts w:hint="eastAsia"/>
                      <w:lang w:val="en-US" w:eastAsia="zh-CN"/>
                    </w:rPr>
                    <w:t>315</w:t>
                  </w:r>
                  <w:r>
                    <w:t>m</w:t>
                  </w:r>
                </w:p>
              </w:tc>
              <w:tc>
                <w:tcPr>
                  <w:tcW w:w="529" w:type="pct"/>
                  <w:vAlign w:val="center"/>
                </w:tcPr>
                <w:p>
                  <w:pPr>
                    <w:pStyle w:val="161"/>
                    <w:bidi w:val="0"/>
                  </w:pPr>
                  <w:r>
                    <w:rPr>
                      <w:rFonts w:hint="eastAsia"/>
                      <w:lang w:val="en-US" w:eastAsia="zh-CN"/>
                    </w:rPr>
                    <w:t>195</w:t>
                  </w:r>
                  <w:r>
                    <w:t>m</w:t>
                  </w:r>
                </w:p>
              </w:tc>
              <w:tc>
                <w:tcPr>
                  <w:tcW w:w="520" w:type="pct"/>
                  <w:vAlign w:val="center"/>
                </w:tcPr>
                <w:p>
                  <w:pPr>
                    <w:pStyle w:val="161"/>
                    <w:bidi w:val="0"/>
                  </w:pPr>
                  <w:r>
                    <w:rPr>
                      <w:rFonts w:hint="eastAsia"/>
                      <w:lang w:val="en-US" w:eastAsia="zh-CN"/>
                    </w:rPr>
                    <w:t>205</w:t>
                  </w:r>
                  <w: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0" w:hRule="atLeast"/>
                <w:jc w:val="center"/>
              </w:trPr>
              <w:tc>
                <w:tcPr>
                  <w:tcW w:w="274" w:type="pct"/>
                  <w:vMerge w:val="continue"/>
                  <w:vAlign w:val="center"/>
                </w:tcPr>
                <w:p>
                  <w:pPr>
                    <w:pStyle w:val="161"/>
                    <w:bidi w:val="0"/>
                  </w:pPr>
                </w:p>
              </w:tc>
              <w:tc>
                <w:tcPr>
                  <w:tcW w:w="699" w:type="pct"/>
                  <w:vMerge w:val="continue"/>
                  <w:vAlign w:val="center"/>
                </w:tcPr>
                <w:p>
                  <w:pPr>
                    <w:pStyle w:val="161"/>
                    <w:bidi w:val="0"/>
                  </w:pPr>
                </w:p>
              </w:tc>
              <w:tc>
                <w:tcPr>
                  <w:tcW w:w="700" w:type="pct"/>
                  <w:vMerge w:val="continue"/>
                  <w:vAlign w:val="center"/>
                </w:tcPr>
                <w:p>
                  <w:pPr>
                    <w:pStyle w:val="161"/>
                    <w:bidi w:val="0"/>
                  </w:pPr>
                </w:p>
              </w:tc>
              <w:tc>
                <w:tcPr>
                  <w:tcW w:w="1061" w:type="pct"/>
                  <w:vMerge w:val="continue"/>
                  <w:vAlign w:val="center"/>
                </w:tcPr>
                <w:p>
                  <w:pPr>
                    <w:pStyle w:val="161"/>
                    <w:bidi w:val="0"/>
                  </w:pPr>
                </w:p>
              </w:tc>
              <w:tc>
                <w:tcPr>
                  <w:tcW w:w="684" w:type="pct"/>
                  <w:vAlign w:val="center"/>
                </w:tcPr>
                <w:p>
                  <w:pPr>
                    <w:pStyle w:val="161"/>
                    <w:bidi w:val="0"/>
                    <w:rPr>
                      <w:rFonts w:hint="default"/>
                      <w:lang w:val="en-US" w:eastAsia="zh-CN"/>
                    </w:rPr>
                  </w:pPr>
                  <w:r>
                    <w:rPr>
                      <w:rFonts w:hint="eastAsia"/>
                      <w:lang w:val="en-US" w:eastAsia="zh-CN"/>
                    </w:rPr>
                    <w:t xml:space="preserve">29 </w:t>
                  </w:r>
                </w:p>
              </w:tc>
              <w:tc>
                <w:tcPr>
                  <w:tcW w:w="529" w:type="pct"/>
                  <w:vAlign w:val="center"/>
                </w:tcPr>
                <w:p>
                  <w:pPr>
                    <w:pStyle w:val="161"/>
                    <w:bidi w:val="0"/>
                    <w:rPr>
                      <w:rFonts w:hint="eastAsia"/>
                      <w:lang w:val="en-US" w:eastAsia="zh-CN"/>
                    </w:rPr>
                  </w:pPr>
                  <w:r>
                    <w:rPr>
                      <w:rFonts w:hint="eastAsia"/>
                      <w:lang w:val="en-US" w:eastAsia="zh-CN"/>
                    </w:rPr>
                    <w:t xml:space="preserve">20 </w:t>
                  </w:r>
                </w:p>
              </w:tc>
              <w:tc>
                <w:tcPr>
                  <w:tcW w:w="529" w:type="pct"/>
                  <w:vAlign w:val="center"/>
                </w:tcPr>
                <w:p>
                  <w:pPr>
                    <w:pStyle w:val="161"/>
                    <w:bidi w:val="0"/>
                    <w:rPr>
                      <w:rFonts w:hint="eastAsia"/>
                      <w:lang w:val="en-US" w:eastAsia="zh-CN"/>
                    </w:rPr>
                  </w:pPr>
                  <w:r>
                    <w:rPr>
                      <w:rFonts w:hint="eastAsia"/>
                      <w:lang w:val="en-US" w:eastAsia="zh-CN"/>
                    </w:rPr>
                    <w:t xml:space="preserve">24 </w:t>
                  </w:r>
                </w:p>
              </w:tc>
              <w:tc>
                <w:tcPr>
                  <w:tcW w:w="520" w:type="pct"/>
                  <w:vAlign w:val="center"/>
                </w:tcPr>
                <w:p>
                  <w:pPr>
                    <w:pStyle w:val="161"/>
                    <w:bidi w:val="0"/>
                    <w:rPr>
                      <w:rFonts w:hint="eastAsia"/>
                      <w:lang w:val="en-US" w:eastAsia="zh-CN"/>
                    </w:rPr>
                  </w:pPr>
                  <w:r>
                    <w:rPr>
                      <w:rFonts w:hint="eastAsia"/>
                      <w:lang w:val="en-US" w:eastAsia="zh-CN"/>
                    </w:rPr>
                    <w:t xml:space="preserve">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32" w:hRule="atLeast"/>
                <w:jc w:val="center"/>
              </w:trPr>
              <w:tc>
                <w:tcPr>
                  <w:tcW w:w="274" w:type="pct"/>
                  <w:vMerge w:val="restart"/>
                  <w:vAlign w:val="center"/>
                </w:tcPr>
                <w:p>
                  <w:pPr>
                    <w:pStyle w:val="161"/>
                    <w:bidi w:val="0"/>
                  </w:pPr>
                  <w:r>
                    <w:rPr>
                      <w:rFonts w:hint="eastAsia"/>
                    </w:rPr>
                    <w:t>4</w:t>
                  </w:r>
                </w:p>
              </w:tc>
              <w:tc>
                <w:tcPr>
                  <w:tcW w:w="699" w:type="pct"/>
                  <w:vMerge w:val="restart"/>
                  <w:vAlign w:val="center"/>
                </w:tcPr>
                <w:p>
                  <w:pPr>
                    <w:pStyle w:val="161"/>
                    <w:bidi w:val="0"/>
                    <w:rPr>
                      <w:rFonts w:hint="eastAsia"/>
                      <w:lang w:eastAsia="zh-CN"/>
                    </w:rPr>
                  </w:pPr>
                  <w:r>
                    <w:rPr>
                      <w:rFonts w:hint="eastAsia"/>
                      <w:lang w:val="en-US" w:eastAsia="zh-CN"/>
                    </w:rPr>
                    <w:t>2#LNG加气机</w:t>
                  </w:r>
                </w:p>
              </w:tc>
              <w:tc>
                <w:tcPr>
                  <w:tcW w:w="700" w:type="pct"/>
                  <w:vMerge w:val="restart"/>
                  <w:vAlign w:val="center"/>
                </w:tcPr>
                <w:p>
                  <w:pPr>
                    <w:pStyle w:val="161"/>
                    <w:bidi w:val="0"/>
                  </w:pPr>
                  <w:r>
                    <w:rPr>
                      <w:rFonts w:hint="eastAsia"/>
                      <w:lang w:eastAsia="zh-CN"/>
                    </w:rPr>
                    <w:t>间歇</w:t>
                  </w:r>
                </w:p>
              </w:tc>
              <w:tc>
                <w:tcPr>
                  <w:tcW w:w="1061" w:type="pct"/>
                  <w:vMerge w:val="restart"/>
                  <w:vAlign w:val="center"/>
                </w:tcPr>
                <w:p>
                  <w:pPr>
                    <w:pStyle w:val="161"/>
                    <w:bidi w:val="0"/>
                    <w:rPr>
                      <w:rFonts w:hint="default"/>
                      <w:lang w:val="en-US" w:eastAsia="zh-CN"/>
                    </w:rPr>
                  </w:pPr>
                  <w:r>
                    <w:rPr>
                      <w:rFonts w:hint="eastAsia"/>
                      <w:lang w:val="en-US" w:eastAsia="zh-CN"/>
                    </w:rPr>
                    <w:t>60</w:t>
                  </w:r>
                </w:p>
              </w:tc>
              <w:tc>
                <w:tcPr>
                  <w:tcW w:w="684" w:type="pct"/>
                  <w:vAlign w:val="center"/>
                </w:tcPr>
                <w:p>
                  <w:pPr>
                    <w:pStyle w:val="161"/>
                    <w:bidi w:val="0"/>
                  </w:pPr>
                  <w:r>
                    <w:rPr>
                      <w:rFonts w:hint="eastAsia"/>
                      <w:lang w:val="en-US" w:eastAsia="zh-CN"/>
                    </w:rPr>
                    <w:t>72</w:t>
                  </w:r>
                  <w:r>
                    <w:t>m</w:t>
                  </w:r>
                </w:p>
              </w:tc>
              <w:tc>
                <w:tcPr>
                  <w:tcW w:w="529" w:type="pct"/>
                  <w:vAlign w:val="center"/>
                </w:tcPr>
                <w:p>
                  <w:pPr>
                    <w:pStyle w:val="161"/>
                    <w:bidi w:val="0"/>
                  </w:pPr>
                  <w:r>
                    <w:rPr>
                      <w:rFonts w:hint="eastAsia"/>
                      <w:lang w:val="en-US" w:eastAsia="zh-CN"/>
                    </w:rPr>
                    <w:t>310</w:t>
                  </w:r>
                  <w:r>
                    <w:t>m</w:t>
                  </w:r>
                </w:p>
              </w:tc>
              <w:tc>
                <w:tcPr>
                  <w:tcW w:w="529" w:type="pct"/>
                  <w:vAlign w:val="center"/>
                </w:tcPr>
                <w:p>
                  <w:pPr>
                    <w:pStyle w:val="161"/>
                    <w:bidi w:val="0"/>
                  </w:pPr>
                  <w:r>
                    <w:rPr>
                      <w:rFonts w:hint="eastAsia"/>
                      <w:lang w:val="en-US" w:eastAsia="zh-CN"/>
                    </w:rPr>
                    <w:t>238</w:t>
                  </w:r>
                  <w:r>
                    <w:t>m</w:t>
                  </w:r>
                </w:p>
              </w:tc>
              <w:tc>
                <w:tcPr>
                  <w:tcW w:w="520" w:type="pct"/>
                  <w:vAlign w:val="center"/>
                </w:tcPr>
                <w:p>
                  <w:pPr>
                    <w:pStyle w:val="161"/>
                    <w:bidi w:val="0"/>
                  </w:pPr>
                  <w:r>
                    <w:rPr>
                      <w:rFonts w:hint="eastAsia"/>
                      <w:lang w:val="en-US" w:eastAsia="zh-CN"/>
                    </w:rPr>
                    <w:t>205</w:t>
                  </w:r>
                  <w: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7" w:hRule="atLeast"/>
                <w:jc w:val="center"/>
              </w:trPr>
              <w:tc>
                <w:tcPr>
                  <w:tcW w:w="274" w:type="pct"/>
                  <w:vMerge w:val="continue"/>
                  <w:tcBorders>
                    <w:bottom w:val="single" w:color="000000" w:sz="2" w:space="0"/>
                  </w:tcBorders>
                  <w:vAlign w:val="center"/>
                </w:tcPr>
                <w:p>
                  <w:pPr>
                    <w:pStyle w:val="161"/>
                    <w:bidi w:val="0"/>
                  </w:pPr>
                </w:p>
              </w:tc>
              <w:tc>
                <w:tcPr>
                  <w:tcW w:w="699" w:type="pct"/>
                  <w:vMerge w:val="continue"/>
                  <w:tcBorders>
                    <w:bottom w:val="single" w:color="000000" w:sz="2" w:space="0"/>
                  </w:tcBorders>
                  <w:vAlign w:val="center"/>
                </w:tcPr>
                <w:p>
                  <w:pPr>
                    <w:pStyle w:val="161"/>
                    <w:bidi w:val="0"/>
                  </w:pPr>
                </w:p>
              </w:tc>
              <w:tc>
                <w:tcPr>
                  <w:tcW w:w="700" w:type="pct"/>
                  <w:vMerge w:val="continue"/>
                  <w:tcBorders>
                    <w:bottom w:val="single" w:color="000000" w:sz="2" w:space="0"/>
                  </w:tcBorders>
                  <w:vAlign w:val="center"/>
                </w:tcPr>
                <w:p>
                  <w:pPr>
                    <w:pStyle w:val="161"/>
                    <w:bidi w:val="0"/>
                  </w:pPr>
                </w:p>
              </w:tc>
              <w:tc>
                <w:tcPr>
                  <w:tcW w:w="1061" w:type="pct"/>
                  <w:vMerge w:val="continue"/>
                  <w:tcBorders>
                    <w:bottom w:val="single" w:color="000000" w:sz="2" w:space="0"/>
                  </w:tcBorders>
                  <w:vAlign w:val="center"/>
                </w:tcPr>
                <w:p>
                  <w:pPr>
                    <w:pStyle w:val="161"/>
                    <w:bidi w:val="0"/>
                  </w:pPr>
                </w:p>
              </w:tc>
              <w:tc>
                <w:tcPr>
                  <w:tcW w:w="684" w:type="pct"/>
                  <w:tcBorders>
                    <w:bottom w:val="single" w:color="000000" w:sz="2" w:space="0"/>
                  </w:tcBorders>
                  <w:vAlign w:val="center"/>
                </w:tcPr>
                <w:p>
                  <w:pPr>
                    <w:pStyle w:val="161"/>
                    <w:bidi w:val="0"/>
                    <w:rPr>
                      <w:rFonts w:hint="eastAsia"/>
                      <w:lang w:val="en-US" w:eastAsia="zh-CN"/>
                    </w:rPr>
                  </w:pPr>
                  <w:r>
                    <w:rPr>
                      <w:rFonts w:hint="eastAsia"/>
                      <w:lang w:val="en-US" w:eastAsia="zh-CN"/>
                    </w:rPr>
                    <w:t xml:space="preserve">33 </w:t>
                  </w:r>
                </w:p>
              </w:tc>
              <w:tc>
                <w:tcPr>
                  <w:tcW w:w="529" w:type="pct"/>
                  <w:tcBorders>
                    <w:bottom w:val="single" w:color="000000" w:sz="2" w:space="0"/>
                  </w:tcBorders>
                  <w:vAlign w:val="center"/>
                </w:tcPr>
                <w:p>
                  <w:pPr>
                    <w:pStyle w:val="161"/>
                    <w:bidi w:val="0"/>
                    <w:rPr>
                      <w:rFonts w:hint="eastAsia"/>
                      <w:lang w:val="en-US" w:eastAsia="zh-CN"/>
                    </w:rPr>
                  </w:pPr>
                  <w:r>
                    <w:rPr>
                      <w:rFonts w:hint="eastAsia"/>
                      <w:lang w:val="en-US" w:eastAsia="zh-CN"/>
                    </w:rPr>
                    <w:t xml:space="preserve">20 </w:t>
                  </w:r>
                </w:p>
              </w:tc>
              <w:tc>
                <w:tcPr>
                  <w:tcW w:w="529" w:type="pct"/>
                  <w:tcBorders>
                    <w:bottom w:val="single" w:color="000000" w:sz="2" w:space="0"/>
                  </w:tcBorders>
                  <w:vAlign w:val="center"/>
                </w:tcPr>
                <w:p>
                  <w:pPr>
                    <w:pStyle w:val="161"/>
                    <w:bidi w:val="0"/>
                    <w:rPr>
                      <w:rFonts w:hint="eastAsia"/>
                      <w:lang w:val="en-US" w:eastAsia="zh-CN"/>
                    </w:rPr>
                  </w:pPr>
                  <w:r>
                    <w:rPr>
                      <w:rFonts w:hint="eastAsia"/>
                      <w:lang w:val="en-US" w:eastAsia="zh-CN"/>
                    </w:rPr>
                    <w:t xml:space="preserve">22 </w:t>
                  </w:r>
                </w:p>
              </w:tc>
              <w:tc>
                <w:tcPr>
                  <w:tcW w:w="520" w:type="pct"/>
                  <w:tcBorders>
                    <w:bottom w:val="single" w:color="000000" w:sz="2" w:space="0"/>
                  </w:tcBorders>
                  <w:vAlign w:val="center"/>
                </w:tcPr>
                <w:p>
                  <w:pPr>
                    <w:pStyle w:val="161"/>
                    <w:bidi w:val="0"/>
                    <w:rPr>
                      <w:rFonts w:hint="eastAsia"/>
                      <w:lang w:val="en-US" w:eastAsia="zh-CN"/>
                    </w:rPr>
                  </w:pPr>
                  <w:r>
                    <w:rPr>
                      <w:rFonts w:hint="eastAsia"/>
                      <w:lang w:val="en-US" w:eastAsia="zh-CN"/>
                    </w:rPr>
                    <w:t xml:space="preserve">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345" w:hRule="atLeast"/>
                <w:jc w:val="center"/>
              </w:trPr>
              <w:tc>
                <w:tcPr>
                  <w:tcW w:w="274" w:type="pct"/>
                  <w:vMerge w:val="restart"/>
                  <w:tcBorders>
                    <w:top w:val="single" w:color="000000" w:sz="2" w:space="0"/>
                  </w:tcBorders>
                  <w:vAlign w:val="center"/>
                </w:tcPr>
                <w:p>
                  <w:pPr>
                    <w:pStyle w:val="161"/>
                    <w:bidi w:val="0"/>
                    <w:rPr>
                      <w:rFonts w:hint="eastAsia"/>
                      <w:lang w:val="en-US" w:eastAsia="zh-CN"/>
                    </w:rPr>
                  </w:pPr>
                  <w:r>
                    <w:rPr>
                      <w:rFonts w:hint="eastAsia"/>
                      <w:lang w:val="en-US" w:eastAsia="zh-CN"/>
                    </w:rPr>
                    <w:t>5</w:t>
                  </w:r>
                </w:p>
              </w:tc>
              <w:tc>
                <w:tcPr>
                  <w:tcW w:w="699" w:type="pct"/>
                  <w:vMerge w:val="restart"/>
                  <w:tcBorders>
                    <w:top w:val="single" w:color="000000" w:sz="2" w:space="0"/>
                  </w:tcBorders>
                  <w:vAlign w:val="center"/>
                </w:tcPr>
                <w:p>
                  <w:pPr>
                    <w:pStyle w:val="161"/>
                    <w:bidi w:val="0"/>
                  </w:pPr>
                  <w:r>
                    <w:rPr>
                      <w:rFonts w:hint="eastAsia"/>
                      <w:lang w:val="en-US" w:eastAsia="zh-CN"/>
                    </w:rPr>
                    <w:t>3#LNG加气机</w:t>
                  </w:r>
                </w:p>
              </w:tc>
              <w:tc>
                <w:tcPr>
                  <w:tcW w:w="700" w:type="pct"/>
                  <w:vMerge w:val="restart"/>
                  <w:tcBorders>
                    <w:top w:val="single" w:color="000000" w:sz="2" w:space="0"/>
                  </w:tcBorders>
                  <w:vAlign w:val="center"/>
                </w:tcPr>
                <w:p>
                  <w:pPr>
                    <w:pStyle w:val="161"/>
                    <w:bidi w:val="0"/>
                  </w:pPr>
                  <w:r>
                    <w:rPr>
                      <w:rFonts w:hint="eastAsia"/>
                      <w:lang w:eastAsia="zh-CN"/>
                    </w:rPr>
                    <w:t>间歇</w:t>
                  </w:r>
                </w:p>
              </w:tc>
              <w:tc>
                <w:tcPr>
                  <w:tcW w:w="1061" w:type="pct"/>
                  <w:vMerge w:val="restart"/>
                  <w:tcBorders>
                    <w:top w:val="single" w:color="000000" w:sz="2" w:space="0"/>
                  </w:tcBorders>
                  <w:vAlign w:val="center"/>
                </w:tcPr>
                <w:p>
                  <w:pPr>
                    <w:pStyle w:val="161"/>
                    <w:bidi w:val="0"/>
                    <w:rPr>
                      <w:rFonts w:hint="default"/>
                      <w:lang w:val="en-US" w:eastAsia="zh-CN"/>
                    </w:rPr>
                  </w:pPr>
                  <w:r>
                    <w:rPr>
                      <w:rFonts w:hint="eastAsia"/>
                      <w:lang w:val="en-US" w:eastAsia="zh-CN"/>
                    </w:rPr>
                    <w:t>60</w:t>
                  </w:r>
                </w:p>
              </w:tc>
              <w:tc>
                <w:tcPr>
                  <w:tcW w:w="684" w:type="pct"/>
                  <w:tcBorders>
                    <w:top w:val="single" w:color="000000" w:sz="2" w:space="0"/>
                    <w:bottom w:val="single" w:color="000000" w:sz="2" w:space="0"/>
                  </w:tcBorders>
                  <w:vAlign w:val="center"/>
                </w:tcPr>
                <w:p>
                  <w:pPr>
                    <w:pStyle w:val="161"/>
                    <w:bidi w:val="0"/>
                    <w:rPr>
                      <w:rFonts w:hint="eastAsia"/>
                      <w:lang w:val="en-US" w:eastAsia="zh-CN"/>
                    </w:rPr>
                  </w:pPr>
                  <w:r>
                    <w:rPr>
                      <w:rFonts w:hint="eastAsia"/>
                      <w:lang w:val="en-US" w:eastAsia="zh-CN"/>
                    </w:rPr>
                    <w:t>72m</w:t>
                  </w:r>
                </w:p>
              </w:tc>
              <w:tc>
                <w:tcPr>
                  <w:tcW w:w="529" w:type="pct"/>
                  <w:tcBorders>
                    <w:top w:val="single" w:color="000000" w:sz="2" w:space="0"/>
                    <w:bottom w:val="single" w:color="000000" w:sz="2" w:space="0"/>
                  </w:tcBorders>
                  <w:vAlign w:val="center"/>
                </w:tcPr>
                <w:p>
                  <w:pPr>
                    <w:pStyle w:val="161"/>
                    <w:bidi w:val="0"/>
                  </w:pPr>
                  <w:r>
                    <w:rPr>
                      <w:rFonts w:hint="eastAsia"/>
                      <w:lang w:val="en-US" w:eastAsia="zh-CN"/>
                    </w:rPr>
                    <w:t>200m</w:t>
                  </w:r>
                </w:p>
              </w:tc>
              <w:tc>
                <w:tcPr>
                  <w:tcW w:w="529" w:type="pct"/>
                  <w:tcBorders>
                    <w:top w:val="single" w:color="000000" w:sz="2" w:space="0"/>
                    <w:bottom w:val="single" w:color="000000" w:sz="2" w:space="0"/>
                  </w:tcBorders>
                  <w:vAlign w:val="center"/>
                </w:tcPr>
                <w:p>
                  <w:pPr>
                    <w:pStyle w:val="161"/>
                    <w:bidi w:val="0"/>
                  </w:pPr>
                  <w:r>
                    <w:rPr>
                      <w:rFonts w:hint="eastAsia"/>
                      <w:lang w:val="en-US" w:eastAsia="zh-CN"/>
                    </w:rPr>
                    <w:t>238m</w:t>
                  </w:r>
                </w:p>
              </w:tc>
              <w:tc>
                <w:tcPr>
                  <w:tcW w:w="520" w:type="pct"/>
                  <w:tcBorders>
                    <w:top w:val="single" w:color="000000" w:sz="2" w:space="0"/>
                    <w:bottom w:val="single" w:color="000000" w:sz="2" w:space="0"/>
                  </w:tcBorders>
                  <w:vAlign w:val="center"/>
                </w:tcPr>
                <w:p>
                  <w:pPr>
                    <w:pStyle w:val="161"/>
                    <w:bidi w:val="0"/>
                  </w:pPr>
                  <w:r>
                    <w:rPr>
                      <w:rFonts w:hint="eastAsia"/>
                      <w:lang w:val="en-US" w:eastAsia="zh-CN"/>
                    </w:rPr>
                    <w:t>320m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84" w:hRule="atLeast"/>
                <w:jc w:val="center"/>
              </w:trPr>
              <w:tc>
                <w:tcPr>
                  <w:tcW w:w="274" w:type="pct"/>
                  <w:vMerge w:val="continue"/>
                  <w:tcBorders>
                    <w:bottom w:val="single" w:color="000000" w:sz="2" w:space="0"/>
                  </w:tcBorders>
                  <w:vAlign w:val="center"/>
                </w:tcPr>
                <w:p>
                  <w:pPr>
                    <w:pStyle w:val="161"/>
                    <w:bidi w:val="0"/>
                    <w:rPr>
                      <w:rFonts w:hint="eastAsia"/>
                      <w:lang w:val="en-US" w:eastAsia="zh-CN"/>
                    </w:rPr>
                  </w:pPr>
                </w:p>
              </w:tc>
              <w:tc>
                <w:tcPr>
                  <w:tcW w:w="699" w:type="pct"/>
                  <w:vMerge w:val="continue"/>
                  <w:tcBorders>
                    <w:bottom w:val="single" w:color="000000" w:sz="2" w:space="0"/>
                  </w:tcBorders>
                  <w:vAlign w:val="center"/>
                </w:tcPr>
                <w:p>
                  <w:pPr>
                    <w:pStyle w:val="161"/>
                    <w:bidi w:val="0"/>
                    <w:rPr>
                      <w:rFonts w:hint="eastAsia"/>
                      <w:lang w:val="en-US" w:eastAsia="zh-CN"/>
                    </w:rPr>
                  </w:pPr>
                </w:p>
              </w:tc>
              <w:tc>
                <w:tcPr>
                  <w:tcW w:w="700" w:type="pct"/>
                  <w:vMerge w:val="continue"/>
                  <w:tcBorders>
                    <w:bottom w:val="single" w:color="000000" w:sz="2" w:space="0"/>
                  </w:tcBorders>
                  <w:vAlign w:val="center"/>
                </w:tcPr>
                <w:p>
                  <w:pPr>
                    <w:pStyle w:val="161"/>
                    <w:bidi w:val="0"/>
                    <w:rPr>
                      <w:rFonts w:hint="eastAsia"/>
                      <w:lang w:eastAsia="zh-CN"/>
                    </w:rPr>
                  </w:pPr>
                </w:p>
              </w:tc>
              <w:tc>
                <w:tcPr>
                  <w:tcW w:w="1061" w:type="pct"/>
                  <w:vMerge w:val="continue"/>
                  <w:tcBorders>
                    <w:bottom w:val="single" w:color="000000" w:sz="2" w:space="0"/>
                  </w:tcBorders>
                  <w:vAlign w:val="center"/>
                </w:tcPr>
                <w:p>
                  <w:pPr>
                    <w:pStyle w:val="161"/>
                    <w:bidi w:val="0"/>
                    <w:rPr>
                      <w:rFonts w:hint="eastAsia"/>
                      <w:lang w:val="en-US" w:eastAsia="zh-CN"/>
                    </w:rPr>
                  </w:pPr>
                </w:p>
              </w:tc>
              <w:tc>
                <w:tcPr>
                  <w:tcW w:w="684" w:type="pct"/>
                  <w:tcBorders>
                    <w:top w:val="single" w:color="000000" w:sz="2" w:space="0"/>
                    <w:bottom w:val="single" w:color="000000" w:sz="2" w:space="0"/>
                  </w:tcBorders>
                  <w:vAlign w:val="center"/>
                </w:tcPr>
                <w:p>
                  <w:pPr>
                    <w:pStyle w:val="161"/>
                    <w:bidi w:val="0"/>
                    <w:rPr>
                      <w:rFonts w:hint="eastAsia"/>
                      <w:lang w:val="en-US" w:eastAsia="zh-CN"/>
                    </w:rPr>
                  </w:pPr>
                  <w:r>
                    <w:rPr>
                      <w:rFonts w:hint="eastAsia"/>
                      <w:lang w:val="en-US" w:eastAsia="zh-CN"/>
                    </w:rPr>
                    <w:t xml:space="preserve">33 </w:t>
                  </w:r>
                </w:p>
              </w:tc>
              <w:tc>
                <w:tcPr>
                  <w:tcW w:w="529" w:type="pct"/>
                  <w:tcBorders>
                    <w:top w:val="single" w:color="000000" w:sz="2" w:space="0"/>
                    <w:bottom w:val="single" w:color="000000" w:sz="2" w:space="0"/>
                  </w:tcBorders>
                  <w:vAlign w:val="center"/>
                </w:tcPr>
                <w:p>
                  <w:pPr>
                    <w:pStyle w:val="161"/>
                    <w:bidi w:val="0"/>
                    <w:rPr>
                      <w:rFonts w:hint="eastAsia"/>
                      <w:lang w:val="en-US" w:eastAsia="zh-CN"/>
                    </w:rPr>
                  </w:pPr>
                  <w:r>
                    <w:rPr>
                      <w:rFonts w:hint="eastAsia"/>
                      <w:lang w:val="en-US" w:eastAsia="zh-CN"/>
                    </w:rPr>
                    <w:t xml:space="preserve">24 </w:t>
                  </w:r>
                </w:p>
              </w:tc>
              <w:tc>
                <w:tcPr>
                  <w:tcW w:w="529" w:type="pct"/>
                  <w:tcBorders>
                    <w:top w:val="single" w:color="000000" w:sz="2" w:space="0"/>
                    <w:bottom w:val="single" w:color="000000" w:sz="2" w:space="0"/>
                  </w:tcBorders>
                  <w:vAlign w:val="center"/>
                </w:tcPr>
                <w:p>
                  <w:pPr>
                    <w:pStyle w:val="161"/>
                    <w:bidi w:val="0"/>
                    <w:rPr>
                      <w:rFonts w:hint="eastAsia"/>
                      <w:lang w:val="en-US" w:eastAsia="zh-CN"/>
                    </w:rPr>
                  </w:pPr>
                  <w:r>
                    <w:rPr>
                      <w:rFonts w:hint="eastAsia"/>
                      <w:lang w:val="en-US" w:eastAsia="zh-CN"/>
                    </w:rPr>
                    <w:t xml:space="preserve">22 </w:t>
                  </w:r>
                </w:p>
              </w:tc>
              <w:tc>
                <w:tcPr>
                  <w:tcW w:w="520" w:type="pct"/>
                  <w:tcBorders>
                    <w:top w:val="single" w:color="000000" w:sz="2" w:space="0"/>
                    <w:bottom w:val="single" w:color="000000" w:sz="2" w:space="0"/>
                  </w:tcBorders>
                  <w:vAlign w:val="center"/>
                </w:tcPr>
                <w:p>
                  <w:pPr>
                    <w:pStyle w:val="161"/>
                    <w:bidi w:val="0"/>
                    <w:rPr>
                      <w:rFonts w:hint="eastAsia"/>
                      <w:lang w:val="en-US" w:eastAsia="zh-CN"/>
                    </w:rPr>
                  </w:pPr>
                  <w:r>
                    <w:rPr>
                      <w:rFonts w:hint="eastAsia"/>
                      <w:lang w:val="en-US" w:eastAsia="zh-CN"/>
                    </w:rPr>
                    <w:t xml:space="preserve">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64" w:hRule="atLeast"/>
                <w:jc w:val="center"/>
              </w:trPr>
              <w:tc>
                <w:tcPr>
                  <w:tcW w:w="274" w:type="pct"/>
                  <w:vMerge w:val="restart"/>
                  <w:tcBorders>
                    <w:top w:val="single" w:color="000000" w:sz="2" w:space="0"/>
                  </w:tcBorders>
                  <w:vAlign w:val="center"/>
                </w:tcPr>
                <w:p>
                  <w:pPr>
                    <w:pStyle w:val="161"/>
                    <w:bidi w:val="0"/>
                    <w:rPr>
                      <w:rFonts w:hint="eastAsia"/>
                      <w:lang w:val="en-US" w:eastAsia="zh-CN"/>
                    </w:rPr>
                  </w:pPr>
                  <w:r>
                    <w:rPr>
                      <w:rFonts w:hint="eastAsia"/>
                      <w:lang w:val="en-US" w:eastAsia="zh-CN"/>
                    </w:rPr>
                    <w:t>6</w:t>
                  </w:r>
                </w:p>
              </w:tc>
              <w:tc>
                <w:tcPr>
                  <w:tcW w:w="699" w:type="pct"/>
                  <w:vMerge w:val="restart"/>
                  <w:tcBorders>
                    <w:top w:val="single" w:color="000000" w:sz="2" w:space="0"/>
                  </w:tcBorders>
                  <w:vAlign w:val="center"/>
                </w:tcPr>
                <w:p>
                  <w:pPr>
                    <w:pStyle w:val="161"/>
                    <w:bidi w:val="0"/>
                    <w:rPr>
                      <w:rFonts w:hint="eastAsia"/>
                      <w:lang w:val="en-US" w:eastAsia="zh-CN"/>
                    </w:rPr>
                  </w:pPr>
                  <w:r>
                    <w:rPr>
                      <w:rFonts w:hint="eastAsia"/>
                      <w:lang w:eastAsia="zh-CN"/>
                    </w:rPr>
                    <w:t>增压器</w:t>
                  </w:r>
                </w:p>
              </w:tc>
              <w:tc>
                <w:tcPr>
                  <w:tcW w:w="700" w:type="pct"/>
                  <w:vMerge w:val="restart"/>
                  <w:tcBorders>
                    <w:top w:val="single" w:color="000000" w:sz="2" w:space="0"/>
                  </w:tcBorders>
                  <w:vAlign w:val="center"/>
                </w:tcPr>
                <w:p>
                  <w:pPr>
                    <w:pStyle w:val="161"/>
                    <w:bidi w:val="0"/>
                    <w:rPr>
                      <w:lang w:val="en-US" w:eastAsia="zh-CN"/>
                    </w:rPr>
                  </w:pPr>
                  <w:r>
                    <w:rPr>
                      <w:rFonts w:hint="eastAsia"/>
                      <w:lang w:eastAsia="zh-CN"/>
                    </w:rPr>
                    <w:t>间歇</w:t>
                  </w:r>
                </w:p>
              </w:tc>
              <w:tc>
                <w:tcPr>
                  <w:tcW w:w="1061" w:type="pct"/>
                  <w:vMerge w:val="restart"/>
                  <w:tcBorders>
                    <w:top w:val="single" w:color="000000" w:sz="2" w:space="0"/>
                  </w:tcBorders>
                  <w:vAlign w:val="center"/>
                </w:tcPr>
                <w:p>
                  <w:pPr>
                    <w:pStyle w:val="161"/>
                    <w:bidi w:val="0"/>
                    <w:rPr>
                      <w:rFonts w:hint="default"/>
                      <w:lang w:val="en-US" w:eastAsia="zh-CN"/>
                    </w:rPr>
                  </w:pPr>
                  <w:r>
                    <w:rPr>
                      <w:rFonts w:hint="eastAsia"/>
                      <w:lang w:val="en-US" w:eastAsia="zh-CN"/>
                    </w:rPr>
                    <w:t>60</w:t>
                  </w:r>
                </w:p>
              </w:tc>
              <w:tc>
                <w:tcPr>
                  <w:tcW w:w="684" w:type="pct"/>
                  <w:tcBorders>
                    <w:top w:val="single" w:color="000000" w:sz="2" w:space="0"/>
                    <w:bottom w:val="single" w:color="000000" w:sz="2" w:space="0"/>
                  </w:tcBorders>
                  <w:vAlign w:val="center"/>
                </w:tcPr>
                <w:p>
                  <w:pPr>
                    <w:pStyle w:val="161"/>
                    <w:bidi w:val="0"/>
                  </w:pPr>
                  <w:r>
                    <w:rPr>
                      <w:rFonts w:hint="eastAsia"/>
                      <w:lang w:val="en-US" w:eastAsia="zh-CN"/>
                    </w:rPr>
                    <w:t>193m</w:t>
                  </w:r>
                </w:p>
              </w:tc>
              <w:tc>
                <w:tcPr>
                  <w:tcW w:w="529" w:type="pct"/>
                  <w:tcBorders>
                    <w:top w:val="single" w:color="000000" w:sz="2" w:space="0"/>
                    <w:bottom w:val="single" w:color="000000" w:sz="2" w:space="0"/>
                  </w:tcBorders>
                  <w:vAlign w:val="center"/>
                </w:tcPr>
                <w:p>
                  <w:pPr>
                    <w:pStyle w:val="161"/>
                    <w:bidi w:val="0"/>
                  </w:pPr>
                  <w:r>
                    <w:rPr>
                      <w:rFonts w:hint="eastAsia"/>
                      <w:lang w:val="en-US" w:eastAsia="zh-CN"/>
                    </w:rPr>
                    <w:t>321m</w:t>
                  </w:r>
                </w:p>
              </w:tc>
              <w:tc>
                <w:tcPr>
                  <w:tcW w:w="529" w:type="pct"/>
                  <w:tcBorders>
                    <w:top w:val="single" w:color="000000" w:sz="2" w:space="0"/>
                    <w:bottom w:val="single" w:color="000000" w:sz="2" w:space="0"/>
                  </w:tcBorders>
                  <w:vAlign w:val="center"/>
                </w:tcPr>
                <w:p>
                  <w:pPr>
                    <w:pStyle w:val="161"/>
                    <w:bidi w:val="0"/>
                  </w:pPr>
                  <w:r>
                    <w:rPr>
                      <w:rFonts w:hint="eastAsia"/>
                      <w:lang w:val="en-US" w:eastAsia="zh-CN"/>
                    </w:rPr>
                    <w:t>125m</w:t>
                  </w:r>
                </w:p>
              </w:tc>
              <w:tc>
                <w:tcPr>
                  <w:tcW w:w="520" w:type="pct"/>
                  <w:tcBorders>
                    <w:top w:val="single" w:color="000000" w:sz="2" w:space="0"/>
                    <w:bottom w:val="single" w:color="000000" w:sz="2" w:space="0"/>
                  </w:tcBorders>
                  <w:vAlign w:val="center"/>
                </w:tcPr>
                <w:p>
                  <w:pPr>
                    <w:pStyle w:val="161"/>
                    <w:bidi w:val="0"/>
                  </w:pPr>
                  <w:r>
                    <w:rPr>
                      <w:rFonts w:hint="eastAsia"/>
                      <w:lang w:val="en-US" w:eastAsia="zh-CN"/>
                    </w:rPr>
                    <w:t>203m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53" w:hRule="atLeast"/>
                <w:jc w:val="center"/>
              </w:trPr>
              <w:tc>
                <w:tcPr>
                  <w:tcW w:w="274" w:type="pct"/>
                  <w:vMerge w:val="continue"/>
                  <w:vAlign w:val="center"/>
                </w:tcPr>
                <w:p>
                  <w:pPr>
                    <w:pStyle w:val="161"/>
                    <w:bidi w:val="0"/>
                    <w:rPr>
                      <w:rFonts w:hint="eastAsia"/>
                      <w:lang w:val="en-US" w:eastAsia="zh-CN"/>
                    </w:rPr>
                  </w:pPr>
                </w:p>
              </w:tc>
              <w:tc>
                <w:tcPr>
                  <w:tcW w:w="699" w:type="pct"/>
                  <w:vMerge w:val="continue"/>
                  <w:vAlign w:val="center"/>
                </w:tcPr>
                <w:p>
                  <w:pPr>
                    <w:pStyle w:val="161"/>
                    <w:bidi w:val="0"/>
                    <w:rPr>
                      <w:rFonts w:hint="eastAsia"/>
                      <w:lang w:eastAsia="zh-CN"/>
                    </w:rPr>
                  </w:pPr>
                </w:p>
              </w:tc>
              <w:tc>
                <w:tcPr>
                  <w:tcW w:w="700" w:type="pct"/>
                  <w:vMerge w:val="continue"/>
                  <w:vAlign w:val="center"/>
                </w:tcPr>
                <w:p>
                  <w:pPr>
                    <w:pStyle w:val="161"/>
                    <w:bidi w:val="0"/>
                    <w:rPr>
                      <w:rFonts w:hint="eastAsia"/>
                      <w:lang w:eastAsia="zh-CN"/>
                    </w:rPr>
                  </w:pPr>
                </w:p>
              </w:tc>
              <w:tc>
                <w:tcPr>
                  <w:tcW w:w="1061" w:type="pct"/>
                  <w:vMerge w:val="continue"/>
                  <w:vAlign w:val="center"/>
                </w:tcPr>
                <w:p>
                  <w:pPr>
                    <w:pStyle w:val="161"/>
                    <w:bidi w:val="0"/>
                    <w:rPr>
                      <w:rFonts w:hint="eastAsia"/>
                      <w:lang w:val="en-US" w:eastAsia="zh-CN"/>
                    </w:rPr>
                  </w:pPr>
                </w:p>
              </w:tc>
              <w:tc>
                <w:tcPr>
                  <w:tcW w:w="684" w:type="pct"/>
                  <w:tcBorders>
                    <w:top w:val="single" w:color="000000" w:sz="2" w:space="0"/>
                  </w:tcBorders>
                  <w:vAlign w:val="center"/>
                </w:tcPr>
                <w:p>
                  <w:pPr>
                    <w:pStyle w:val="161"/>
                    <w:bidi w:val="0"/>
                    <w:rPr>
                      <w:rFonts w:hint="eastAsia"/>
                      <w:lang w:val="en-US" w:eastAsia="zh-CN"/>
                    </w:rPr>
                  </w:pPr>
                  <w:r>
                    <w:rPr>
                      <w:rFonts w:hint="eastAsia"/>
                      <w:lang w:val="en-US" w:eastAsia="zh-CN"/>
                    </w:rPr>
                    <w:t xml:space="preserve">24 </w:t>
                  </w:r>
                </w:p>
              </w:tc>
              <w:tc>
                <w:tcPr>
                  <w:tcW w:w="529" w:type="pct"/>
                  <w:tcBorders>
                    <w:top w:val="single" w:color="000000" w:sz="2" w:space="0"/>
                  </w:tcBorders>
                  <w:vAlign w:val="center"/>
                </w:tcPr>
                <w:p>
                  <w:pPr>
                    <w:pStyle w:val="161"/>
                    <w:bidi w:val="0"/>
                    <w:rPr>
                      <w:rFonts w:hint="eastAsia"/>
                      <w:lang w:val="en-US" w:eastAsia="zh-CN"/>
                    </w:rPr>
                  </w:pPr>
                  <w:r>
                    <w:rPr>
                      <w:rFonts w:hint="eastAsia"/>
                      <w:lang w:val="en-US" w:eastAsia="zh-CN"/>
                    </w:rPr>
                    <w:t xml:space="preserve">20 </w:t>
                  </w:r>
                </w:p>
              </w:tc>
              <w:tc>
                <w:tcPr>
                  <w:tcW w:w="529" w:type="pct"/>
                  <w:tcBorders>
                    <w:top w:val="single" w:color="000000" w:sz="2" w:space="0"/>
                  </w:tcBorders>
                  <w:vAlign w:val="center"/>
                </w:tcPr>
                <w:p>
                  <w:pPr>
                    <w:pStyle w:val="161"/>
                    <w:bidi w:val="0"/>
                    <w:rPr>
                      <w:rFonts w:hint="eastAsia"/>
                      <w:lang w:val="en-US" w:eastAsia="zh-CN"/>
                    </w:rPr>
                  </w:pPr>
                  <w:r>
                    <w:rPr>
                      <w:rFonts w:hint="eastAsia"/>
                      <w:lang w:val="en-US" w:eastAsia="zh-CN"/>
                    </w:rPr>
                    <w:t xml:space="preserve">28 </w:t>
                  </w:r>
                </w:p>
              </w:tc>
              <w:tc>
                <w:tcPr>
                  <w:tcW w:w="520" w:type="pct"/>
                  <w:tcBorders>
                    <w:top w:val="single" w:color="000000" w:sz="2" w:space="0"/>
                  </w:tcBorders>
                  <w:vAlign w:val="center"/>
                </w:tcPr>
                <w:p>
                  <w:pPr>
                    <w:pStyle w:val="161"/>
                    <w:bidi w:val="0"/>
                    <w:rPr>
                      <w:rFonts w:hint="eastAsia"/>
                      <w:lang w:val="en-US" w:eastAsia="zh-CN"/>
                    </w:rPr>
                  </w:pPr>
                  <w:r>
                    <w:rPr>
                      <w:rFonts w:hint="eastAsia"/>
                      <w:lang w:val="en-US" w:eastAsia="zh-CN"/>
                    </w:rPr>
                    <w:t xml:space="preserve">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20" w:hRule="atLeast"/>
                <w:jc w:val="center"/>
              </w:trPr>
              <w:tc>
                <w:tcPr>
                  <w:tcW w:w="2736" w:type="pct"/>
                  <w:gridSpan w:val="4"/>
                  <w:vAlign w:val="center"/>
                </w:tcPr>
                <w:p>
                  <w:pPr>
                    <w:pStyle w:val="161"/>
                    <w:bidi w:val="0"/>
                  </w:pPr>
                  <w:r>
                    <w:t>贡献值</w:t>
                  </w:r>
                </w:p>
              </w:tc>
              <w:tc>
                <w:tcPr>
                  <w:tcW w:w="684" w:type="pct"/>
                  <w:vAlign w:val="center"/>
                </w:tcPr>
                <w:p>
                  <w:pPr>
                    <w:pStyle w:val="161"/>
                    <w:bidi w:val="0"/>
                  </w:pPr>
                  <w:r>
                    <w:rPr>
                      <w:rFonts w:hint="eastAsia" w:eastAsia="宋体"/>
                      <w:lang w:val="en-US" w:eastAsia="zh-CN"/>
                    </w:rPr>
                    <w:t>38</w:t>
                  </w:r>
                  <w:r>
                    <w:rPr>
                      <w:rFonts w:hint="eastAsia"/>
                    </w:rPr>
                    <w:t xml:space="preserve"> </w:t>
                  </w:r>
                </w:p>
              </w:tc>
              <w:tc>
                <w:tcPr>
                  <w:tcW w:w="529" w:type="pct"/>
                  <w:vAlign w:val="center"/>
                </w:tcPr>
                <w:p>
                  <w:pPr>
                    <w:pStyle w:val="161"/>
                    <w:bidi w:val="0"/>
                    <w:rPr>
                      <w:rFonts w:hint="default" w:eastAsia="宋体"/>
                      <w:lang w:val="en-US" w:eastAsia="zh-CN"/>
                    </w:rPr>
                  </w:pPr>
                  <w:r>
                    <w:rPr>
                      <w:rFonts w:hint="eastAsia" w:eastAsia="宋体"/>
                      <w:lang w:val="en-US" w:eastAsia="zh-CN"/>
                    </w:rPr>
                    <w:t>29</w:t>
                  </w:r>
                </w:p>
              </w:tc>
              <w:tc>
                <w:tcPr>
                  <w:tcW w:w="529" w:type="pct"/>
                  <w:vAlign w:val="center"/>
                </w:tcPr>
                <w:p>
                  <w:pPr>
                    <w:pStyle w:val="161"/>
                    <w:bidi w:val="0"/>
                    <w:rPr>
                      <w:rFonts w:hint="default" w:eastAsia="宋体"/>
                      <w:lang w:val="en-US" w:eastAsia="zh-CN"/>
                    </w:rPr>
                  </w:pPr>
                  <w:r>
                    <w:rPr>
                      <w:rFonts w:hint="eastAsia" w:eastAsia="宋体"/>
                      <w:lang w:val="en-US" w:eastAsia="zh-CN"/>
                    </w:rPr>
                    <w:t>33</w:t>
                  </w:r>
                </w:p>
              </w:tc>
              <w:tc>
                <w:tcPr>
                  <w:tcW w:w="520" w:type="pct"/>
                  <w:vAlign w:val="center"/>
                </w:tcPr>
                <w:p>
                  <w:pPr>
                    <w:pStyle w:val="161"/>
                    <w:bidi w:val="0"/>
                  </w:pPr>
                  <w:r>
                    <w:rPr>
                      <w:rFonts w:hint="eastAsia" w:eastAsia="宋体"/>
                      <w:lang w:val="en-US" w:eastAsia="zh-CN"/>
                    </w:rPr>
                    <w:t>31</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5" w:hRule="atLeast"/>
                <w:jc w:val="center"/>
              </w:trPr>
              <w:tc>
                <w:tcPr>
                  <w:tcW w:w="1674" w:type="pct"/>
                  <w:gridSpan w:val="3"/>
                  <w:vMerge w:val="restart"/>
                  <w:tcBorders>
                    <w:right w:val="single" w:color="000000" w:sz="2" w:space="0"/>
                  </w:tcBorders>
                  <w:vAlign w:val="center"/>
                </w:tcPr>
                <w:p>
                  <w:pPr>
                    <w:pStyle w:val="161"/>
                    <w:bidi w:val="0"/>
                    <w:rPr>
                      <w:rFonts w:hint="eastAsia" w:eastAsia="宋体"/>
                      <w:lang w:eastAsia="zh-CN"/>
                    </w:rPr>
                  </w:pPr>
                  <w:r>
                    <w:rPr>
                      <w:rFonts w:hint="eastAsia" w:eastAsia="宋体"/>
                      <w:lang w:eastAsia="zh-CN"/>
                    </w:rPr>
                    <w:t>厂界背景值</w:t>
                  </w:r>
                </w:p>
              </w:tc>
              <w:tc>
                <w:tcPr>
                  <w:tcW w:w="1061" w:type="pct"/>
                  <w:tcBorders>
                    <w:left w:val="single" w:color="000000" w:sz="2" w:space="0"/>
                    <w:bottom w:val="single" w:color="000000" w:sz="2" w:space="0"/>
                  </w:tcBorders>
                  <w:vAlign w:val="center"/>
                </w:tcPr>
                <w:p>
                  <w:pPr>
                    <w:pStyle w:val="161"/>
                    <w:bidi w:val="0"/>
                    <w:rPr>
                      <w:rFonts w:hint="eastAsia" w:eastAsia="宋体"/>
                      <w:lang w:eastAsia="zh-CN"/>
                    </w:rPr>
                  </w:pPr>
                  <w:r>
                    <w:rPr>
                      <w:rFonts w:hint="eastAsia" w:eastAsia="宋体"/>
                      <w:lang w:eastAsia="zh-CN"/>
                    </w:rPr>
                    <w:t>昼间</w:t>
                  </w:r>
                </w:p>
              </w:tc>
              <w:tc>
                <w:tcPr>
                  <w:tcW w:w="684" w:type="pct"/>
                  <w:tcBorders>
                    <w:bottom w:val="single" w:color="000000" w:sz="2" w:space="0"/>
                  </w:tcBorders>
                  <w:vAlign w:val="center"/>
                </w:tcPr>
                <w:p>
                  <w:pPr>
                    <w:pStyle w:val="161"/>
                    <w:bidi w:val="0"/>
                    <w:rPr>
                      <w:rFonts w:hint="default" w:eastAsia="宋体"/>
                      <w:lang w:val="en-US" w:eastAsia="zh-CN"/>
                    </w:rPr>
                  </w:pPr>
                  <w:r>
                    <w:rPr>
                      <w:rFonts w:hint="eastAsia" w:eastAsia="宋体"/>
                      <w:lang w:val="en-US" w:eastAsia="zh-CN"/>
                    </w:rPr>
                    <w:t>67</w:t>
                  </w:r>
                </w:p>
              </w:tc>
              <w:tc>
                <w:tcPr>
                  <w:tcW w:w="529" w:type="pct"/>
                  <w:tcBorders>
                    <w:bottom w:val="single" w:color="000000" w:sz="2" w:space="0"/>
                  </w:tcBorders>
                  <w:vAlign w:val="center"/>
                </w:tcPr>
                <w:p>
                  <w:pPr>
                    <w:pStyle w:val="161"/>
                    <w:bidi w:val="0"/>
                    <w:rPr>
                      <w:rFonts w:hint="default" w:eastAsia="宋体"/>
                      <w:lang w:val="en-US" w:eastAsia="zh-CN"/>
                    </w:rPr>
                  </w:pPr>
                  <w:r>
                    <w:rPr>
                      <w:rFonts w:hint="eastAsia" w:eastAsia="宋体"/>
                      <w:lang w:val="en-US" w:eastAsia="zh-CN"/>
                    </w:rPr>
                    <w:t>62</w:t>
                  </w:r>
                </w:p>
              </w:tc>
              <w:tc>
                <w:tcPr>
                  <w:tcW w:w="529" w:type="pct"/>
                  <w:tcBorders>
                    <w:bottom w:val="single" w:color="000000" w:sz="2" w:space="0"/>
                  </w:tcBorders>
                  <w:vAlign w:val="center"/>
                </w:tcPr>
                <w:p>
                  <w:pPr>
                    <w:pStyle w:val="161"/>
                    <w:bidi w:val="0"/>
                    <w:rPr>
                      <w:rFonts w:hint="default" w:eastAsia="宋体"/>
                      <w:lang w:val="en-US" w:eastAsia="zh-CN"/>
                    </w:rPr>
                  </w:pPr>
                  <w:r>
                    <w:rPr>
                      <w:rFonts w:hint="eastAsia" w:eastAsia="宋体"/>
                      <w:lang w:val="en-US" w:eastAsia="zh-CN"/>
                    </w:rPr>
                    <w:t>56</w:t>
                  </w:r>
                </w:p>
              </w:tc>
              <w:tc>
                <w:tcPr>
                  <w:tcW w:w="520" w:type="pct"/>
                  <w:tcBorders>
                    <w:bottom w:val="single" w:color="000000" w:sz="2" w:space="0"/>
                  </w:tcBorders>
                  <w:vAlign w:val="center"/>
                </w:tcPr>
                <w:p>
                  <w:pPr>
                    <w:pStyle w:val="161"/>
                    <w:bidi w:val="0"/>
                    <w:rPr>
                      <w:rFonts w:hint="default" w:eastAsia="宋体"/>
                      <w:lang w:val="en-US" w:eastAsia="zh-CN"/>
                    </w:rPr>
                  </w:pPr>
                  <w:r>
                    <w:rPr>
                      <w:rFonts w:hint="eastAsia" w:eastAsia="宋体"/>
                      <w:lang w:val="en-US" w:eastAsia="zh-CN"/>
                    </w:rPr>
                    <w:t>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37" w:hRule="atLeast"/>
                <w:jc w:val="center"/>
              </w:trPr>
              <w:tc>
                <w:tcPr>
                  <w:tcW w:w="1674" w:type="pct"/>
                  <w:gridSpan w:val="3"/>
                  <w:vMerge w:val="continue"/>
                  <w:tcBorders>
                    <w:right w:val="single" w:color="000000" w:sz="2" w:space="0"/>
                  </w:tcBorders>
                  <w:vAlign w:val="center"/>
                </w:tcPr>
                <w:p>
                  <w:pPr>
                    <w:pStyle w:val="161"/>
                    <w:bidi w:val="0"/>
                    <w:rPr>
                      <w:rFonts w:hint="eastAsia" w:eastAsia="宋体"/>
                      <w:lang w:eastAsia="zh-CN"/>
                    </w:rPr>
                  </w:pPr>
                </w:p>
              </w:tc>
              <w:tc>
                <w:tcPr>
                  <w:tcW w:w="1061" w:type="pct"/>
                  <w:tcBorders>
                    <w:top w:val="single" w:color="000000" w:sz="2" w:space="0"/>
                    <w:left w:val="single" w:color="000000" w:sz="2" w:space="0"/>
                    <w:bottom w:val="single" w:color="000000" w:sz="2" w:space="0"/>
                  </w:tcBorders>
                  <w:vAlign w:val="center"/>
                </w:tcPr>
                <w:p>
                  <w:pPr>
                    <w:pStyle w:val="161"/>
                    <w:bidi w:val="0"/>
                    <w:rPr>
                      <w:rFonts w:hint="eastAsia" w:eastAsia="宋体"/>
                      <w:lang w:eastAsia="zh-CN"/>
                    </w:rPr>
                  </w:pPr>
                  <w:r>
                    <w:rPr>
                      <w:rFonts w:hint="eastAsia" w:eastAsia="宋体"/>
                      <w:lang w:eastAsia="zh-CN"/>
                    </w:rPr>
                    <w:t>夜间</w:t>
                  </w:r>
                </w:p>
              </w:tc>
              <w:tc>
                <w:tcPr>
                  <w:tcW w:w="684" w:type="pct"/>
                  <w:tcBorders>
                    <w:top w:val="single" w:color="000000" w:sz="2" w:space="0"/>
                  </w:tcBorders>
                  <w:vAlign w:val="center"/>
                </w:tcPr>
                <w:p>
                  <w:pPr>
                    <w:pStyle w:val="161"/>
                    <w:bidi w:val="0"/>
                    <w:rPr>
                      <w:rFonts w:hint="default" w:eastAsia="宋体"/>
                      <w:lang w:val="en-US" w:eastAsia="zh-CN"/>
                    </w:rPr>
                  </w:pPr>
                  <w:r>
                    <w:rPr>
                      <w:rFonts w:hint="eastAsia" w:eastAsia="宋体"/>
                      <w:lang w:val="en-US" w:eastAsia="zh-CN"/>
                    </w:rPr>
                    <w:t>53</w:t>
                  </w:r>
                </w:p>
              </w:tc>
              <w:tc>
                <w:tcPr>
                  <w:tcW w:w="529" w:type="pct"/>
                  <w:tcBorders>
                    <w:top w:val="single" w:color="000000" w:sz="2" w:space="0"/>
                  </w:tcBorders>
                  <w:vAlign w:val="center"/>
                </w:tcPr>
                <w:p>
                  <w:pPr>
                    <w:pStyle w:val="161"/>
                    <w:bidi w:val="0"/>
                    <w:rPr>
                      <w:rFonts w:hint="default" w:eastAsia="宋体"/>
                      <w:lang w:val="en-US" w:eastAsia="zh-CN"/>
                    </w:rPr>
                  </w:pPr>
                  <w:r>
                    <w:rPr>
                      <w:rFonts w:hint="eastAsia" w:eastAsia="宋体"/>
                      <w:lang w:val="en-US" w:eastAsia="zh-CN"/>
                    </w:rPr>
                    <w:t>51</w:t>
                  </w:r>
                </w:p>
              </w:tc>
              <w:tc>
                <w:tcPr>
                  <w:tcW w:w="529" w:type="pct"/>
                  <w:tcBorders>
                    <w:top w:val="single" w:color="000000" w:sz="2" w:space="0"/>
                  </w:tcBorders>
                  <w:vAlign w:val="center"/>
                </w:tcPr>
                <w:p>
                  <w:pPr>
                    <w:pStyle w:val="161"/>
                    <w:bidi w:val="0"/>
                    <w:rPr>
                      <w:rFonts w:hint="default" w:eastAsia="宋体"/>
                      <w:lang w:val="en-US" w:eastAsia="zh-CN"/>
                    </w:rPr>
                  </w:pPr>
                  <w:r>
                    <w:rPr>
                      <w:rFonts w:hint="eastAsia" w:eastAsia="宋体"/>
                      <w:lang w:val="en-US" w:eastAsia="zh-CN"/>
                    </w:rPr>
                    <w:t>47.5</w:t>
                  </w:r>
                </w:p>
              </w:tc>
              <w:tc>
                <w:tcPr>
                  <w:tcW w:w="520" w:type="pct"/>
                  <w:tcBorders>
                    <w:top w:val="single" w:color="000000" w:sz="2" w:space="0"/>
                  </w:tcBorders>
                  <w:vAlign w:val="center"/>
                </w:tcPr>
                <w:p>
                  <w:pPr>
                    <w:pStyle w:val="161"/>
                    <w:bidi w:val="0"/>
                    <w:rPr>
                      <w:rFonts w:hint="default" w:eastAsia="宋体"/>
                      <w:lang w:val="en-US" w:eastAsia="zh-CN"/>
                    </w:rPr>
                  </w:pPr>
                  <w:r>
                    <w:rPr>
                      <w:rFonts w:hint="eastAsia" w:eastAsia="宋体"/>
                      <w:lang w:val="en-US" w:eastAsia="zh-CN"/>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674" w:type="pct"/>
                  <w:gridSpan w:val="3"/>
                  <w:vMerge w:val="restart"/>
                  <w:vAlign w:val="center"/>
                </w:tcPr>
                <w:p>
                  <w:pPr>
                    <w:pStyle w:val="161"/>
                    <w:bidi w:val="0"/>
                  </w:pPr>
                  <w:r>
                    <w:t>执行标准《工业企业厂界环境噪声排放标准》GB12348-2008</w:t>
                  </w:r>
                </w:p>
              </w:tc>
              <w:tc>
                <w:tcPr>
                  <w:tcW w:w="1061" w:type="pct"/>
                  <w:vAlign w:val="center"/>
                </w:tcPr>
                <w:p>
                  <w:pPr>
                    <w:pStyle w:val="161"/>
                    <w:bidi w:val="0"/>
                  </w:pPr>
                  <w:r>
                    <w:t>昼间</w:t>
                  </w:r>
                </w:p>
              </w:tc>
              <w:tc>
                <w:tcPr>
                  <w:tcW w:w="684" w:type="pct"/>
                  <w:vAlign w:val="center"/>
                </w:tcPr>
                <w:p>
                  <w:pPr>
                    <w:pStyle w:val="161"/>
                    <w:bidi w:val="0"/>
                    <w:rPr>
                      <w:rFonts w:hint="default" w:eastAsia="宋体"/>
                      <w:lang w:val="en-US" w:eastAsia="zh-CN"/>
                    </w:rPr>
                  </w:pPr>
                  <w:r>
                    <w:rPr>
                      <w:rFonts w:hint="eastAsia" w:eastAsia="宋体"/>
                      <w:lang w:val="en-US" w:eastAsia="zh-CN"/>
                    </w:rPr>
                    <w:t>70</w:t>
                  </w:r>
                </w:p>
              </w:tc>
              <w:tc>
                <w:tcPr>
                  <w:tcW w:w="529" w:type="pct"/>
                  <w:vAlign w:val="center"/>
                </w:tcPr>
                <w:p>
                  <w:pPr>
                    <w:pStyle w:val="161"/>
                    <w:bidi w:val="0"/>
                  </w:pPr>
                  <w:r>
                    <w:t>60</w:t>
                  </w:r>
                </w:p>
              </w:tc>
              <w:tc>
                <w:tcPr>
                  <w:tcW w:w="529" w:type="pct"/>
                  <w:vAlign w:val="center"/>
                </w:tcPr>
                <w:p>
                  <w:pPr>
                    <w:pStyle w:val="161"/>
                    <w:bidi w:val="0"/>
                  </w:pPr>
                  <w:r>
                    <w:t>60</w:t>
                  </w:r>
                </w:p>
              </w:tc>
              <w:tc>
                <w:tcPr>
                  <w:tcW w:w="520" w:type="pct"/>
                  <w:vAlign w:val="center"/>
                </w:tcPr>
                <w:p>
                  <w:pPr>
                    <w:pStyle w:val="161"/>
                    <w:bidi w:val="0"/>
                  </w:pPr>
                  <w: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674" w:type="pct"/>
                  <w:gridSpan w:val="3"/>
                  <w:vMerge w:val="continue"/>
                  <w:vAlign w:val="center"/>
                </w:tcPr>
                <w:p>
                  <w:pPr>
                    <w:pStyle w:val="161"/>
                    <w:bidi w:val="0"/>
                  </w:pPr>
                </w:p>
              </w:tc>
              <w:tc>
                <w:tcPr>
                  <w:tcW w:w="1061" w:type="pct"/>
                  <w:vAlign w:val="center"/>
                </w:tcPr>
                <w:p>
                  <w:pPr>
                    <w:pStyle w:val="161"/>
                    <w:bidi w:val="0"/>
                  </w:pPr>
                  <w:r>
                    <w:t>夜间</w:t>
                  </w:r>
                </w:p>
              </w:tc>
              <w:tc>
                <w:tcPr>
                  <w:tcW w:w="684" w:type="pct"/>
                  <w:vAlign w:val="center"/>
                </w:tcPr>
                <w:p>
                  <w:pPr>
                    <w:pStyle w:val="161"/>
                    <w:bidi w:val="0"/>
                    <w:rPr>
                      <w:rFonts w:hint="default" w:eastAsia="宋体"/>
                      <w:lang w:val="en-US" w:eastAsia="zh-CN"/>
                    </w:rPr>
                  </w:pPr>
                  <w:r>
                    <w:rPr>
                      <w:rFonts w:hint="eastAsia" w:eastAsia="宋体"/>
                      <w:lang w:val="en-US" w:eastAsia="zh-CN"/>
                    </w:rPr>
                    <w:t>55</w:t>
                  </w:r>
                </w:p>
              </w:tc>
              <w:tc>
                <w:tcPr>
                  <w:tcW w:w="529" w:type="pct"/>
                  <w:vAlign w:val="center"/>
                </w:tcPr>
                <w:p>
                  <w:pPr>
                    <w:pStyle w:val="161"/>
                    <w:bidi w:val="0"/>
                  </w:pPr>
                  <w:r>
                    <w:t>50</w:t>
                  </w:r>
                </w:p>
              </w:tc>
              <w:tc>
                <w:tcPr>
                  <w:tcW w:w="529" w:type="pct"/>
                  <w:vAlign w:val="center"/>
                </w:tcPr>
                <w:p>
                  <w:pPr>
                    <w:pStyle w:val="161"/>
                    <w:bidi w:val="0"/>
                  </w:pPr>
                  <w:r>
                    <w:t>50</w:t>
                  </w:r>
                </w:p>
              </w:tc>
              <w:tc>
                <w:tcPr>
                  <w:tcW w:w="520" w:type="pct"/>
                  <w:vAlign w:val="center"/>
                </w:tcPr>
                <w:p>
                  <w:pPr>
                    <w:pStyle w:val="161"/>
                    <w:bidi w:val="0"/>
                  </w:pPr>
                  <w: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674" w:type="pct"/>
                  <w:gridSpan w:val="3"/>
                  <w:vAlign w:val="center"/>
                </w:tcPr>
                <w:p>
                  <w:pPr>
                    <w:pStyle w:val="161"/>
                    <w:bidi w:val="0"/>
                  </w:pPr>
                  <w:r>
                    <w:t>达标情况</w:t>
                  </w:r>
                </w:p>
              </w:tc>
              <w:tc>
                <w:tcPr>
                  <w:tcW w:w="1061" w:type="pct"/>
                  <w:vAlign w:val="center"/>
                </w:tcPr>
                <w:p>
                  <w:pPr>
                    <w:pStyle w:val="161"/>
                    <w:bidi w:val="0"/>
                  </w:pPr>
                  <w:r>
                    <w:t>昼间</w:t>
                  </w:r>
                </w:p>
              </w:tc>
              <w:tc>
                <w:tcPr>
                  <w:tcW w:w="684" w:type="pct"/>
                  <w:vAlign w:val="center"/>
                </w:tcPr>
                <w:p>
                  <w:pPr>
                    <w:pStyle w:val="161"/>
                    <w:bidi w:val="0"/>
                  </w:pPr>
                  <w:r>
                    <w:t>达标</w:t>
                  </w:r>
                </w:p>
              </w:tc>
              <w:tc>
                <w:tcPr>
                  <w:tcW w:w="529" w:type="pct"/>
                  <w:vAlign w:val="center"/>
                </w:tcPr>
                <w:p>
                  <w:pPr>
                    <w:pStyle w:val="161"/>
                    <w:bidi w:val="0"/>
                  </w:pPr>
                  <w:r>
                    <w:t>达标</w:t>
                  </w:r>
                </w:p>
              </w:tc>
              <w:tc>
                <w:tcPr>
                  <w:tcW w:w="529" w:type="pct"/>
                  <w:vAlign w:val="center"/>
                </w:tcPr>
                <w:p>
                  <w:pPr>
                    <w:pStyle w:val="161"/>
                    <w:bidi w:val="0"/>
                  </w:pPr>
                  <w:r>
                    <w:t>达标</w:t>
                  </w:r>
                </w:p>
              </w:tc>
              <w:tc>
                <w:tcPr>
                  <w:tcW w:w="520" w:type="pct"/>
                  <w:vAlign w:val="center"/>
                </w:tcPr>
                <w:p>
                  <w:pPr>
                    <w:pStyle w:val="161"/>
                    <w:bidi w:val="0"/>
                  </w:pPr>
                  <w:r>
                    <w:t>达标</w:t>
                  </w:r>
                </w:p>
              </w:tc>
            </w:tr>
          </w:tbl>
          <w:p>
            <w:pPr>
              <w:pStyle w:val="97"/>
              <w:bidi w:val="0"/>
              <w:rPr>
                <w:rFonts w:hint="eastAsia"/>
                <w:lang w:eastAsia="zh-CN"/>
              </w:rPr>
            </w:pPr>
            <w:r>
              <w:rPr>
                <w:rFonts w:hint="eastAsia"/>
              </w:rPr>
              <w:t xml:space="preserve">根据表 </w:t>
            </w:r>
            <w:r>
              <w:rPr>
                <w:rFonts w:hint="eastAsia"/>
                <w:lang w:eastAsia="zh-CN"/>
              </w:rPr>
              <w:t>上表</w:t>
            </w:r>
            <w:r>
              <w:rPr>
                <w:rFonts w:hint="eastAsia"/>
              </w:rPr>
              <w:t>中厂界及敏感点噪声预测结果可知，项目</w:t>
            </w:r>
            <w:r>
              <w:rPr>
                <w:rFonts w:hint="eastAsia"/>
                <w:lang w:eastAsia="zh-CN"/>
              </w:rPr>
              <w:t>东</w:t>
            </w:r>
            <w:r>
              <w:rPr>
                <w:rFonts w:hint="eastAsia"/>
              </w:rPr>
              <w:t>侧厂界噪声满足《工业企业厂界环境噪声排放标准》（GB12348-2008）中 4a 类标准限值要求，项目</w:t>
            </w:r>
            <w:r>
              <w:rPr>
                <w:rFonts w:hint="eastAsia"/>
                <w:lang w:eastAsia="zh-CN"/>
              </w:rPr>
              <w:t>西</w:t>
            </w:r>
            <w:r>
              <w:rPr>
                <w:rFonts w:hint="eastAsia"/>
              </w:rPr>
              <w:t>侧厂界、南侧厂界、北侧厂界噪声能满足《工业企业厂界环境噪声排放标准》（GB12348-2008）中 2 类标准限值要求</w:t>
            </w:r>
            <w:r>
              <w:rPr>
                <w:rFonts w:hint="eastAsia"/>
                <w:lang w:eastAsia="zh-CN"/>
              </w:rPr>
              <w:t>。</w:t>
            </w:r>
          </w:p>
          <w:p>
            <w:pPr>
              <w:pStyle w:val="97"/>
              <w:bidi w:val="0"/>
              <w:rPr>
                <w:rFonts w:hint="eastAsia"/>
                <w:lang w:eastAsia="zh-CN"/>
              </w:rPr>
            </w:pPr>
            <w:r>
              <w:rPr>
                <w:rFonts w:hint="eastAsia"/>
                <w:lang w:eastAsia="zh-CN"/>
              </w:rPr>
              <w:t>由于加气站昼夜 24 小时运行，夜间人为噪声影响较大，因此，为进一步降低项目在运营期间噪声对周围环境的影响，环评要求：</w:t>
            </w:r>
          </w:p>
          <w:p>
            <w:pPr>
              <w:pStyle w:val="97"/>
              <w:numPr>
                <w:ilvl w:val="0"/>
                <w:numId w:val="8"/>
              </w:numPr>
              <w:bidi w:val="0"/>
              <w:rPr>
                <w:rFonts w:hint="eastAsia"/>
                <w:lang w:eastAsia="zh-CN"/>
              </w:rPr>
            </w:pPr>
            <w:r>
              <w:rPr>
                <w:rFonts w:hint="eastAsia"/>
                <w:lang w:eastAsia="zh-CN"/>
              </w:rPr>
              <w:t>项目运营设备尽量选用低噪声设备，对设备应配置隔声、降噪及减震设施，降低噪声对环境的影响；</w:t>
            </w:r>
          </w:p>
          <w:p>
            <w:pPr>
              <w:pStyle w:val="97"/>
              <w:numPr>
                <w:ilvl w:val="0"/>
                <w:numId w:val="8"/>
              </w:numPr>
              <w:bidi w:val="0"/>
              <w:rPr>
                <w:rFonts w:hint="eastAsia"/>
                <w:lang w:eastAsia="zh-CN"/>
              </w:rPr>
            </w:pPr>
            <w:r>
              <w:rPr>
                <w:rFonts w:hint="eastAsia"/>
                <w:lang w:eastAsia="zh-CN"/>
              </w:rPr>
              <w:t>合理安排加油站卸油作业时间，避免设备噪声扰民。</w:t>
            </w:r>
          </w:p>
          <w:p>
            <w:pPr>
              <w:pStyle w:val="97"/>
              <w:numPr>
                <w:ilvl w:val="0"/>
                <w:numId w:val="8"/>
              </w:numPr>
              <w:bidi w:val="0"/>
              <w:rPr>
                <w:rFonts w:hint="eastAsia"/>
                <w:lang w:eastAsia="zh-CN"/>
              </w:rPr>
            </w:pPr>
            <w:r>
              <w:rPr>
                <w:rFonts w:hint="eastAsia"/>
                <w:lang w:eastAsia="zh-CN"/>
              </w:rPr>
              <w:t>噪声设备应尽量布置在场区内远离敏感目标（住户）的位置。</w:t>
            </w:r>
          </w:p>
          <w:p>
            <w:pPr>
              <w:pStyle w:val="97"/>
              <w:numPr>
                <w:ilvl w:val="0"/>
                <w:numId w:val="8"/>
              </w:numPr>
              <w:bidi w:val="0"/>
              <w:rPr>
                <w:rFonts w:hint="eastAsia"/>
                <w:lang w:eastAsia="zh-CN"/>
              </w:rPr>
            </w:pPr>
            <w:r>
              <w:rPr>
                <w:rFonts w:hint="eastAsia"/>
                <w:lang w:eastAsia="zh-CN"/>
              </w:rPr>
              <w:t>规范站内交通组织管理，设置警示牌，禁止车辆在站内鸣笛等。</w:t>
            </w:r>
          </w:p>
          <w:p>
            <w:pPr>
              <w:pStyle w:val="97"/>
              <w:numPr>
                <w:ilvl w:val="0"/>
                <w:numId w:val="8"/>
              </w:numPr>
              <w:bidi w:val="0"/>
              <w:rPr>
                <w:rFonts w:hint="eastAsia"/>
                <w:lang w:eastAsia="zh-CN"/>
              </w:rPr>
            </w:pPr>
            <w:r>
              <w:rPr>
                <w:rFonts w:hint="eastAsia"/>
                <w:lang w:eastAsia="zh-CN"/>
              </w:rPr>
              <w:t>在日常运行中应加强对工作人员的管理，对加气车辆盖做到轻拿轻放，不得</w:t>
            </w:r>
          </w:p>
          <w:p>
            <w:pPr>
              <w:pStyle w:val="97"/>
              <w:numPr>
                <w:ilvl w:val="0"/>
                <w:numId w:val="8"/>
              </w:numPr>
              <w:bidi w:val="0"/>
              <w:rPr>
                <w:rFonts w:hint="eastAsia"/>
                <w:lang w:eastAsia="zh-CN"/>
              </w:rPr>
            </w:pPr>
            <w:r>
              <w:rPr>
                <w:rFonts w:hint="eastAsia"/>
                <w:lang w:eastAsia="zh-CN"/>
              </w:rPr>
              <w:t>高声喧哗，并在站区内张贴禁止高声喧哗标识，站区禁止鸣笛，控制车速等措施。</w:t>
            </w:r>
          </w:p>
          <w:p>
            <w:pPr>
              <w:pStyle w:val="97"/>
              <w:numPr>
                <w:ilvl w:val="0"/>
                <w:numId w:val="8"/>
              </w:numPr>
              <w:bidi w:val="0"/>
              <w:rPr>
                <w:rFonts w:hint="eastAsia"/>
                <w:lang w:eastAsia="zh-CN"/>
              </w:rPr>
            </w:pPr>
            <w:r>
              <w:rPr>
                <w:rFonts w:hint="eastAsia"/>
                <w:lang w:eastAsia="zh-CN"/>
              </w:rPr>
              <w:t>综上，在采取环评提出的以上措施后，本项目的噪声不会对周边声学环境造成</w:t>
            </w:r>
          </w:p>
          <w:p>
            <w:pPr>
              <w:pStyle w:val="97"/>
              <w:numPr>
                <w:ilvl w:val="0"/>
                <w:numId w:val="0"/>
              </w:numPr>
              <w:bidi w:val="0"/>
              <w:rPr>
                <w:rFonts w:hint="eastAsia"/>
                <w:lang w:eastAsia="zh-CN"/>
              </w:rPr>
            </w:pPr>
            <w:r>
              <w:rPr>
                <w:rFonts w:hint="eastAsia"/>
                <w:lang w:eastAsia="zh-CN"/>
              </w:rPr>
              <w:t>明显影响，可以做到厂界达标排放，噪声不扰民。</w:t>
            </w:r>
          </w:p>
          <w:p>
            <w:pPr>
              <w:spacing w:line="360" w:lineRule="auto"/>
              <w:ind w:firstLine="482" w:firstLineChars="200"/>
              <w:rPr>
                <w:rFonts w:cs="宋体"/>
                <w:b/>
                <w:sz w:val="24"/>
                <w:szCs w:val="20"/>
              </w:rPr>
            </w:pPr>
            <w:r>
              <w:rPr>
                <w:rFonts w:hint="eastAsia" w:cs="宋体"/>
                <w:b/>
                <w:sz w:val="24"/>
                <w:szCs w:val="20"/>
              </w:rPr>
              <w:t>4、固体废弃物环境影响分析</w:t>
            </w:r>
          </w:p>
          <w:p>
            <w:pPr>
              <w:pStyle w:val="97"/>
              <w:bidi w:val="0"/>
              <w:rPr>
                <w:rFonts w:hint="default"/>
                <w:lang w:val="en-US" w:eastAsia="zh-CN"/>
              </w:rPr>
            </w:pPr>
            <w:r>
              <w:rPr>
                <w:rFonts w:hint="eastAsia"/>
                <w:lang w:eastAsia="zh-CN"/>
              </w:rPr>
              <w:t>项目建成后固体废物主要为生活垃圾，本项目运营期劳动定员</w:t>
            </w:r>
            <w:r>
              <w:rPr>
                <w:rFonts w:hint="eastAsia"/>
                <w:lang w:val="en-US" w:eastAsia="zh-CN"/>
              </w:rPr>
              <w:t>11人，生活垃圾按0.5kg/人•d计算，则运营期间生活垃圾产生量为5.5kg/d，2t/a。产生的生活垃圾通过场区内设置的垃圾桶收集装袋后送环卫部门，由环卫部门清运至垃圾填埋场卫生填埋，不对外随意排放，对当地环境基本无影响。</w:t>
            </w:r>
          </w:p>
          <w:p>
            <w:pPr>
              <w:pStyle w:val="149"/>
              <w:ind w:firstLine="482"/>
              <w:contextualSpacing/>
              <w:rPr>
                <w:rFonts w:hint="default" w:eastAsiaTheme="minorEastAsia"/>
                <w:szCs w:val="24"/>
              </w:rPr>
            </w:pPr>
            <w:r>
              <w:rPr>
                <w:rFonts w:hint="default" w:eastAsiaTheme="minorEastAsia"/>
                <w:b/>
                <w:szCs w:val="24"/>
              </w:rPr>
              <w:t>5、</w:t>
            </w:r>
            <w:r>
              <w:rPr>
                <w:rFonts w:eastAsiaTheme="minorEastAsia"/>
                <w:b/>
                <w:szCs w:val="24"/>
              </w:rPr>
              <w:t>土壤</w:t>
            </w:r>
            <w:r>
              <w:rPr>
                <w:rFonts w:hint="default" w:eastAsiaTheme="minorEastAsia"/>
                <w:b/>
                <w:szCs w:val="24"/>
              </w:rPr>
              <w:t>环境影响分析</w:t>
            </w:r>
          </w:p>
          <w:p>
            <w:pPr>
              <w:pStyle w:val="97"/>
              <w:bidi w:val="0"/>
              <w:rPr>
                <w:rFonts w:hint="eastAsia"/>
              </w:rPr>
            </w:pPr>
            <w:r>
              <w:rPr>
                <w:rFonts w:hint="eastAsia"/>
              </w:rPr>
              <w:t>本项目</w:t>
            </w:r>
            <w:r>
              <w:t>位于乐山市峨边彝族自治县，</w:t>
            </w:r>
            <w:r>
              <w:rPr>
                <w:rFonts w:hint="eastAsia"/>
                <w:lang w:eastAsia="zh-CN"/>
              </w:rPr>
              <w:t>该项目为</w:t>
            </w:r>
            <w:r>
              <w:rPr>
                <w:rFonts w:hint="eastAsia"/>
                <w:lang w:val="en-US" w:eastAsia="zh-CN"/>
              </w:rPr>
              <w:t>LNG加气站，</w:t>
            </w:r>
            <w:r>
              <w:rPr>
                <w:rFonts w:hint="eastAsia"/>
                <w:lang w:eastAsia="zh-CN"/>
              </w:rPr>
              <w:t>主要从事机动车燃气零售，</w:t>
            </w:r>
            <w:r>
              <w:rPr>
                <w:rFonts w:hint="eastAsia"/>
              </w:rPr>
              <w:t>根据《环境影响评价技术导则 土壤环境》（HJ 964-2018）附录 A，本项目为社会事业与服务—其他，属于Ⅳ类项目。可不展开土壤环境影响评价工作。</w:t>
            </w:r>
          </w:p>
          <w:p>
            <w:pPr>
              <w:pStyle w:val="149"/>
              <w:ind w:firstLine="482"/>
              <w:contextualSpacing/>
              <w:rPr>
                <w:rFonts w:hint="default" w:eastAsiaTheme="minorEastAsia"/>
                <w:szCs w:val="24"/>
              </w:rPr>
            </w:pPr>
            <w:r>
              <w:rPr>
                <w:rFonts w:hint="default" w:eastAsiaTheme="minorEastAsia"/>
                <w:b/>
              </w:rPr>
              <w:t>6、生态环境影响分析</w:t>
            </w:r>
          </w:p>
          <w:p>
            <w:pPr>
              <w:spacing w:line="360" w:lineRule="auto"/>
              <w:ind w:firstLine="480" w:firstLineChars="200"/>
              <w:contextualSpacing/>
              <w:rPr>
                <w:rFonts w:eastAsiaTheme="minorEastAsia"/>
                <w:color w:val="000000"/>
                <w:sz w:val="24"/>
                <w:szCs w:val="28"/>
              </w:rPr>
            </w:pPr>
            <w:r>
              <w:rPr>
                <w:rFonts w:hint="eastAsia" w:eastAsiaTheme="minorEastAsia"/>
                <w:color w:val="000000"/>
                <w:sz w:val="24"/>
                <w:szCs w:val="28"/>
              </w:rPr>
              <w:t>详见</w:t>
            </w:r>
            <w:r>
              <w:rPr>
                <w:rFonts w:eastAsiaTheme="minorEastAsia"/>
                <w:color w:val="000000"/>
                <w:sz w:val="24"/>
                <w:szCs w:val="28"/>
              </w:rPr>
              <w:t>表六。</w:t>
            </w:r>
          </w:p>
          <w:p>
            <w:pPr>
              <w:spacing w:line="360" w:lineRule="auto"/>
              <w:contextualSpacing/>
              <w:rPr>
                <w:rFonts w:eastAsiaTheme="minorEastAsia"/>
                <w:b/>
                <w:color w:val="000000"/>
                <w:sz w:val="24"/>
                <w:szCs w:val="28"/>
              </w:rPr>
            </w:pPr>
            <w:r>
              <w:rPr>
                <w:rFonts w:hint="eastAsia" w:eastAsiaTheme="minorEastAsia"/>
                <w:b/>
                <w:color w:val="000000"/>
                <w:sz w:val="24"/>
                <w:szCs w:val="28"/>
                <w:lang w:eastAsia="zh-CN"/>
              </w:rPr>
              <w:t>三</w:t>
            </w:r>
            <w:r>
              <w:rPr>
                <w:rFonts w:hint="eastAsia" w:eastAsiaTheme="minorEastAsia"/>
                <w:b/>
                <w:color w:val="000000"/>
                <w:sz w:val="24"/>
                <w:szCs w:val="28"/>
              </w:rPr>
              <w:t>、环境风险分析</w:t>
            </w:r>
          </w:p>
          <w:p>
            <w:pPr>
              <w:spacing w:line="360" w:lineRule="auto"/>
              <w:ind w:firstLine="480" w:firstLineChars="200"/>
              <w:rPr>
                <w:rFonts w:hint="eastAsia" w:cs="宋体"/>
                <w:sz w:val="24"/>
                <w:szCs w:val="20"/>
                <w:lang w:val="en-US" w:eastAsia="zh-CN"/>
              </w:rPr>
            </w:pPr>
            <w:r>
              <w:rPr>
                <w:rFonts w:hint="eastAsia" w:cs="宋体"/>
                <w:sz w:val="24"/>
                <w:szCs w:val="20"/>
                <w:lang w:val="en-US" w:eastAsia="zh-CN"/>
              </w:rPr>
              <w:t>1、风险源调查</w:t>
            </w:r>
          </w:p>
          <w:p>
            <w:pPr>
              <w:pStyle w:val="97"/>
              <w:bidi w:val="0"/>
              <w:rPr>
                <w:rFonts w:hint="eastAsia"/>
                <w:lang w:val="en-US" w:eastAsia="zh-CN"/>
              </w:rPr>
            </w:pPr>
            <w:r>
              <w:rPr>
                <w:rFonts w:hint="eastAsia"/>
                <w:lang w:val="en-US" w:eastAsia="zh-CN"/>
              </w:rPr>
              <w:t>根据《危险化学品重大危险源辨识》 (GB18218-2018)，液化天然气属于易燃物质被列入辨识范围。液化天然气在临界量为 50t。本环评以 LNG加气站、LNG储罐作为危险化学品重大危险源评价单元。</w:t>
            </w:r>
          </w:p>
          <w:p>
            <w:pPr>
              <w:pStyle w:val="97"/>
              <w:numPr>
                <w:ilvl w:val="0"/>
                <w:numId w:val="9"/>
              </w:numPr>
              <w:bidi w:val="0"/>
              <w:rPr>
                <w:rFonts w:hint="eastAsia"/>
                <w:lang w:val="en-US" w:eastAsia="zh-CN"/>
              </w:rPr>
            </w:pPr>
            <w:r>
              <w:rPr>
                <w:rFonts w:hint="eastAsia"/>
                <w:lang w:val="en-US" w:eastAsia="zh-CN"/>
              </w:rPr>
              <w:t>物质风险调查</w:t>
            </w:r>
          </w:p>
          <w:p>
            <w:pPr>
              <w:pStyle w:val="97"/>
              <w:bidi w:val="0"/>
              <w:rPr>
                <w:rFonts w:hint="eastAsia"/>
                <w:lang w:val="en-US" w:eastAsia="zh-CN"/>
              </w:rPr>
            </w:pPr>
            <w:r>
              <w:rPr>
                <w:rFonts w:hint="eastAsia"/>
                <w:lang w:val="en-US" w:eastAsia="zh-CN"/>
              </w:rPr>
              <w:t>根据工程分析，本项目在运营过程中涉及到的危险物质为天然气，其物质理化性质及危险特性如下表：</w:t>
            </w:r>
          </w:p>
          <w:p>
            <w:pPr>
              <w:pStyle w:val="195"/>
              <w:bidi w:val="0"/>
              <w:rPr>
                <w:rFonts w:hint="default"/>
                <w:lang w:val="en-US" w:eastAsia="zh-CN"/>
              </w:rPr>
            </w:pPr>
            <w:r>
              <w:rPr>
                <w:rFonts w:hint="default"/>
                <w:lang w:val="en-US" w:eastAsia="zh-CN"/>
              </w:rPr>
              <w:t>表 7-1</w:t>
            </w:r>
            <w:r>
              <w:rPr>
                <w:rFonts w:hint="eastAsia"/>
                <w:lang w:val="en-US" w:eastAsia="zh-CN"/>
              </w:rPr>
              <w:t>1</w:t>
            </w:r>
            <w:r>
              <w:rPr>
                <w:rFonts w:hint="default"/>
                <w:lang w:val="en-US" w:eastAsia="zh-CN"/>
              </w:rPr>
              <w:t xml:space="preserve"> 天然气理化性质及危害特性</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2"/>
              <w:gridCol w:w="1181"/>
              <w:gridCol w:w="785"/>
              <w:gridCol w:w="1624"/>
              <w:gridCol w:w="415"/>
              <w:gridCol w:w="1529"/>
              <w:gridCol w:w="756"/>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520" w:type="pct"/>
                  <w:tcBorders>
                    <w:right w:val="nil"/>
                  </w:tcBorders>
                  <w:noWrap w:val="0"/>
                  <w:vAlign w:val="center"/>
                </w:tcPr>
                <w:p>
                  <w:pPr>
                    <w:pStyle w:val="161"/>
                    <w:bidi w:val="0"/>
                    <w:jc w:val="both"/>
                  </w:pPr>
                  <w:r>
                    <w:t>CAS</w:t>
                  </w:r>
                </w:p>
              </w:tc>
              <w:tc>
                <w:tcPr>
                  <w:tcW w:w="651" w:type="pct"/>
                  <w:tcBorders>
                    <w:left w:val="nil"/>
                  </w:tcBorders>
                  <w:noWrap w:val="0"/>
                  <w:vAlign w:val="center"/>
                </w:tcPr>
                <w:p>
                  <w:pPr>
                    <w:pStyle w:val="161"/>
                    <w:bidi w:val="0"/>
                    <w:jc w:val="both"/>
                  </w:pPr>
                  <w:r>
                    <w:t>74-82-8</w:t>
                  </w:r>
                </w:p>
              </w:tc>
              <w:tc>
                <w:tcPr>
                  <w:tcW w:w="433" w:type="pct"/>
                  <w:tcBorders>
                    <w:right w:val="nil"/>
                  </w:tcBorders>
                  <w:noWrap w:val="0"/>
                  <w:vAlign w:val="center"/>
                </w:tcPr>
                <w:p>
                  <w:pPr>
                    <w:pStyle w:val="161"/>
                    <w:bidi w:val="0"/>
                    <w:jc w:val="both"/>
                  </w:pPr>
                  <w:r>
                    <w:t>RTECS</w:t>
                  </w:r>
                </w:p>
              </w:tc>
              <w:tc>
                <w:tcPr>
                  <w:tcW w:w="896" w:type="pct"/>
                  <w:tcBorders>
                    <w:left w:val="nil"/>
                  </w:tcBorders>
                  <w:noWrap w:val="0"/>
                  <w:vAlign w:val="center"/>
                </w:tcPr>
                <w:p>
                  <w:pPr>
                    <w:pStyle w:val="161"/>
                    <w:bidi w:val="0"/>
                    <w:jc w:val="both"/>
                  </w:pPr>
                  <w:r>
                    <w:t>PA1490000</w:t>
                  </w:r>
                </w:p>
              </w:tc>
              <w:tc>
                <w:tcPr>
                  <w:tcW w:w="229" w:type="pct"/>
                  <w:tcBorders>
                    <w:right w:val="nil"/>
                  </w:tcBorders>
                  <w:noWrap w:val="0"/>
                  <w:vAlign w:val="center"/>
                </w:tcPr>
                <w:p>
                  <w:pPr>
                    <w:pStyle w:val="161"/>
                    <w:bidi w:val="0"/>
                    <w:jc w:val="both"/>
                  </w:pPr>
                  <w:r>
                    <w:t>UN</w:t>
                  </w:r>
                </w:p>
              </w:tc>
              <w:tc>
                <w:tcPr>
                  <w:tcW w:w="844" w:type="pct"/>
                  <w:tcBorders>
                    <w:left w:val="nil"/>
                  </w:tcBorders>
                  <w:noWrap w:val="0"/>
                  <w:vAlign w:val="center"/>
                </w:tcPr>
                <w:p>
                  <w:pPr>
                    <w:pStyle w:val="161"/>
                    <w:bidi w:val="0"/>
                    <w:jc w:val="both"/>
                  </w:pPr>
                  <w:r>
                    <w:t>1971</w:t>
                  </w:r>
                </w:p>
              </w:tc>
              <w:tc>
                <w:tcPr>
                  <w:tcW w:w="417" w:type="pct"/>
                  <w:tcBorders>
                    <w:right w:val="nil"/>
                  </w:tcBorders>
                  <w:noWrap w:val="0"/>
                  <w:vAlign w:val="center"/>
                </w:tcPr>
                <w:p>
                  <w:pPr>
                    <w:pStyle w:val="161"/>
                    <w:bidi w:val="0"/>
                    <w:jc w:val="both"/>
                  </w:pPr>
                  <w:r>
                    <w:t>危编号</w:t>
                  </w:r>
                </w:p>
              </w:tc>
              <w:tc>
                <w:tcPr>
                  <w:tcW w:w="1010" w:type="pct"/>
                  <w:tcBorders>
                    <w:left w:val="nil"/>
                  </w:tcBorders>
                  <w:noWrap w:val="0"/>
                  <w:vAlign w:val="center"/>
                </w:tcPr>
                <w:p>
                  <w:pPr>
                    <w:pStyle w:val="161"/>
                    <w:bidi w:val="0"/>
                    <w:jc w:val="both"/>
                  </w:pPr>
                  <w:r>
                    <w:t>21007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172" w:type="pct"/>
                  <w:gridSpan w:val="2"/>
                  <w:noWrap w:val="0"/>
                  <w:vAlign w:val="center"/>
                </w:tcPr>
                <w:p>
                  <w:pPr>
                    <w:pStyle w:val="161"/>
                    <w:bidi w:val="0"/>
                    <w:jc w:val="both"/>
                  </w:pPr>
                  <w:r>
                    <w:t>中文名称：液化天然气</w:t>
                  </w:r>
                </w:p>
              </w:tc>
              <w:tc>
                <w:tcPr>
                  <w:tcW w:w="1329" w:type="pct"/>
                  <w:gridSpan w:val="2"/>
                  <w:noWrap w:val="0"/>
                  <w:vAlign w:val="center"/>
                </w:tcPr>
                <w:p>
                  <w:pPr>
                    <w:pStyle w:val="161"/>
                    <w:bidi w:val="0"/>
                    <w:jc w:val="both"/>
                  </w:pPr>
                  <w:r>
                    <w:t>英文名称：Methane；Marsh gas</w:t>
                  </w:r>
                </w:p>
              </w:tc>
              <w:tc>
                <w:tcPr>
                  <w:tcW w:w="2499" w:type="pct"/>
                  <w:gridSpan w:val="4"/>
                  <w:noWrap w:val="0"/>
                  <w:vAlign w:val="center"/>
                </w:tcPr>
                <w:p>
                  <w:pPr>
                    <w:pStyle w:val="161"/>
                    <w:bidi w:val="0"/>
                    <w:jc w:val="both"/>
                  </w:pPr>
                  <w:r>
                    <w:t>分子式：CH4（主要成分）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817" w:hRule="atLeast"/>
                <w:jc w:val="center"/>
              </w:trPr>
              <w:tc>
                <w:tcPr>
                  <w:tcW w:w="520" w:type="pct"/>
                  <w:noWrap w:val="0"/>
                  <w:vAlign w:val="center"/>
                </w:tcPr>
                <w:p>
                  <w:pPr>
                    <w:pStyle w:val="161"/>
                    <w:bidi w:val="0"/>
                    <w:jc w:val="both"/>
                  </w:pPr>
                  <w:r>
                    <w:t>理化性质</w:t>
                  </w:r>
                </w:p>
              </w:tc>
              <w:tc>
                <w:tcPr>
                  <w:tcW w:w="4480" w:type="pct"/>
                  <w:gridSpan w:val="7"/>
                  <w:noWrap w:val="0"/>
                  <w:vAlign w:val="center"/>
                </w:tcPr>
                <w:p>
                  <w:pPr>
                    <w:pStyle w:val="161"/>
                    <w:bidi w:val="0"/>
                    <w:jc w:val="both"/>
                  </w:pPr>
                  <w:r>
                    <w:t>外观及性状: 无色无臭气体</w:t>
                  </w:r>
                </w:p>
                <w:p>
                  <w:pPr>
                    <w:pStyle w:val="161"/>
                    <w:bidi w:val="0"/>
                    <w:jc w:val="both"/>
                  </w:pPr>
                  <w:r>
                    <w:t>蒸汽压: 53.32Kpa／-168.8</w:t>
                  </w:r>
                  <w:r>
                    <w:rPr>
                      <w:rFonts w:hint="eastAsia"/>
                    </w:rPr>
                    <w:t>℃</w:t>
                  </w:r>
                </w:p>
                <w:p>
                  <w:pPr>
                    <w:pStyle w:val="161"/>
                    <w:bidi w:val="0"/>
                    <w:jc w:val="both"/>
                  </w:pPr>
                  <w:r>
                    <w:t>溶解度: 微溶于水，溶于乙醇、乙醚</w:t>
                  </w:r>
                </w:p>
                <w:p>
                  <w:pPr>
                    <w:pStyle w:val="161"/>
                    <w:bidi w:val="0"/>
                    <w:jc w:val="both"/>
                  </w:pPr>
                  <w:r>
                    <w:t>相对密度：空气：0.55；水: 0.42／-164</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41" w:hRule="atLeast"/>
                <w:jc w:val="center"/>
              </w:trPr>
              <w:tc>
                <w:tcPr>
                  <w:tcW w:w="520" w:type="pct"/>
                  <w:tcBorders>
                    <w:bottom w:val="single" w:color="auto" w:sz="4" w:space="0"/>
                  </w:tcBorders>
                  <w:noWrap w:val="0"/>
                  <w:vAlign w:val="center"/>
                </w:tcPr>
                <w:p>
                  <w:pPr>
                    <w:pStyle w:val="161"/>
                    <w:bidi w:val="0"/>
                    <w:jc w:val="both"/>
                  </w:pPr>
                  <w:r>
                    <w:t>燃烧爆炸</w:t>
                  </w:r>
                </w:p>
              </w:tc>
              <w:tc>
                <w:tcPr>
                  <w:tcW w:w="4480" w:type="pct"/>
                  <w:gridSpan w:val="7"/>
                  <w:tcBorders>
                    <w:bottom w:val="single" w:color="auto" w:sz="4" w:space="0"/>
                  </w:tcBorders>
                  <w:noWrap w:val="0"/>
                  <w:vAlign w:val="center"/>
                </w:tcPr>
                <w:p>
                  <w:pPr>
                    <w:pStyle w:val="161"/>
                    <w:bidi w:val="0"/>
                    <w:jc w:val="both"/>
                  </w:pPr>
                  <w:r>
                    <w:t>闪点: -188</w:t>
                  </w:r>
                  <w:r>
                    <w:rPr>
                      <w:rFonts w:hint="eastAsia"/>
                    </w:rPr>
                    <w:t>℃</w:t>
                  </w:r>
                </w:p>
                <w:p>
                  <w:pPr>
                    <w:pStyle w:val="161"/>
                    <w:bidi w:val="0"/>
                    <w:jc w:val="both"/>
                  </w:pPr>
                  <w:r>
                    <w:t>爆炸极限: 5.3～15 (V%)</w:t>
                  </w:r>
                </w:p>
                <w:p>
                  <w:pPr>
                    <w:pStyle w:val="161"/>
                    <w:bidi w:val="0"/>
                    <w:jc w:val="both"/>
                  </w:pPr>
                  <w:r>
                    <w:t>自燃点: 538</w:t>
                  </w:r>
                  <w:r>
                    <w:rPr>
                      <w:rFonts w:hint="eastAsia"/>
                    </w:rPr>
                    <w:t>℃</w:t>
                  </w:r>
                </w:p>
                <w:p>
                  <w:pPr>
                    <w:pStyle w:val="161"/>
                    <w:bidi w:val="0"/>
                    <w:jc w:val="both"/>
                  </w:pPr>
                  <w:r>
                    <w:t>火灾危险类别: 甲类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84" w:hRule="atLeast"/>
                <w:jc w:val="center"/>
              </w:trPr>
              <w:tc>
                <w:tcPr>
                  <w:tcW w:w="520" w:type="pct"/>
                  <w:tcBorders>
                    <w:bottom w:val="single" w:color="auto" w:sz="4" w:space="0"/>
                  </w:tcBorders>
                  <w:noWrap w:val="0"/>
                  <w:vAlign w:val="center"/>
                </w:tcPr>
                <w:p>
                  <w:pPr>
                    <w:pStyle w:val="161"/>
                    <w:bidi w:val="0"/>
                    <w:jc w:val="both"/>
                  </w:pPr>
                  <w:r>
                    <w:t>危险性</w:t>
                  </w:r>
                </w:p>
              </w:tc>
              <w:tc>
                <w:tcPr>
                  <w:tcW w:w="4480" w:type="pct"/>
                  <w:gridSpan w:val="7"/>
                  <w:tcBorders>
                    <w:bottom w:val="single" w:color="auto" w:sz="4" w:space="0"/>
                  </w:tcBorders>
                  <w:noWrap w:val="0"/>
                  <w:vAlign w:val="center"/>
                </w:tcPr>
                <w:p>
                  <w:pPr>
                    <w:pStyle w:val="161"/>
                    <w:bidi w:val="0"/>
                    <w:jc w:val="both"/>
                  </w:pPr>
                  <w:r>
                    <w:t>危险特性: 与空气混合能形成爆炸性混合物，遇明火、高热能引起燃烧爆炸。与氟、氯等能发生剧烈的化学反应。若遇高热，容器内压增大，有开裂和爆炸的危险。</w:t>
                  </w:r>
                </w:p>
                <w:p>
                  <w:pPr>
                    <w:pStyle w:val="161"/>
                    <w:bidi w:val="0"/>
                    <w:jc w:val="both"/>
                  </w:pPr>
                  <w:r>
                    <w:t>燃烧(分解)产物: 一氧化碳、二氧化碳。</w:t>
                  </w:r>
                </w:p>
                <w:p>
                  <w:pPr>
                    <w:pStyle w:val="161"/>
                    <w:bidi w:val="0"/>
                    <w:jc w:val="both"/>
                  </w:pPr>
                  <w:r>
                    <w:t>稳定性: 稳定</w:t>
                  </w:r>
                </w:p>
                <w:p>
                  <w:pPr>
                    <w:pStyle w:val="161"/>
                    <w:bidi w:val="0"/>
                    <w:jc w:val="both"/>
                  </w:pPr>
                  <w:r>
                    <w:t>聚合危害: 不能发生</w:t>
                  </w:r>
                </w:p>
                <w:p>
                  <w:pPr>
                    <w:pStyle w:val="161"/>
                    <w:bidi w:val="0"/>
                    <w:jc w:val="both"/>
                  </w:pPr>
                  <w:r>
                    <w:t>禁忌物: 强氧化剂、氟、氯</w:t>
                  </w:r>
                </w:p>
                <w:p>
                  <w:pPr>
                    <w:pStyle w:val="161"/>
                    <w:bidi w:val="0"/>
                    <w:jc w:val="both"/>
                  </w:pPr>
                  <w:r>
                    <w:t>灭火剂: 雾状水、泡沫、二氧化碳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8" w:hRule="atLeast"/>
                <w:jc w:val="center"/>
              </w:trPr>
              <w:tc>
                <w:tcPr>
                  <w:tcW w:w="520" w:type="pct"/>
                  <w:tcBorders>
                    <w:bottom w:val="single" w:color="auto" w:sz="4" w:space="0"/>
                  </w:tcBorders>
                  <w:noWrap w:val="0"/>
                  <w:vAlign w:val="center"/>
                </w:tcPr>
                <w:p>
                  <w:pPr>
                    <w:pStyle w:val="161"/>
                    <w:bidi w:val="0"/>
                    <w:jc w:val="both"/>
                  </w:pPr>
                  <w:r>
                    <w:t>毒害性及健康危害</w:t>
                  </w:r>
                </w:p>
              </w:tc>
              <w:tc>
                <w:tcPr>
                  <w:tcW w:w="4480" w:type="pct"/>
                  <w:gridSpan w:val="7"/>
                  <w:tcBorders>
                    <w:bottom w:val="single" w:color="auto" w:sz="4" w:space="0"/>
                  </w:tcBorders>
                  <w:noWrap w:val="0"/>
                  <w:vAlign w:val="center"/>
                </w:tcPr>
                <w:p>
                  <w:pPr>
                    <w:pStyle w:val="161"/>
                    <w:bidi w:val="0"/>
                    <w:jc w:val="both"/>
                  </w:pPr>
                  <w:r>
                    <w:t>侵入途径: 吸入</w:t>
                  </w:r>
                </w:p>
                <w:p>
                  <w:pPr>
                    <w:pStyle w:val="161"/>
                    <w:bidi w:val="0"/>
                    <w:jc w:val="both"/>
                  </w:pPr>
                  <w:r>
                    <w:t>健康危害: 空气中甲烷浓度过高，能使人窒息。当空气中甲烷达25～30％时，可引起头痛、头晕、乏力、注意力不集中、呼吸和心跳加速、精细动作障碍等，甚至因缺氧而窒息昏迷。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20" w:type="pct"/>
                  <w:noWrap w:val="0"/>
                  <w:vAlign w:val="center"/>
                </w:tcPr>
                <w:p>
                  <w:pPr>
                    <w:pStyle w:val="161"/>
                    <w:bidi w:val="0"/>
                    <w:jc w:val="both"/>
                  </w:pPr>
                  <w:r>
                    <w:t>急救措施</w:t>
                  </w:r>
                </w:p>
              </w:tc>
              <w:tc>
                <w:tcPr>
                  <w:tcW w:w="4480" w:type="pct"/>
                  <w:gridSpan w:val="7"/>
                  <w:tcBorders>
                    <w:bottom w:val="single" w:color="auto" w:sz="4" w:space="0"/>
                  </w:tcBorders>
                  <w:noWrap w:val="0"/>
                  <w:vAlign w:val="center"/>
                </w:tcPr>
                <w:p>
                  <w:pPr>
                    <w:pStyle w:val="161"/>
                    <w:bidi w:val="0"/>
                    <w:jc w:val="both"/>
                  </w:pPr>
                  <w:r>
                    <w:t>皮肤接触:  若有冻伤，就医治疗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389" w:hRule="atLeast"/>
                <w:jc w:val="center"/>
              </w:trPr>
              <w:tc>
                <w:tcPr>
                  <w:tcW w:w="520" w:type="pct"/>
                  <w:tcBorders>
                    <w:bottom w:val="single" w:color="auto" w:sz="4" w:space="0"/>
                  </w:tcBorders>
                  <w:noWrap w:val="0"/>
                  <w:vAlign w:val="center"/>
                </w:tcPr>
                <w:p>
                  <w:pPr>
                    <w:pStyle w:val="161"/>
                    <w:bidi w:val="0"/>
                    <w:jc w:val="both"/>
                  </w:pPr>
                  <w:r>
                    <w:t>防护措施</w:t>
                  </w:r>
                </w:p>
              </w:tc>
              <w:tc>
                <w:tcPr>
                  <w:tcW w:w="4480" w:type="pct"/>
                  <w:gridSpan w:val="7"/>
                  <w:tcBorders>
                    <w:bottom w:val="single" w:color="auto" w:sz="4" w:space="0"/>
                  </w:tcBorders>
                  <w:noWrap w:val="0"/>
                  <w:vAlign w:val="center"/>
                </w:tcPr>
                <w:p>
                  <w:pPr>
                    <w:pStyle w:val="161"/>
                    <w:bidi w:val="0"/>
                    <w:jc w:val="both"/>
                  </w:pPr>
                  <w:r>
                    <w:t>呼吸系统防护: 高浓度环境中，佩带供气式呼吸器。  </w:t>
                  </w:r>
                </w:p>
                <w:p>
                  <w:pPr>
                    <w:pStyle w:val="161"/>
                    <w:bidi w:val="0"/>
                    <w:jc w:val="both"/>
                  </w:pPr>
                  <w:r>
                    <w:t>眼睛防护: —般不需要特殊防护，高浓度接触时可戴化学安全防护眼镜。</w:t>
                  </w:r>
                </w:p>
                <w:p>
                  <w:pPr>
                    <w:pStyle w:val="161"/>
                    <w:bidi w:val="0"/>
                    <w:jc w:val="both"/>
                  </w:pPr>
                  <w:r>
                    <w:t>手防护: 一般不需特殊防护，高浓度接触时可戴防护手套。</w:t>
                  </w:r>
                </w:p>
                <w:p>
                  <w:pPr>
                    <w:pStyle w:val="161"/>
                    <w:bidi w:val="0"/>
                    <w:jc w:val="both"/>
                  </w:pPr>
                  <w:r>
                    <w:t>防护服:  穿工作服。</w:t>
                  </w:r>
                </w:p>
                <w:p>
                  <w:pPr>
                    <w:pStyle w:val="161"/>
                    <w:bidi w:val="0"/>
                    <w:jc w:val="both"/>
                  </w:pPr>
                  <w:r>
                    <w:t>其它: 工作现场严禁吸烟。避免长期反复接触。进入罐或其它高浓度区作业，须有人监护。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46" w:hRule="atLeast"/>
                <w:jc w:val="center"/>
              </w:trPr>
              <w:tc>
                <w:tcPr>
                  <w:tcW w:w="520" w:type="pct"/>
                  <w:noWrap w:val="0"/>
                  <w:vAlign w:val="center"/>
                </w:tcPr>
                <w:p>
                  <w:pPr>
                    <w:pStyle w:val="161"/>
                    <w:bidi w:val="0"/>
                    <w:jc w:val="both"/>
                  </w:pPr>
                  <w:r>
                    <w:t>泄漏处理</w:t>
                  </w:r>
                </w:p>
              </w:tc>
              <w:tc>
                <w:tcPr>
                  <w:tcW w:w="4480" w:type="pct"/>
                  <w:gridSpan w:val="7"/>
                  <w:noWrap w:val="0"/>
                  <w:vAlign w:val="center"/>
                </w:tcPr>
                <w:p>
                  <w:pPr>
                    <w:pStyle w:val="161"/>
                    <w:bidi w:val="0"/>
                    <w:jc w:val="both"/>
                  </w:pPr>
                  <w:r>
                    <w:t>迅速撤离泄漏污染区人员至上风处，并隔离直至气体散尽，切断火源。建议应急处理人员戴自给式呼吸器，穿一般消防防护服。切断气源，喷雾状水稀释，抽排(室内)或强力通风(室外)。如有可能，将漏出气用排风机送至空旷地方或装设适当喷头烧掉。也可以将漏气的容器移至空旷处，注意通风。漏气容器不能再用，且要经过技术处理以清除可能剩下的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40" w:hRule="atLeast"/>
                <w:jc w:val="center"/>
              </w:trPr>
              <w:tc>
                <w:tcPr>
                  <w:tcW w:w="520" w:type="pct"/>
                  <w:tcBorders>
                    <w:bottom w:val="single" w:color="auto" w:sz="4" w:space="0"/>
                  </w:tcBorders>
                  <w:noWrap w:val="0"/>
                  <w:vAlign w:val="center"/>
                </w:tcPr>
                <w:p>
                  <w:pPr>
                    <w:pStyle w:val="161"/>
                    <w:bidi w:val="0"/>
                    <w:jc w:val="both"/>
                  </w:pPr>
                  <w:r>
                    <w:t>包装与</w:t>
                  </w:r>
                </w:p>
                <w:p>
                  <w:pPr>
                    <w:pStyle w:val="161"/>
                    <w:bidi w:val="0"/>
                    <w:jc w:val="both"/>
                  </w:pPr>
                  <w:r>
                    <w:t>储存</w:t>
                  </w:r>
                </w:p>
              </w:tc>
              <w:tc>
                <w:tcPr>
                  <w:tcW w:w="4480" w:type="pct"/>
                  <w:gridSpan w:val="7"/>
                  <w:tcBorders>
                    <w:bottom w:val="single" w:color="auto" w:sz="4" w:space="0"/>
                  </w:tcBorders>
                  <w:noWrap w:val="0"/>
                  <w:vAlign w:val="center"/>
                </w:tcPr>
                <w:p>
                  <w:pPr>
                    <w:pStyle w:val="161"/>
                    <w:bidi w:val="0"/>
                    <w:jc w:val="both"/>
                  </w:pPr>
                  <w:r>
                    <w:t>储运注意事项：储存于阴凉、通风仓间内。仓温不宜超过30</w:t>
                  </w:r>
                  <w:r>
                    <w:rPr>
                      <w:rFonts w:hint="eastAsia"/>
                    </w:rPr>
                    <w:t>℃</w:t>
                  </w:r>
                  <w:r>
                    <w:t>。远离火种、热源。防止阳光直射。应与氧气、压缩空气、卤素(氟、氯、溴)等分开存放。储存间内的照明、通风等设施应采用防爆型，开关设在仓外。配备相应品种和数量的消防器材。罐储时要有防火防爆技术措施。露天贮罐夏季要有降温措施。禁止使用易产生火花的机械设备和工具。验收时要注意品名，注意验瓶日期，先进仓的先发用</w:t>
                  </w:r>
                </w:p>
              </w:tc>
            </w:tr>
          </w:tbl>
          <w:p>
            <w:pPr>
              <w:pStyle w:val="97"/>
              <w:bidi w:val="0"/>
              <w:rPr>
                <w:rFonts w:hint="eastAsia"/>
                <w:lang w:val="en-US" w:eastAsia="zh-CN"/>
              </w:rPr>
            </w:pPr>
            <w:r>
              <w:rPr>
                <w:rFonts w:hint="eastAsia"/>
                <w:lang w:val="en-US" w:eastAsia="zh-CN"/>
              </w:rPr>
              <w:t>根据工程分析，本项目仅设计安装1个LNG储罐60m</w:t>
            </w:r>
            <w:r>
              <w:rPr>
                <w:rFonts w:hint="eastAsia"/>
                <w:vertAlign w:val="superscript"/>
                <w:lang w:val="en-US" w:eastAsia="zh-CN"/>
              </w:rPr>
              <w:t>3</w:t>
            </w:r>
            <w:r>
              <w:rPr>
                <w:rFonts w:hint="eastAsia"/>
                <w:lang w:val="en-US" w:eastAsia="zh-CN"/>
              </w:rPr>
              <w:t>，储罐装量系数为≤0.95，储罐内液化天然气密度为0.412kg/m³。项目建成后天然气储存情况见下表：</w:t>
            </w:r>
          </w:p>
          <w:p>
            <w:pPr>
              <w:pStyle w:val="195"/>
              <w:bidi w:val="0"/>
              <w:rPr>
                <w:rFonts w:hint="eastAsia"/>
                <w:lang w:val="en-US" w:eastAsia="zh-CN"/>
              </w:rPr>
            </w:pPr>
            <w:r>
              <w:rPr>
                <w:rFonts w:hint="eastAsia"/>
                <w:lang w:val="en-US" w:eastAsia="zh-CN"/>
              </w:rPr>
              <w:t>表7-12 项目建成后危险物料贮存情况</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812"/>
              <w:gridCol w:w="1812"/>
              <w:gridCol w:w="1812"/>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pPr>
                    <w:pStyle w:val="161"/>
                    <w:bidi w:val="0"/>
                    <w:rPr>
                      <w:rFonts w:hint="default"/>
                      <w:vertAlign w:val="baseline"/>
                      <w:lang w:val="en-US" w:eastAsia="zh-CN"/>
                    </w:rPr>
                  </w:pPr>
                  <w:r>
                    <w:rPr>
                      <w:rFonts w:hint="eastAsia"/>
                      <w:vertAlign w:val="baseline"/>
                      <w:lang w:val="en-US" w:eastAsia="zh-CN"/>
                    </w:rPr>
                    <w:t>序号</w:t>
                  </w:r>
                </w:p>
              </w:tc>
              <w:tc>
                <w:tcPr>
                  <w:tcW w:w="1812" w:type="dxa"/>
                </w:tcPr>
                <w:p>
                  <w:pPr>
                    <w:pStyle w:val="161"/>
                    <w:bidi w:val="0"/>
                    <w:rPr>
                      <w:rFonts w:hint="default"/>
                      <w:vertAlign w:val="baseline"/>
                      <w:lang w:val="en-US" w:eastAsia="zh-CN"/>
                    </w:rPr>
                  </w:pPr>
                  <w:r>
                    <w:rPr>
                      <w:rFonts w:hint="eastAsia"/>
                      <w:vertAlign w:val="baseline"/>
                      <w:lang w:val="en-US" w:eastAsia="zh-CN"/>
                    </w:rPr>
                    <w:t>物料名称</w:t>
                  </w:r>
                </w:p>
              </w:tc>
              <w:tc>
                <w:tcPr>
                  <w:tcW w:w="1812" w:type="dxa"/>
                </w:tcPr>
                <w:p>
                  <w:pPr>
                    <w:pStyle w:val="161"/>
                    <w:bidi w:val="0"/>
                    <w:rPr>
                      <w:rFonts w:hint="default"/>
                      <w:vertAlign w:val="baseline"/>
                      <w:lang w:val="en-US" w:eastAsia="zh-CN"/>
                    </w:rPr>
                  </w:pPr>
                  <w:r>
                    <w:rPr>
                      <w:rFonts w:hint="eastAsia"/>
                      <w:vertAlign w:val="baseline"/>
                      <w:lang w:val="en-US" w:eastAsia="zh-CN"/>
                    </w:rPr>
                    <w:t>包装方式</w:t>
                  </w:r>
                </w:p>
              </w:tc>
              <w:tc>
                <w:tcPr>
                  <w:tcW w:w="1812" w:type="dxa"/>
                </w:tcPr>
                <w:p>
                  <w:pPr>
                    <w:pStyle w:val="161"/>
                    <w:bidi w:val="0"/>
                    <w:rPr>
                      <w:rFonts w:hint="default"/>
                      <w:vertAlign w:val="baseline"/>
                      <w:lang w:val="en-US" w:eastAsia="zh-CN"/>
                    </w:rPr>
                  </w:pPr>
                  <w:r>
                    <w:rPr>
                      <w:rFonts w:hint="eastAsia"/>
                      <w:vertAlign w:val="baseline"/>
                      <w:lang w:val="en-US" w:eastAsia="zh-CN"/>
                    </w:rPr>
                    <w:t>储存量</w:t>
                  </w:r>
                </w:p>
              </w:tc>
              <w:tc>
                <w:tcPr>
                  <w:tcW w:w="1812" w:type="dxa"/>
                </w:tcPr>
                <w:p>
                  <w:pPr>
                    <w:pStyle w:val="161"/>
                    <w:bidi w:val="0"/>
                    <w:rPr>
                      <w:rFonts w:hint="eastAsia"/>
                      <w:vertAlign w:val="baseline"/>
                      <w:lang w:val="en-US" w:eastAsia="zh-CN"/>
                    </w:rPr>
                  </w:pPr>
                  <w:r>
                    <w:rPr>
                      <w:rFonts w:hint="eastAsia"/>
                      <w:vertAlign w:val="baseline"/>
                      <w:lang w:val="en-US" w:eastAsia="zh-CN"/>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pPr>
                    <w:pStyle w:val="161"/>
                    <w:bidi w:val="0"/>
                    <w:rPr>
                      <w:rFonts w:hint="default"/>
                      <w:vertAlign w:val="baseline"/>
                      <w:lang w:val="en-US" w:eastAsia="zh-CN"/>
                    </w:rPr>
                  </w:pPr>
                  <w:r>
                    <w:rPr>
                      <w:rFonts w:hint="eastAsia"/>
                      <w:vertAlign w:val="baseline"/>
                      <w:lang w:val="en-US" w:eastAsia="zh-CN"/>
                    </w:rPr>
                    <w:t>1</w:t>
                  </w:r>
                </w:p>
              </w:tc>
              <w:tc>
                <w:tcPr>
                  <w:tcW w:w="1812" w:type="dxa"/>
                </w:tcPr>
                <w:p>
                  <w:pPr>
                    <w:pStyle w:val="161"/>
                    <w:bidi w:val="0"/>
                    <w:rPr>
                      <w:rFonts w:hint="default"/>
                      <w:vertAlign w:val="baseline"/>
                      <w:lang w:val="en-US" w:eastAsia="zh-CN"/>
                    </w:rPr>
                  </w:pPr>
                  <w:r>
                    <w:rPr>
                      <w:rFonts w:hint="eastAsia"/>
                      <w:vertAlign w:val="baseline"/>
                      <w:lang w:val="en-US" w:eastAsia="zh-CN"/>
                    </w:rPr>
                    <w:t>天然气</w:t>
                  </w:r>
                </w:p>
              </w:tc>
              <w:tc>
                <w:tcPr>
                  <w:tcW w:w="1812" w:type="dxa"/>
                </w:tcPr>
                <w:p>
                  <w:pPr>
                    <w:pStyle w:val="161"/>
                    <w:bidi w:val="0"/>
                    <w:rPr>
                      <w:rFonts w:hint="default"/>
                      <w:vertAlign w:val="baseline"/>
                      <w:lang w:val="en-US" w:eastAsia="zh-CN"/>
                    </w:rPr>
                  </w:pPr>
                  <w:r>
                    <w:rPr>
                      <w:rFonts w:hint="eastAsia"/>
                      <w:vertAlign w:val="baseline"/>
                      <w:lang w:val="en-US" w:eastAsia="zh-CN"/>
                    </w:rPr>
                    <w:t>真空储罐</w:t>
                  </w:r>
                </w:p>
              </w:tc>
              <w:tc>
                <w:tcPr>
                  <w:tcW w:w="1812" w:type="dxa"/>
                </w:tcPr>
                <w:p>
                  <w:pPr>
                    <w:pStyle w:val="161"/>
                    <w:bidi w:val="0"/>
                    <w:rPr>
                      <w:rFonts w:hint="default"/>
                      <w:vertAlign w:val="baseline"/>
                      <w:lang w:val="en-US" w:eastAsia="zh-CN"/>
                    </w:rPr>
                  </w:pPr>
                  <w:r>
                    <w:rPr>
                      <w:rFonts w:hint="eastAsia"/>
                      <w:vertAlign w:val="baseline"/>
                      <w:lang w:val="en-US" w:eastAsia="zh-CN"/>
                    </w:rPr>
                    <w:t>＜27</w:t>
                  </w:r>
                </w:p>
              </w:tc>
              <w:tc>
                <w:tcPr>
                  <w:tcW w:w="1812" w:type="dxa"/>
                </w:tcPr>
                <w:p>
                  <w:pPr>
                    <w:pStyle w:val="161"/>
                    <w:bidi w:val="0"/>
                    <w:rPr>
                      <w:rFonts w:hint="default"/>
                      <w:vertAlign w:val="baseline"/>
                      <w:lang w:val="en-US" w:eastAsia="zh-CN"/>
                    </w:rPr>
                  </w:pPr>
                  <w:r>
                    <w:rPr>
                      <w:rFonts w:hint="eastAsia"/>
                      <w:vertAlign w:val="baseline"/>
                      <w:lang w:val="en-US" w:eastAsia="zh-CN"/>
                    </w:rPr>
                    <w:t>LNG卧式储罐</w:t>
                  </w:r>
                </w:p>
              </w:tc>
            </w:tr>
          </w:tbl>
          <w:p>
            <w:pPr>
              <w:pStyle w:val="97"/>
              <w:bidi w:val="0"/>
            </w:pPr>
            <w:r>
              <w:rPr>
                <w:rFonts w:hint="eastAsia"/>
              </w:rPr>
              <w:t>（2）风险潜势初判</w:t>
            </w:r>
          </w:p>
          <w:p>
            <w:pPr>
              <w:pStyle w:val="97"/>
              <w:bidi w:val="0"/>
              <w:rPr>
                <w:rFonts w:hint="eastAsia"/>
              </w:rPr>
            </w:pPr>
            <w:r>
              <w:rPr>
                <w:rFonts w:hint="eastAsia"/>
              </w:rPr>
              <w:t>根据《建设项目环境风险评价技术导则》（HJ 169-2018），建设项目环境风险潜势划分为Ⅰ、Ⅱ、Ⅲ、Ⅳ、Ⅳ + ，详见下表。</w:t>
            </w:r>
          </w:p>
          <w:p>
            <w:pPr>
              <w:widowControl/>
              <w:jc w:val="center"/>
              <w:rPr>
                <w:rFonts w:hint="eastAsia" w:cs="宋体"/>
                <w:b/>
                <w:bCs/>
                <w:kern w:val="0"/>
                <w:szCs w:val="20"/>
              </w:rPr>
            </w:pPr>
          </w:p>
          <w:p>
            <w:pPr>
              <w:widowControl/>
              <w:jc w:val="center"/>
              <w:rPr>
                <w:rFonts w:cs="宋体"/>
                <w:b/>
                <w:bCs/>
                <w:kern w:val="0"/>
                <w:szCs w:val="20"/>
              </w:rPr>
            </w:pPr>
            <w:r>
              <w:rPr>
                <w:rFonts w:hint="eastAsia" w:cs="宋体"/>
                <w:b/>
                <w:bCs/>
                <w:kern w:val="0"/>
                <w:szCs w:val="20"/>
              </w:rPr>
              <w:t>表7-</w:t>
            </w:r>
            <w:r>
              <w:rPr>
                <w:rFonts w:cs="宋体"/>
                <w:b/>
                <w:bCs/>
                <w:kern w:val="0"/>
                <w:szCs w:val="20"/>
              </w:rPr>
              <w:t>1</w:t>
            </w:r>
            <w:r>
              <w:rPr>
                <w:rFonts w:hint="eastAsia" w:cs="宋体"/>
                <w:b/>
                <w:bCs/>
                <w:kern w:val="0"/>
                <w:szCs w:val="20"/>
                <w:lang w:val="en-US" w:eastAsia="zh-CN"/>
              </w:rPr>
              <w:t>3</w:t>
            </w:r>
            <w:r>
              <w:rPr>
                <w:rFonts w:cs="宋体"/>
                <w:b/>
                <w:bCs/>
                <w:kern w:val="0"/>
                <w:szCs w:val="20"/>
              </w:rPr>
              <w:t xml:space="preserve"> </w:t>
            </w:r>
            <w:r>
              <w:rPr>
                <w:rFonts w:hint="eastAsia" w:cs="宋体"/>
                <w:b/>
                <w:bCs/>
                <w:kern w:val="0"/>
                <w:szCs w:val="20"/>
              </w:rPr>
              <w:t xml:space="preserve"> 建设项目环境风险潜势划分表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9"/>
              <w:gridCol w:w="1685"/>
              <w:gridCol w:w="1685"/>
              <w:gridCol w:w="1685"/>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280" w:type="pct"/>
                  <w:vMerge w:val="restart"/>
                  <w:shd w:val="clear" w:color="auto" w:fill="auto"/>
                  <w:vAlign w:val="center"/>
                </w:tcPr>
                <w:p>
                  <w:pPr>
                    <w:widowControl/>
                    <w:jc w:val="center"/>
                  </w:pPr>
                  <w:r>
                    <w:rPr>
                      <w:rFonts w:hint="eastAsia"/>
                    </w:rPr>
                    <w:t>环境敏感程度（E）</w:t>
                  </w:r>
                </w:p>
              </w:tc>
              <w:tc>
                <w:tcPr>
                  <w:tcW w:w="3720" w:type="pct"/>
                  <w:gridSpan w:val="4"/>
                  <w:shd w:val="clear" w:color="auto" w:fill="auto"/>
                  <w:vAlign w:val="center"/>
                </w:tcPr>
                <w:p>
                  <w:pPr>
                    <w:widowControl/>
                    <w:jc w:val="center"/>
                  </w:pPr>
                  <w:r>
                    <w:rPr>
                      <w:rFonts w:hint="eastAsia"/>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80" w:type="pct"/>
                  <w:vMerge w:val="continue"/>
                  <w:shd w:val="clear" w:color="auto" w:fill="auto"/>
                  <w:vAlign w:val="center"/>
                </w:tcPr>
                <w:p>
                  <w:pPr>
                    <w:widowControl/>
                    <w:jc w:val="center"/>
                  </w:pPr>
                </w:p>
              </w:tc>
              <w:tc>
                <w:tcPr>
                  <w:tcW w:w="930" w:type="pct"/>
                  <w:shd w:val="clear" w:color="auto" w:fill="auto"/>
                  <w:vAlign w:val="center"/>
                </w:tcPr>
                <w:p>
                  <w:pPr>
                    <w:widowControl/>
                    <w:jc w:val="center"/>
                  </w:pPr>
                  <w:r>
                    <w:rPr>
                      <w:rFonts w:hint="eastAsia"/>
                    </w:rPr>
                    <w:t>极高危害（P1）</w:t>
                  </w:r>
                </w:p>
              </w:tc>
              <w:tc>
                <w:tcPr>
                  <w:tcW w:w="930" w:type="pct"/>
                  <w:shd w:val="clear" w:color="auto" w:fill="auto"/>
                  <w:vAlign w:val="center"/>
                </w:tcPr>
                <w:p>
                  <w:pPr>
                    <w:widowControl/>
                    <w:jc w:val="center"/>
                  </w:pPr>
                  <w:r>
                    <w:rPr>
                      <w:rFonts w:hint="eastAsia"/>
                    </w:rPr>
                    <w:t>高度危害（P2）</w:t>
                  </w:r>
                </w:p>
              </w:tc>
              <w:tc>
                <w:tcPr>
                  <w:tcW w:w="930" w:type="pct"/>
                  <w:shd w:val="clear" w:color="auto" w:fill="auto"/>
                  <w:vAlign w:val="center"/>
                </w:tcPr>
                <w:p>
                  <w:pPr>
                    <w:widowControl/>
                    <w:jc w:val="center"/>
                  </w:pPr>
                  <w:r>
                    <w:rPr>
                      <w:rFonts w:hint="eastAsia"/>
                    </w:rPr>
                    <w:t>中度危害（P3）</w:t>
                  </w:r>
                </w:p>
              </w:tc>
              <w:tc>
                <w:tcPr>
                  <w:tcW w:w="930" w:type="pct"/>
                  <w:shd w:val="clear" w:color="auto" w:fill="auto"/>
                  <w:vAlign w:val="center"/>
                </w:tcPr>
                <w:p>
                  <w:pPr>
                    <w:widowControl/>
                    <w:jc w:val="center"/>
                  </w:pPr>
                  <w:r>
                    <w:rPr>
                      <w:rFonts w:hint="eastAsia"/>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pct"/>
                  <w:shd w:val="clear" w:color="auto" w:fill="auto"/>
                  <w:vAlign w:val="center"/>
                </w:tcPr>
                <w:p>
                  <w:pPr>
                    <w:widowControl/>
                    <w:jc w:val="center"/>
                  </w:pPr>
                  <w:r>
                    <w:rPr>
                      <w:rFonts w:hint="eastAsia"/>
                    </w:rPr>
                    <w:t>环境高度敏感区（E1）</w:t>
                  </w:r>
                </w:p>
              </w:tc>
              <w:tc>
                <w:tcPr>
                  <w:tcW w:w="930" w:type="pct"/>
                  <w:shd w:val="clear" w:color="auto" w:fill="auto"/>
                  <w:vAlign w:val="center"/>
                </w:tcPr>
                <w:p>
                  <w:pPr>
                    <w:widowControl/>
                    <w:jc w:val="center"/>
                  </w:pPr>
                  <w:r>
                    <w:rPr>
                      <w:rFonts w:hint="eastAsia"/>
                    </w:rPr>
                    <w:t>Ⅳ</w:t>
                  </w:r>
                  <w:r>
                    <w:rPr>
                      <w:rFonts w:hint="eastAsia"/>
                      <w:vertAlign w:val="superscript"/>
                    </w:rPr>
                    <w:t>+</w:t>
                  </w:r>
                </w:p>
              </w:tc>
              <w:tc>
                <w:tcPr>
                  <w:tcW w:w="930" w:type="pct"/>
                  <w:shd w:val="clear" w:color="auto" w:fill="auto"/>
                  <w:vAlign w:val="center"/>
                </w:tcPr>
                <w:p>
                  <w:pPr>
                    <w:widowControl/>
                    <w:jc w:val="center"/>
                  </w:pPr>
                  <w:r>
                    <w:rPr>
                      <w:rFonts w:hint="eastAsia"/>
                    </w:rPr>
                    <w:t>Ⅳ</w:t>
                  </w:r>
                </w:p>
              </w:tc>
              <w:tc>
                <w:tcPr>
                  <w:tcW w:w="930" w:type="pct"/>
                  <w:shd w:val="clear" w:color="auto" w:fill="auto"/>
                  <w:vAlign w:val="center"/>
                </w:tcPr>
                <w:p>
                  <w:pPr>
                    <w:widowControl/>
                    <w:jc w:val="center"/>
                  </w:pPr>
                  <w:r>
                    <w:rPr>
                      <w:rFonts w:hint="eastAsia"/>
                    </w:rPr>
                    <w:t>Ⅲ</w:t>
                  </w:r>
                </w:p>
              </w:tc>
              <w:tc>
                <w:tcPr>
                  <w:tcW w:w="930" w:type="pct"/>
                  <w:shd w:val="clear" w:color="auto" w:fill="auto"/>
                  <w:vAlign w:val="center"/>
                </w:tcPr>
                <w:p>
                  <w:pPr>
                    <w:widowControl/>
                    <w:jc w:val="center"/>
                  </w:pPr>
                  <w:r>
                    <w:rPr>
                      <w:rFonts w:hint="eastAsia"/>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pct"/>
                  <w:shd w:val="clear" w:color="auto" w:fill="auto"/>
                  <w:vAlign w:val="center"/>
                </w:tcPr>
                <w:p>
                  <w:pPr>
                    <w:widowControl/>
                    <w:jc w:val="center"/>
                  </w:pPr>
                  <w:r>
                    <w:rPr>
                      <w:rFonts w:hint="eastAsia"/>
                    </w:rPr>
                    <w:t>环境中度敏感区（E2）</w:t>
                  </w:r>
                </w:p>
              </w:tc>
              <w:tc>
                <w:tcPr>
                  <w:tcW w:w="930" w:type="pct"/>
                  <w:shd w:val="clear" w:color="auto" w:fill="auto"/>
                  <w:vAlign w:val="center"/>
                </w:tcPr>
                <w:p>
                  <w:pPr>
                    <w:widowControl/>
                    <w:jc w:val="center"/>
                  </w:pPr>
                  <w:r>
                    <w:rPr>
                      <w:rFonts w:hint="eastAsia"/>
                    </w:rPr>
                    <w:t>Ⅳ</w:t>
                  </w:r>
                </w:p>
              </w:tc>
              <w:tc>
                <w:tcPr>
                  <w:tcW w:w="930" w:type="pct"/>
                  <w:shd w:val="clear" w:color="auto" w:fill="auto"/>
                  <w:vAlign w:val="center"/>
                </w:tcPr>
                <w:p>
                  <w:pPr>
                    <w:widowControl/>
                    <w:jc w:val="center"/>
                  </w:pPr>
                  <w:r>
                    <w:rPr>
                      <w:rFonts w:hint="eastAsia"/>
                    </w:rPr>
                    <w:t>Ⅲ</w:t>
                  </w:r>
                </w:p>
              </w:tc>
              <w:tc>
                <w:tcPr>
                  <w:tcW w:w="930" w:type="pct"/>
                  <w:shd w:val="clear" w:color="auto" w:fill="auto"/>
                  <w:vAlign w:val="center"/>
                </w:tcPr>
                <w:p>
                  <w:pPr>
                    <w:widowControl/>
                    <w:jc w:val="center"/>
                  </w:pPr>
                  <w:r>
                    <w:rPr>
                      <w:rFonts w:hint="eastAsia"/>
                    </w:rPr>
                    <w:t>Ⅲ</w:t>
                  </w:r>
                </w:p>
              </w:tc>
              <w:tc>
                <w:tcPr>
                  <w:tcW w:w="930" w:type="pct"/>
                  <w:shd w:val="clear" w:color="auto" w:fill="auto"/>
                  <w:vAlign w:val="center"/>
                </w:tcPr>
                <w:p>
                  <w:pPr>
                    <w:widowControl/>
                    <w:jc w:val="center"/>
                  </w:pPr>
                  <w:r>
                    <w:rPr>
                      <w:rFonts w:hint="eastAsia"/>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pct"/>
                  <w:shd w:val="clear" w:color="auto" w:fill="auto"/>
                  <w:vAlign w:val="center"/>
                </w:tcPr>
                <w:p>
                  <w:pPr>
                    <w:widowControl/>
                    <w:jc w:val="center"/>
                  </w:pPr>
                  <w:r>
                    <w:rPr>
                      <w:rFonts w:hint="eastAsia"/>
                    </w:rPr>
                    <w:t>环境低度敏感区（E3）</w:t>
                  </w:r>
                </w:p>
              </w:tc>
              <w:tc>
                <w:tcPr>
                  <w:tcW w:w="930" w:type="pct"/>
                  <w:shd w:val="clear" w:color="auto" w:fill="auto"/>
                  <w:vAlign w:val="center"/>
                </w:tcPr>
                <w:p>
                  <w:pPr>
                    <w:widowControl/>
                    <w:jc w:val="center"/>
                  </w:pPr>
                  <w:r>
                    <w:rPr>
                      <w:rFonts w:hint="eastAsia"/>
                    </w:rPr>
                    <w:t>Ⅲ</w:t>
                  </w:r>
                </w:p>
              </w:tc>
              <w:tc>
                <w:tcPr>
                  <w:tcW w:w="930" w:type="pct"/>
                  <w:shd w:val="clear" w:color="auto" w:fill="auto"/>
                  <w:vAlign w:val="center"/>
                </w:tcPr>
                <w:p>
                  <w:pPr>
                    <w:widowControl/>
                    <w:jc w:val="center"/>
                  </w:pPr>
                  <w:r>
                    <w:rPr>
                      <w:rFonts w:hint="eastAsia"/>
                    </w:rPr>
                    <w:t>Ⅲ</w:t>
                  </w:r>
                </w:p>
              </w:tc>
              <w:tc>
                <w:tcPr>
                  <w:tcW w:w="930" w:type="pct"/>
                  <w:shd w:val="clear" w:color="auto" w:fill="auto"/>
                  <w:vAlign w:val="center"/>
                </w:tcPr>
                <w:p>
                  <w:pPr>
                    <w:widowControl/>
                    <w:jc w:val="center"/>
                  </w:pPr>
                  <w:r>
                    <w:rPr>
                      <w:rFonts w:hint="eastAsia"/>
                    </w:rPr>
                    <w:t>Ⅱ</w:t>
                  </w:r>
                </w:p>
              </w:tc>
              <w:tc>
                <w:tcPr>
                  <w:tcW w:w="930" w:type="pct"/>
                  <w:shd w:val="clear" w:color="auto" w:fill="auto"/>
                  <w:vAlign w:val="center"/>
                </w:tcPr>
                <w:p>
                  <w:pPr>
                    <w:widowControl/>
                    <w:jc w:val="center"/>
                  </w:pPr>
                  <w:r>
                    <w:rPr>
                      <w:rFonts w:hint="eastAsia"/>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pPr>
                    <w:widowControl/>
                    <w:jc w:val="center"/>
                  </w:pPr>
                  <w:r>
                    <w:rPr>
                      <w:rFonts w:hint="eastAsia"/>
                    </w:rPr>
                    <w:t>注：Ⅳ</w:t>
                  </w:r>
                  <w:r>
                    <w:rPr>
                      <w:rFonts w:hint="eastAsia"/>
                      <w:vertAlign w:val="superscript"/>
                    </w:rPr>
                    <w:t>+</w:t>
                  </w:r>
                  <w:r>
                    <w:rPr>
                      <w:rFonts w:hint="eastAsia"/>
                    </w:rPr>
                    <w:t>为极高环境风险</w:t>
                  </w:r>
                </w:p>
              </w:tc>
            </w:tr>
          </w:tbl>
          <w:p>
            <w:pPr>
              <w:spacing w:line="360" w:lineRule="auto"/>
              <w:ind w:firstLine="480" w:firstLineChars="200"/>
              <w:rPr>
                <w:rFonts w:cs="宋体"/>
                <w:sz w:val="24"/>
                <w:szCs w:val="20"/>
              </w:rPr>
            </w:pPr>
            <w:r>
              <w:rPr>
                <w:rFonts w:hint="eastAsia" w:cs="宋体"/>
                <w:sz w:val="24"/>
                <w:szCs w:val="20"/>
              </w:rPr>
              <w:t>P分级确定：</w:t>
            </w:r>
          </w:p>
          <w:p>
            <w:pPr>
              <w:spacing w:line="360" w:lineRule="auto"/>
              <w:ind w:firstLine="480" w:firstLineChars="200"/>
              <w:rPr>
                <w:rFonts w:cs="宋体"/>
                <w:sz w:val="24"/>
                <w:szCs w:val="20"/>
              </w:rPr>
            </w:pPr>
            <w:r>
              <w:rPr>
                <w:rFonts w:hint="eastAsia" w:cs="宋体"/>
                <w:sz w:val="24"/>
                <w:szCs w:val="20"/>
              </w:rPr>
              <w:t>根据《建设项目环境风险评价技术导则》（HJ169-2018）附录B中对应临界量的比值Q，当存在多种危险物质时，按照下式计算物质总量与其临界量的比值Q：</w:t>
            </w:r>
          </w:p>
          <w:p>
            <w:pPr>
              <w:widowControl/>
              <w:tabs>
                <w:tab w:val="left" w:pos="3696"/>
              </w:tabs>
              <w:spacing w:line="360" w:lineRule="auto"/>
              <w:jc w:val="center"/>
              <w:rPr>
                <w:rFonts w:ascii="宋体" w:hAnsi="宋体" w:cs="宋体"/>
                <w:snapToGrid w:val="0"/>
                <w:szCs w:val="20"/>
              </w:rPr>
            </w:pPr>
            <w:r>
              <w:rPr>
                <w:rFonts w:ascii="宋体" w:hAnsi="宋体" w:cs="宋体"/>
                <w:snapToGrid w:val="0"/>
                <w:position w:val="-30"/>
                <w:szCs w:val="20"/>
              </w:rPr>
              <w:object>
                <v:shape id="_x0000_i1033" o:spt="75" type="#_x0000_t75" style="height:35.25pt;width:125.25pt;" o:ole="t" filled="f" o:preferrelative="t" stroked="f" coordsize="21600,21600">
                  <v:path/>
                  <v:fill on="f" focussize="0,0"/>
                  <v:stroke on="f" joinstyle="miter"/>
                  <v:imagedata r:id="rId30" o:title=""/>
                  <o:lock v:ext="edit" aspectratio="t"/>
                  <w10:wrap type="none"/>
                  <w10:anchorlock/>
                </v:shape>
                <o:OLEObject Type="Embed" ProgID="Equation.3" ShapeID="_x0000_i1033" DrawAspect="Content" ObjectID="_1468075733" r:id="rId29">
                  <o:LockedField>false</o:LockedField>
                </o:OLEObject>
              </w:object>
            </w:r>
          </w:p>
          <w:p>
            <w:pPr>
              <w:spacing w:line="360" w:lineRule="auto"/>
              <w:ind w:firstLine="480" w:firstLineChars="200"/>
              <w:rPr>
                <w:rFonts w:cs="宋体"/>
                <w:sz w:val="24"/>
                <w:szCs w:val="20"/>
              </w:rPr>
            </w:pPr>
            <w:r>
              <w:rPr>
                <w:rFonts w:hint="eastAsia" w:cs="宋体"/>
                <w:sz w:val="24"/>
                <w:szCs w:val="20"/>
              </w:rPr>
              <w:t>式中：q</w:t>
            </w:r>
            <w:r>
              <w:rPr>
                <w:rFonts w:hint="eastAsia" w:cs="宋体"/>
                <w:sz w:val="24"/>
                <w:szCs w:val="20"/>
                <w:vertAlign w:val="subscript"/>
              </w:rPr>
              <w:t>1</w:t>
            </w:r>
            <w:r>
              <w:rPr>
                <w:rFonts w:hint="eastAsia" w:cs="宋体"/>
                <w:sz w:val="24"/>
                <w:szCs w:val="20"/>
              </w:rPr>
              <w:t>，q</w:t>
            </w:r>
            <w:r>
              <w:rPr>
                <w:rFonts w:hint="eastAsia" w:cs="宋体"/>
                <w:sz w:val="24"/>
                <w:szCs w:val="20"/>
                <w:vertAlign w:val="subscript"/>
              </w:rPr>
              <w:t>2</w:t>
            </w:r>
            <w:r>
              <w:rPr>
                <w:rFonts w:hint="eastAsia" w:cs="宋体"/>
                <w:sz w:val="24"/>
                <w:szCs w:val="20"/>
              </w:rPr>
              <w:t>、……q</w:t>
            </w:r>
            <w:r>
              <w:rPr>
                <w:rFonts w:hint="eastAsia" w:cs="宋体"/>
                <w:sz w:val="24"/>
                <w:szCs w:val="20"/>
                <w:vertAlign w:val="subscript"/>
              </w:rPr>
              <w:t>n</w:t>
            </w:r>
            <w:r>
              <w:rPr>
                <w:rFonts w:hint="eastAsia" w:cs="宋体"/>
                <w:sz w:val="24"/>
                <w:szCs w:val="20"/>
              </w:rPr>
              <w:t>——每种危险物质的最大存在总量，t；</w:t>
            </w:r>
          </w:p>
          <w:p>
            <w:pPr>
              <w:spacing w:line="360" w:lineRule="auto"/>
              <w:ind w:firstLine="480" w:firstLineChars="200"/>
              <w:rPr>
                <w:rFonts w:cs="宋体"/>
                <w:sz w:val="24"/>
                <w:szCs w:val="20"/>
              </w:rPr>
            </w:pPr>
            <w:r>
              <w:rPr>
                <w:rFonts w:hint="eastAsia" w:cs="宋体"/>
                <w:sz w:val="24"/>
                <w:szCs w:val="20"/>
              </w:rPr>
              <w:t>Q</w:t>
            </w:r>
            <w:r>
              <w:rPr>
                <w:rFonts w:hint="eastAsia" w:cs="宋体"/>
                <w:sz w:val="24"/>
                <w:szCs w:val="20"/>
                <w:vertAlign w:val="subscript"/>
              </w:rPr>
              <w:t>1</w:t>
            </w:r>
            <w:r>
              <w:rPr>
                <w:rFonts w:hint="eastAsia" w:cs="宋体"/>
                <w:sz w:val="24"/>
                <w:szCs w:val="20"/>
              </w:rPr>
              <w:t>、Q</w:t>
            </w:r>
            <w:r>
              <w:rPr>
                <w:rFonts w:hint="eastAsia" w:cs="宋体"/>
                <w:sz w:val="24"/>
                <w:szCs w:val="20"/>
                <w:vertAlign w:val="subscript"/>
              </w:rPr>
              <w:t>2</w:t>
            </w:r>
            <w:r>
              <w:rPr>
                <w:rFonts w:hint="eastAsia" w:cs="宋体"/>
                <w:sz w:val="24"/>
                <w:szCs w:val="20"/>
              </w:rPr>
              <w:t>、……Q</w:t>
            </w:r>
            <w:r>
              <w:rPr>
                <w:rFonts w:hint="eastAsia" w:cs="宋体"/>
                <w:sz w:val="24"/>
                <w:szCs w:val="20"/>
                <w:vertAlign w:val="subscript"/>
              </w:rPr>
              <w:t>n</w:t>
            </w:r>
            <w:r>
              <w:rPr>
                <w:rFonts w:cs="宋体"/>
                <w:sz w:val="24"/>
                <w:szCs w:val="20"/>
              </w:rPr>
              <w:softHyphen/>
            </w:r>
            <w:r>
              <w:rPr>
                <w:rFonts w:hint="eastAsia" w:cs="宋体"/>
                <w:sz w:val="24"/>
                <w:szCs w:val="20"/>
              </w:rPr>
              <w:t>——每种危险物质的临界量，t；</w:t>
            </w:r>
          </w:p>
          <w:p>
            <w:pPr>
              <w:spacing w:line="360" w:lineRule="auto"/>
              <w:ind w:firstLine="480" w:firstLineChars="200"/>
              <w:rPr>
                <w:rFonts w:cs="宋体"/>
                <w:sz w:val="24"/>
                <w:szCs w:val="20"/>
              </w:rPr>
            </w:pPr>
            <w:r>
              <w:rPr>
                <w:rFonts w:hint="eastAsia" w:cs="宋体"/>
                <w:sz w:val="24"/>
                <w:szCs w:val="20"/>
              </w:rPr>
              <w:t>当Q＜1时，该项目环境风险潜势为Ⅰ；</w:t>
            </w:r>
          </w:p>
          <w:p>
            <w:pPr>
              <w:spacing w:line="360" w:lineRule="auto"/>
              <w:ind w:firstLine="480" w:firstLineChars="200"/>
              <w:rPr>
                <w:rFonts w:cs="宋体"/>
                <w:sz w:val="24"/>
                <w:szCs w:val="20"/>
              </w:rPr>
            </w:pPr>
            <w:r>
              <w:rPr>
                <w:rFonts w:hint="eastAsia" w:cs="宋体"/>
                <w:sz w:val="24"/>
                <w:szCs w:val="20"/>
              </w:rPr>
              <w:t>本项目所涉及的风险物质主要为</w:t>
            </w:r>
            <w:r>
              <w:rPr>
                <w:rFonts w:hint="eastAsia" w:cs="宋体"/>
                <w:sz w:val="24"/>
                <w:szCs w:val="20"/>
                <w:lang w:eastAsia="zh-CN"/>
              </w:rPr>
              <w:t>天然气</w:t>
            </w:r>
            <w:r>
              <w:rPr>
                <w:rFonts w:hint="eastAsia" w:cs="宋体"/>
                <w:sz w:val="24"/>
                <w:szCs w:val="20"/>
              </w:rPr>
              <w:t>，本项目</w:t>
            </w:r>
            <w:r>
              <w:rPr>
                <w:rFonts w:hint="eastAsia" w:cs="宋体"/>
                <w:sz w:val="24"/>
                <w:szCs w:val="20"/>
                <w:lang w:eastAsia="zh-CN"/>
              </w:rPr>
              <w:t>本项目加气站站区内天然气的最大储存量＜</w:t>
            </w:r>
            <w:r>
              <w:rPr>
                <w:rFonts w:hint="eastAsia" w:cs="宋体"/>
                <w:sz w:val="24"/>
                <w:szCs w:val="20"/>
                <w:lang w:val="en-US" w:eastAsia="zh-CN"/>
              </w:rPr>
              <w:t>27t，</w:t>
            </w:r>
            <w:r>
              <w:rPr>
                <w:rFonts w:hint="eastAsia" w:cs="宋体"/>
                <w:sz w:val="24"/>
                <w:szCs w:val="20"/>
              </w:rPr>
              <w:t>项目Q值计算如下：</w:t>
            </w:r>
          </w:p>
          <w:p>
            <w:pPr>
              <w:widowControl/>
              <w:jc w:val="center"/>
              <w:rPr>
                <w:rFonts w:cs="宋体"/>
                <w:b/>
                <w:bCs/>
                <w:kern w:val="0"/>
                <w:szCs w:val="20"/>
              </w:rPr>
            </w:pPr>
            <w:r>
              <w:rPr>
                <w:rFonts w:hint="eastAsia" w:cs="宋体"/>
                <w:b/>
                <w:bCs/>
                <w:kern w:val="0"/>
                <w:szCs w:val="20"/>
              </w:rPr>
              <w:t>表7-1</w:t>
            </w:r>
            <w:r>
              <w:rPr>
                <w:rFonts w:hint="eastAsia" w:cs="宋体"/>
                <w:b/>
                <w:bCs/>
                <w:kern w:val="0"/>
                <w:szCs w:val="20"/>
                <w:lang w:val="en-US" w:eastAsia="zh-CN"/>
              </w:rPr>
              <w:t>4</w:t>
            </w:r>
            <w:r>
              <w:rPr>
                <w:rFonts w:cs="宋体"/>
                <w:b/>
                <w:bCs/>
                <w:kern w:val="0"/>
                <w:szCs w:val="20"/>
              </w:rPr>
              <w:t xml:space="preserve"> </w:t>
            </w:r>
            <w:r>
              <w:rPr>
                <w:rFonts w:hint="eastAsia" w:cs="宋体"/>
                <w:b/>
                <w:bCs/>
                <w:kern w:val="0"/>
                <w:szCs w:val="20"/>
              </w:rPr>
              <w:t xml:space="preserve"> 项目物料存储情况</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636"/>
              <w:gridCol w:w="1661"/>
              <w:gridCol w:w="2712"/>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shd w:val="clear" w:color="auto" w:fill="auto"/>
                </w:tcPr>
                <w:p>
                  <w:pPr>
                    <w:widowControl/>
                    <w:jc w:val="center"/>
                  </w:pPr>
                  <w:r>
                    <w:rPr>
                      <w:rFonts w:hint="eastAsia"/>
                    </w:rPr>
                    <w:t>序号</w:t>
                  </w:r>
                </w:p>
              </w:tc>
              <w:tc>
                <w:tcPr>
                  <w:tcW w:w="1454" w:type="pct"/>
                  <w:shd w:val="clear" w:color="auto" w:fill="auto"/>
                </w:tcPr>
                <w:p>
                  <w:pPr>
                    <w:widowControl/>
                    <w:jc w:val="center"/>
                  </w:pPr>
                  <w:r>
                    <w:rPr>
                      <w:rFonts w:hint="eastAsia"/>
                    </w:rPr>
                    <w:t>物质名称</w:t>
                  </w:r>
                </w:p>
              </w:tc>
              <w:tc>
                <w:tcPr>
                  <w:tcW w:w="916" w:type="pct"/>
                  <w:shd w:val="clear" w:color="auto" w:fill="auto"/>
                </w:tcPr>
                <w:p>
                  <w:pPr>
                    <w:widowControl/>
                    <w:jc w:val="center"/>
                  </w:pPr>
                  <w:r>
                    <w:rPr>
                      <w:rFonts w:hint="eastAsia"/>
                    </w:rPr>
                    <w:t>临界量（t）</w:t>
                  </w:r>
                </w:p>
              </w:tc>
              <w:tc>
                <w:tcPr>
                  <w:tcW w:w="1496" w:type="pct"/>
                  <w:shd w:val="clear" w:color="auto" w:fill="auto"/>
                </w:tcPr>
                <w:p>
                  <w:pPr>
                    <w:widowControl/>
                    <w:jc w:val="center"/>
                  </w:pPr>
                  <w:r>
                    <w:rPr>
                      <w:rFonts w:hint="eastAsia"/>
                    </w:rPr>
                    <w:t>单元实际存储量（t）</w:t>
                  </w:r>
                </w:p>
              </w:tc>
              <w:tc>
                <w:tcPr>
                  <w:tcW w:w="694" w:type="pct"/>
                  <w:shd w:val="clear" w:color="auto" w:fill="auto"/>
                </w:tcPr>
                <w:p>
                  <w:pPr>
                    <w:widowControl/>
                    <w:jc w:val="center"/>
                  </w:pPr>
                  <w:r>
                    <w:rPr>
                      <w:rFonts w:hint="eastAsia"/>
                    </w:rPr>
                    <w:t>q/</w:t>
                  </w:r>
                  <w: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 w:type="pct"/>
                  <w:shd w:val="clear" w:color="auto" w:fill="auto"/>
                </w:tcPr>
                <w:p>
                  <w:pPr>
                    <w:widowControl/>
                    <w:jc w:val="center"/>
                  </w:pPr>
                  <w:r>
                    <w:rPr>
                      <w:rFonts w:hint="eastAsia"/>
                    </w:rPr>
                    <w:t>1</w:t>
                  </w:r>
                </w:p>
              </w:tc>
              <w:tc>
                <w:tcPr>
                  <w:tcW w:w="1454" w:type="pct"/>
                  <w:shd w:val="clear" w:color="auto" w:fill="auto"/>
                </w:tcPr>
                <w:p>
                  <w:pPr>
                    <w:widowControl/>
                    <w:jc w:val="center"/>
                    <w:rPr>
                      <w:rFonts w:hint="eastAsia" w:eastAsia="宋体"/>
                      <w:lang w:eastAsia="zh-CN"/>
                    </w:rPr>
                  </w:pPr>
                  <w:r>
                    <w:rPr>
                      <w:rFonts w:hint="eastAsia"/>
                      <w:lang w:eastAsia="zh-CN"/>
                    </w:rPr>
                    <w:t>天然气</w:t>
                  </w:r>
                </w:p>
              </w:tc>
              <w:tc>
                <w:tcPr>
                  <w:tcW w:w="916" w:type="pct"/>
                  <w:shd w:val="clear" w:color="auto" w:fill="auto"/>
                </w:tcPr>
                <w:p>
                  <w:pPr>
                    <w:widowControl/>
                    <w:jc w:val="center"/>
                    <w:rPr>
                      <w:rFonts w:hint="default" w:eastAsia="宋体"/>
                      <w:lang w:val="en-US" w:eastAsia="zh-CN"/>
                    </w:rPr>
                  </w:pPr>
                  <w:r>
                    <w:rPr>
                      <w:rFonts w:hint="eastAsia"/>
                      <w:lang w:val="en-US" w:eastAsia="zh-CN"/>
                    </w:rPr>
                    <w:t>50</w:t>
                  </w:r>
                </w:p>
              </w:tc>
              <w:tc>
                <w:tcPr>
                  <w:tcW w:w="1496" w:type="pct"/>
                  <w:shd w:val="clear" w:color="auto" w:fill="auto"/>
                </w:tcPr>
                <w:p>
                  <w:pPr>
                    <w:widowControl/>
                    <w:jc w:val="center"/>
                    <w:rPr>
                      <w:rFonts w:hint="default" w:eastAsia="宋体"/>
                      <w:lang w:val="en-US" w:eastAsia="zh-CN"/>
                    </w:rPr>
                  </w:pPr>
                  <w:r>
                    <w:rPr>
                      <w:rFonts w:hint="eastAsia"/>
                      <w:lang w:eastAsia="zh-CN"/>
                    </w:rPr>
                    <w:t>＜</w:t>
                  </w:r>
                  <w:r>
                    <w:rPr>
                      <w:rFonts w:hint="eastAsia"/>
                      <w:lang w:val="en-US" w:eastAsia="zh-CN"/>
                    </w:rPr>
                    <w:t>27</w:t>
                  </w:r>
                </w:p>
              </w:tc>
              <w:tc>
                <w:tcPr>
                  <w:tcW w:w="694" w:type="pct"/>
                  <w:shd w:val="clear" w:color="auto" w:fill="auto"/>
                </w:tcPr>
                <w:p>
                  <w:pPr>
                    <w:widowControl/>
                    <w:jc w:val="center"/>
                    <w:rPr>
                      <w:rFonts w:hint="default" w:eastAsia="宋体"/>
                      <w:lang w:val="en-US" w:eastAsia="zh-CN"/>
                    </w:rPr>
                  </w:pPr>
                  <w:r>
                    <w:rPr>
                      <w:rFonts w:hint="eastAsia"/>
                      <w:lang w:val="en-US" w:eastAsia="zh-CN"/>
                    </w:rPr>
                    <w:t>0.54</w:t>
                  </w:r>
                </w:p>
              </w:tc>
            </w:tr>
          </w:tbl>
          <w:p>
            <w:pPr>
              <w:spacing w:line="360" w:lineRule="auto"/>
              <w:ind w:firstLine="480" w:firstLineChars="200"/>
              <w:rPr>
                <w:rFonts w:cs="宋体"/>
                <w:sz w:val="24"/>
                <w:szCs w:val="20"/>
              </w:rPr>
            </w:pPr>
            <w:r>
              <w:rPr>
                <w:rFonts w:hint="eastAsia" w:cs="宋体"/>
                <w:sz w:val="24"/>
                <w:szCs w:val="20"/>
              </w:rPr>
              <w:t>根据分析，项目Q值小于1，故环境风险潜势为Ⅰ。</w:t>
            </w:r>
          </w:p>
          <w:p>
            <w:pPr>
              <w:spacing w:line="360" w:lineRule="auto"/>
              <w:ind w:firstLine="480" w:firstLineChars="200"/>
              <w:rPr>
                <w:rFonts w:cs="宋体"/>
                <w:sz w:val="24"/>
                <w:szCs w:val="20"/>
              </w:rPr>
            </w:pPr>
            <w:r>
              <w:rPr>
                <w:rFonts w:hint="eastAsia" w:cs="宋体"/>
                <w:sz w:val="24"/>
                <w:szCs w:val="20"/>
              </w:rPr>
              <w:t>（3）风险评价等级</w:t>
            </w:r>
          </w:p>
          <w:p>
            <w:pPr>
              <w:spacing w:line="360" w:lineRule="auto"/>
              <w:ind w:firstLine="480" w:firstLineChars="200"/>
              <w:rPr>
                <w:rFonts w:cs="宋体"/>
                <w:sz w:val="24"/>
                <w:szCs w:val="20"/>
              </w:rPr>
            </w:pPr>
            <w:r>
              <w:rPr>
                <w:rFonts w:hint="eastAsia" w:cs="宋体"/>
                <w:sz w:val="24"/>
                <w:szCs w:val="20"/>
              </w:rPr>
              <w:t>根据《建设项目环境风险评价技术导则》（HJ169-2018），评价工作等级划分如下表：</w:t>
            </w:r>
          </w:p>
          <w:p>
            <w:pPr>
              <w:widowControl/>
              <w:jc w:val="center"/>
              <w:rPr>
                <w:rFonts w:cs="宋体"/>
                <w:b/>
                <w:bCs/>
                <w:kern w:val="0"/>
                <w:szCs w:val="20"/>
              </w:rPr>
            </w:pPr>
            <w:r>
              <w:rPr>
                <w:rFonts w:hint="eastAsia" w:cs="宋体"/>
                <w:b/>
                <w:bCs/>
                <w:kern w:val="0"/>
                <w:szCs w:val="20"/>
              </w:rPr>
              <w:t>表7-</w:t>
            </w:r>
            <w:r>
              <w:rPr>
                <w:rFonts w:cs="宋体"/>
                <w:b/>
                <w:bCs/>
                <w:kern w:val="0"/>
                <w:szCs w:val="20"/>
              </w:rPr>
              <w:t>1</w:t>
            </w:r>
            <w:r>
              <w:rPr>
                <w:rFonts w:hint="eastAsia" w:cs="宋体"/>
                <w:b/>
                <w:bCs/>
                <w:kern w:val="0"/>
                <w:szCs w:val="20"/>
                <w:lang w:val="en-US" w:eastAsia="zh-CN"/>
              </w:rPr>
              <w:t>5</w:t>
            </w:r>
            <w:r>
              <w:rPr>
                <w:rFonts w:cs="宋体"/>
                <w:b/>
                <w:bCs/>
                <w:kern w:val="0"/>
                <w:szCs w:val="20"/>
              </w:rPr>
              <w:t xml:space="preserve"> </w:t>
            </w:r>
            <w:r>
              <w:rPr>
                <w:rFonts w:hint="eastAsia" w:cs="宋体"/>
                <w:b/>
                <w:bCs/>
                <w:kern w:val="0"/>
                <w:szCs w:val="20"/>
              </w:rPr>
              <w:t xml:space="preserve"> 评价工作等级划分表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2"/>
              <w:gridCol w:w="1868"/>
              <w:gridCol w:w="928"/>
              <w:gridCol w:w="928"/>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shd w:val="clear" w:color="auto" w:fill="auto"/>
                </w:tcPr>
                <w:p>
                  <w:pPr>
                    <w:widowControl/>
                    <w:jc w:val="center"/>
                  </w:pPr>
                  <w:r>
                    <w:rPr>
                      <w:rFonts w:hint="eastAsia"/>
                    </w:rPr>
                    <w:t xml:space="preserve"> 环境风险潜势</w:t>
                  </w:r>
                </w:p>
              </w:tc>
              <w:tc>
                <w:tcPr>
                  <w:tcW w:w="1031" w:type="pct"/>
                  <w:shd w:val="clear" w:color="auto" w:fill="auto"/>
                </w:tcPr>
                <w:p>
                  <w:pPr>
                    <w:widowControl/>
                    <w:jc w:val="center"/>
                  </w:pPr>
                  <w:r>
                    <w:rPr>
                      <w:rFonts w:hint="eastAsia"/>
                    </w:rPr>
                    <w:t>Ⅳ</w:t>
                  </w:r>
                  <w:r>
                    <w:rPr>
                      <w:rFonts w:hint="eastAsia"/>
                      <w:vertAlign w:val="superscript"/>
                    </w:rPr>
                    <w:t>+</w:t>
                  </w:r>
                  <w:r>
                    <w:rPr>
                      <w:rFonts w:hint="eastAsia"/>
                    </w:rPr>
                    <w:t>、Ⅳ</w:t>
                  </w:r>
                </w:p>
              </w:tc>
              <w:tc>
                <w:tcPr>
                  <w:tcW w:w="512" w:type="pct"/>
                  <w:shd w:val="clear" w:color="auto" w:fill="auto"/>
                </w:tcPr>
                <w:p>
                  <w:pPr>
                    <w:widowControl/>
                    <w:jc w:val="center"/>
                  </w:pPr>
                  <w:r>
                    <w:rPr>
                      <w:rFonts w:hint="eastAsia"/>
                    </w:rPr>
                    <w:t>Ⅲ</w:t>
                  </w:r>
                </w:p>
              </w:tc>
              <w:tc>
                <w:tcPr>
                  <w:tcW w:w="512" w:type="pct"/>
                  <w:shd w:val="clear" w:color="auto" w:fill="auto"/>
                </w:tcPr>
                <w:p>
                  <w:pPr>
                    <w:widowControl/>
                    <w:jc w:val="center"/>
                  </w:pPr>
                  <w:r>
                    <w:rPr>
                      <w:rFonts w:hint="eastAsia"/>
                    </w:rPr>
                    <w:t>Ⅱ</w:t>
                  </w:r>
                </w:p>
              </w:tc>
              <w:tc>
                <w:tcPr>
                  <w:tcW w:w="1265" w:type="pct"/>
                  <w:tcBorders>
                    <w:bottom w:val="single" w:color="auto" w:sz="4" w:space="0"/>
                  </w:tcBorders>
                  <w:shd w:val="clear" w:color="auto" w:fill="auto"/>
                </w:tcPr>
                <w:p>
                  <w:pPr>
                    <w:widowControl/>
                    <w:jc w:val="center"/>
                  </w:pPr>
                  <w:r>
                    <w:rPr>
                      <w:rFonts w:hint="eastAsia"/>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shd w:val="clear" w:color="auto" w:fill="auto"/>
                </w:tcPr>
                <w:p>
                  <w:pPr>
                    <w:widowControl/>
                    <w:jc w:val="center"/>
                  </w:pPr>
                  <w:r>
                    <w:rPr>
                      <w:rFonts w:hint="eastAsia"/>
                    </w:rPr>
                    <w:t>评价工作等级</w:t>
                  </w:r>
                </w:p>
              </w:tc>
              <w:tc>
                <w:tcPr>
                  <w:tcW w:w="1031" w:type="pct"/>
                  <w:shd w:val="clear" w:color="auto" w:fill="auto"/>
                </w:tcPr>
                <w:p>
                  <w:pPr>
                    <w:widowControl/>
                    <w:jc w:val="center"/>
                  </w:pPr>
                  <w:r>
                    <w:rPr>
                      <w:rFonts w:hint="eastAsia"/>
                    </w:rPr>
                    <w:t>一</w:t>
                  </w:r>
                </w:p>
              </w:tc>
              <w:tc>
                <w:tcPr>
                  <w:tcW w:w="512" w:type="pct"/>
                  <w:shd w:val="clear" w:color="auto" w:fill="auto"/>
                </w:tcPr>
                <w:p>
                  <w:pPr>
                    <w:widowControl/>
                    <w:jc w:val="center"/>
                  </w:pPr>
                  <w:r>
                    <w:rPr>
                      <w:rFonts w:hint="eastAsia"/>
                    </w:rPr>
                    <w:t>二</w:t>
                  </w:r>
                </w:p>
              </w:tc>
              <w:tc>
                <w:tcPr>
                  <w:tcW w:w="512" w:type="pct"/>
                  <w:shd w:val="clear" w:color="auto" w:fill="auto"/>
                </w:tcPr>
                <w:p>
                  <w:pPr>
                    <w:widowControl/>
                    <w:jc w:val="center"/>
                  </w:pPr>
                  <w:r>
                    <w:rPr>
                      <w:rFonts w:hint="eastAsia"/>
                    </w:rPr>
                    <w:t>三</w:t>
                  </w:r>
                </w:p>
              </w:tc>
              <w:tc>
                <w:tcPr>
                  <w:tcW w:w="1265" w:type="pct"/>
                  <w:shd w:val="clear" w:color="auto" w:fill="7F7F7F"/>
                </w:tcPr>
                <w:p>
                  <w:pPr>
                    <w:widowControl/>
                    <w:jc w:val="center"/>
                  </w:pPr>
                  <w:r>
                    <w:rPr>
                      <w:rFonts w:hint="eastAsia"/>
                    </w:rPr>
                    <w:t>简单分析</w:t>
                  </w:r>
                  <w:r>
                    <w:rPr>
                      <w:rFonts w:hint="eastAsia"/>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tcPr>
                <w:p>
                  <w:pPr>
                    <w:widowControl/>
                    <w:jc w:val="center"/>
                  </w:pPr>
                  <w:r>
                    <w:rPr>
                      <w:rFonts w:hint="eastAsia"/>
                      <w:vertAlign w:val="superscript"/>
                    </w:rPr>
                    <w:t>a</w:t>
                  </w:r>
                  <w:r>
                    <w:rPr>
                      <w:rFonts w:hint="eastAsia"/>
                    </w:rPr>
                    <w:t>是相对于详细评价工作内容而言，在描述危险物质、环境影响途径、环境危害后果、风险防范措施等方面给出定性的说明。见附录A。</w:t>
                  </w:r>
                </w:p>
              </w:tc>
            </w:tr>
          </w:tbl>
          <w:p>
            <w:pPr>
              <w:spacing w:line="360" w:lineRule="auto"/>
              <w:ind w:firstLine="480" w:firstLineChars="200"/>
              <w:rPr>
                <w:rFonts w:cs="宋体"/>
                <w:sz w:val="24"/>
                <w:szCs w:val="20"/>
              </w:rPr>
            </w:pPr>
            <w:r>
              <w:rPr>
                <w:rFonts w:hint="eastAsia" w:cs="宋体"/>
                <w:sz w:val="24"/>
                <w:szCs w:val="20"/>
              </w:rPr>
              <w:t>2、环境敏感目标概况</w:t>
            </w:r>
          </w:p>
          <w:p>
            <w:pPr>
              <w:spacing w:line="360" w:lineRule="auto"/>
              <w:ind w:firstLine="480" w:firstLineChars="200"/>
              <w:rPr>
                <w:rFonts w:cs="宋体"/>
                <w:sz w:val="24"/>
                <w:szCs w:val="20"/>
              </w:rPr>
            </w:pPr>
            <w:r>
              <w:rPr>
                <w:rFonts w:hint="eastAsia" w:cs="宋体"/>
                <w:sz w:val="24"/>
                <w:szCs w:val="20"/>
              </w:rPr>
              <w:t>拟建项目主要环境敏感目标分布情况如下表：</w:t>
            </w:r>
          </w:p>
          <w:p>
            <w:pPr>
              <w:widowControl/>
              <w:jc w:val="center"/>
              <w:rPr>
                <w:rFonts w:cs="宋体"/>
                <w:b/>
                <w:bCs/>
                <w:kern w:val="0"/>
                <w:szCs w:val="20"/>
              </w:rPr>
            </w:pPr>
            <w:r>
              <w:rPr>
                <w:rFonts w:hint="eastAsia" w:cs="宋体"/>
                <w:b/>
                <w:bCs/>
                <w:kern w:val="0"/>
                <w:szCs w:val="20"/>
              </w:rPr>
              <w:t>表7-</w:t>
            </w:r>
            <w:r>
              <w:rPr>
                <w:rFonts w:hint="eastAsia" w:cs="宋体"/>
                <w:b/>
                <w:bCs/>
                <w:kern w:val="0"/>
                <w:szCs w:val="20"/>
                <w:lang w:val="en-US" w:eastAsia="zh-CN"/>
              </w:rPr>
              <w:t>16</w:t>
            </w:r>
            <w:r>
              <w:rPr>
                <w:rFonts w:cs="宋体"/>
                <w:b/>
                <w:bCs/>
                <w:kern w:val="0"/>
                <w:szCs w:val="20"/>
              </w:rPr>
              <w:t xml:space="preserve"> </w:t>
            </w:r>
            <w:r>
              <w:rPr>
                <w:rFonts w:hint="eastAsia" w:cs="宋体"/>
                <w:b/>
                <w:bCs/>
                <w:kern w:val="0"/>
                <w:szCs w:val="20"/>
              </w:rPr>
              <w:t xml:space="preserve"> 主要环境敏感目标分布情况表</w:t>
            </w:r>
          </w:p>
          <w:tbl>
            <w:tblPr>
              <w:tblStyle w:val="29"/>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2320"/>
              <w:gridCol w:w="1161"/>
              <w:gridCol w:w="1868"/>
              <w:gridCol w:w="186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021" w:type="pct"/>
                  <w:shd w:val="clear" w:color="auto" w:fill="auto"/>
                  <w:vAlign w:val="center"/>
                </w:tcPr>
                <w:p>
                  <w:pPr>
                    <w:pStyle w:val="203"/>
                    <w:bidi w:val="0"/>
                    <w:rPr>
                      <w:b/>
                      <w:bCs/>
                    </w:rPr>
                  </w:pPr>
                  <w:r>
                    <w:rPr>
                      <w:b/>
                      <w:bCs/>
                    </w:rPr>
                    <w:t>保护目标</w:t>
                  </w:r>
                </w:p>
              </w:tc>
              <w:tc>
                <w:tcPr>
                  <w:tcW w:w="1279" w:type="pct"/>
                  <w:shd w:val="clear" w:color="auto" w:fill="auto"/>
                  <w:vAlign w:val="center"/>
                </w:tcPr>
                <w:p>
                  <w:pPr>
                    <w:pStyle w:val="203"/>
                    <w:bidi w:val="0"/>
                    <w:rPr>
                      <w:b/>
                      <w:bCs/>
                    </w:rPr>
                  </w:pPr>
                  <w:r>
                    <w:rPr>
                      <w:rFonts w:hint="eastAsia"/>
                      <w:b/>
                      <w:bCs/>
                    </w:rPr>
                    <w:t>规模</w:t>
                  </w:r>
                </w:p>
              </w:tc>
              <w:tc>
                <w:tcPr>
                  <w:tcW w:w="640" w:type="pct"/>
                  <w:vAlign w:val="center"/>
                </w:tcPr>
                <w:p>
                  <w:pPr>
                    <w:pStyle w:val="203"/>
                    <w:bidi w:val="0"/>
                    <w:rPr>
                      <w:b/>
                      <w:bCs/>
                    </w:rPr>
                  </w:pPr>
                  <w:r>
                    <w:rPr>
                      <w:rFonts w:hint="eastAsia"/>
                      <w:b/>
                      <w:bCs/>
                    </w:rPr>
                    <w:t>位置</w:t>
                  </w:r>
                </w:p>
              </w:tc>
              <w:tc>
                <w:tcPr>
                  <w:tcW w:w="1030" w:type="pct"/>
                  <w:vAlign w:val="center"/>
                </w:tcPr>
                <w:p>
                  <w:pPr>
                    <w:pStyle w:val="203"/>
                    <w:bidi w:val="0"/>
                    <w:rPr>
                      <w:b/>
                      <w:bCs/>
                    </w:rPr>
                  </w:pPr>
                  <w:r>
                    <w:rPr>
                      <w:rFonts w:hint="eastAsia"/>
                      <w:b/>
                      <w:bCs/>
                    </w:rPr>
                    <w:t>距离（m）</w:t>
                  </w:r>
                </w:p>
              </w:tc>
              <w:tc>
                <w:tcPr>
                  <w:tcW w:w="1028" w:type="pct"/>
                  <w:shd w:val="clear" w:color="auto" w:fill="auto"/>
                  <w:vAlign w:val="center"/>
                </w:tcPr>
                <w:p>
                  <w:pPr>
                    <w:pStyle w:val="203"/>
                    <w:bidi w:val="0"/>
                    <w:rPr>
                      <w:b/>
                      <w:bCs/>
                    </w:rPr>
                  </w:pPr>
                  <w:r>
                    <w:rPr>
                      <w:rFonts w:hint="eastAsia"/>
                      <w:b/>
                      <w:bCs/>
                    </w:rPr>
                    <w:t>高差（m）</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021" w:type="pct"/>
                  <w:shd w:val="clear" w:color="auto" w:fill="auto"/>
                  <w:vAlign w:val="center"/>
                </w:tcPr>
                <w:p>
                  <w:pPr>
                    <w:pStyle w:val="203"/>
                    <w:bidi w:val="0"/>
                  </w:pPr>
                  <w:r>
                    <w:rPr>
                      <w:rFonts w:hint="eastAsia"/>
                    </w:rPr>
                    <w:t>大渡河</w:t>
                  </w:r>
                </w:p>
              </w:tc>
              <w:tc>
                <w:tcPr>
                  <w:tcW w:w="1279" w:type="pct"/>
                  <w:shd w:val="clear" w:color="auto" w:fill="auto"/>
                  <w:vAlign w:val="center"/>
                </w:tcPr>
                <w:p>
                  <w:pPr>
                    <w:pStyle w:val="203"/>
                    <w:bidi w:val="0"/>
                  </w:pPr>
                  <w:r>
                    <w:rPr>
                      <w:rFonts w:hint="eastAsia"/>
                    </w:rPr>
                    <w:t>大河</w:t>
                  </w:r>
                </w:p>
              </w:tc>
              <w:tc>
                <w:tcPr>
                  <w:tcW w:w="640" w:type="pct"/>
                  <w:vAlign w:val="center"/>
                </w:tcPr>
                <w:p>
                  <w:pPr>
                    <w:pStyle w:val="203"/>
                    <w:bidi w:val="0"/>
                    <w:rPr>
                      <w:rFonts w:hint="eastAsia"/>
                      <w:lang w:eastAsia="zh-CN"/>
                    </w:rPr>
                  </w:pPr>
                  <w:r>
                    <w:rPr>
                      <w:rFonts w:hint="eastAsia"/>
                      <w:lang w:eastAsia="zh-CN"/>
                    </w:rPr>
                    <w:t>东</w:t>
                  </w:r>
                </w:p>
              </w:tc>
              <w:tc>
                <w:tcPr>
                  <w:tcW w:w="1030" w:type="pct"/>
                  <w:vAlign w:val="center"/>
                </w:tcPr>
                <w:p>
                  <w:pPr>
                    <w:pStyle w:val="203"/>
                    <w:bidi w:val="0"/>
                    <w:rPr>
                      <w:rFonts w:hint="default"/>
                      <w:lang w:val="en-US" w:eastAsia="zh-CN"/>
                    </w:rPr>
                  </w:pPr>
                  <w:r>
                    <w:rPr>
                      <w:rFonts w:hint="eastAsia"/>
                      <w:lang w:val="en-US" w:eastAsia="zh-CN"/>
                    </w:rPr>
                    <w:t>490</w:t>
                  </w:r>
                </w:p>
              </w:tc>
              <w:tc>
                <w:tcPr>
                  <w:tcW w:w="1028" w:type="pct"/>
                  <w:shd w:val="clear" w:color="auto" w:fill="auto"/>
                  <w:vAlign w:val="center"/>
                </w:tcPr>
                <w:p>
                  <w:pPr>
                    <w:pStyle w:val="203"/>
                    <w:bidi w:val="0"/>
                    <w:rPr>
                      <w:rFonts w:hint="default"/>
                      <w:lang w:val="en-US" w:eastAsia="zh-CN"/>
                    </w:rPr>
                  </w:pPr>
                  <w:r>
                    <w:rPr>
                      <w:rFonts w:hint="eastAsia"/>
                    </w:rPr>
                    <w:t>-</w:t>
                  </w:r>
                  <w:r>
                    <w:rPr>
                      <w:rFonts w:hint="eastAsia"/>
                      <w:lang w:val="en-US" w:eastAsia="zh-CN"/>
                    </w:rPr>
                    <w:t>156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21" w:type="pct"/>
                  <w:shd w:val="clear" w:color="auto" w:fill="auto"/>
                  <w:vAlign w:val="center"/>
                </w:tcPr>
                <w:p>
                  <w:pPr>
                    <w:pStyle w:val="203"/>
                    <w:bidi w:val="0"/>
                  </w:pPr>
                  <w:r>
                    <w:rPr>
                      <w:rFonts w:hint="eastAsia"/>
                    </w:rPr>
                    <w:t>散居住户</w:t>
                  </w:r>
                </w:p>
              </w:tc>
              <w:tc>
                <w:tcPr>
                  <w:tcW w:w="1279" w:type="pct"/>
                  <w:shd w:val="clear" w:color="auto" w:fill="auto"/>
                  <w:vAlign w:val="center"/>
                </w:tcPr>
                <w:p>
                  <w:pPr>
                    <w:pStyle w:val="203"/>
                    <w:bidi w:val="0"/>
                  </w:pPr>
                  <w:r>
                    <w:rPr>
                      <w:rFonts w:hint="eastAsia"/>
                      <w:lang w:val="en-US" w:eastAsia="zh-CN"/>
                    </w:rPr>
                    <w:t>30</w:t>
                  </w:r>
                  <w:r>
                    <w:rPr>
                      <w:rFonts w:hint="eastAsia"/>
                    </w:rPr>
                    <w:t>户，</w:t>
                  </w:r>
                  <w:r>
                    <w:rPr>
                      <w:rFonts w:hint="eastAsia"/>
                      <w:lang w:val="en-US" w:eastAsia="zh-CN"/>
                    </w:rPr>
                    <w:t>90</w:t>
                  </w:r>
                  <w:r>
                    <w:rPr>
                      <w:rFonts w:hint="eastAsia"/>
                    </w:rPr>
                    <w:t>人</w:t>
                  </w:r>
                </w:p>
              </w:tc>
              <w:tc>
                <w:tcPr>
                  <w:tcW w:w="640" w:type="pct"/>
                  <w:vAlign w:val="center"/>
                </w:tcPr>
                <w:p>
                  <w:pPr>
                    <w:pStyle w:val="203"/>
                    <w:bidi w:val="0"/>
                  </w:pPr>
                  <w:r>
                    <w:rPr>
                      <w:rFonts w:hint="eastAsia"/>
                    </w:rPr>
                    <w:t>北</w:t>
                  </w:r>
                </w:p>
              </w:tc>
              <w:tc>
                <w:tcPr>
                  <w:tcW w:w="1030" w:type="pct"/>
                  <w:vAlign w:val="center"/>
                </w:tcPr>
                <w:p>
                  <w:pPr>
                    <w:pStyle w:val="203"/>
                    <w:bidi w:val="0"/>
                    <w:rPr>
                      <w:rFonts w:hint="default"/>
                      <w:lang w:val="en-US" w:eastAsia="zh-CN"/>
                    </w:rPr>
                  </w:pPr>
                  <w:r>
                    <w:rPr>
                      <w:rFonts w:hint="eastAsia"/>
                      <w:lang w:val="en-US" w:eastAsia="zh-CN"/>
                    </w:rPr>
                    <w:t>270~500</w:t>
                  </w:r>
                </w:p>
              </w:tc>
              <w:tc>
                <w:tcPr>
                  <w:tcW w:w="1028" w:type="pct"/>
                  <w:shd w:val="clear" w:color="auto" w:fill="auto"/>
                  <w:vAlign w:val="center"/>
                </w:tcPr>
                <w:p>
                  <w:pPr>
                    <w:pStyle w:val="203"/>
                    <w:bidi w:val="0"/>
                    <w:rPr>
                      <w:rFonts w:hint="default"/>
                      <w:lang w:val="en-US" w:eastAsia="zh-CN"/>
                    </w:rPr>
                  </w:pPr>
                  <w:r>
                    <w:rPr>
                      <w:rFonts w:hint="eastAsia"/>
                      <w:lang w:val="en-US" w:eastAsia="zh-CN"/>
                    </w:rPr>
                    <w:t>+62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021" w:type="pct"/>
                  <w:shd w:val="clear" w:color="auto" w:fill="auto"/>
                  <w:vAlign w:val="center"/>
                </w:tcPr>
                <w:p>
                  <w:pPr>
                    <w:pStyle w:val="203"/>
                    <w:bidi w:val="0"/>
                  </w:pPr>
                  <w:r>
                    <w:rPr>
                      <w:rFonts w:hint="eastAsia"/>
                    </w:rPr>
                    <w:t>散居住户</w:t>
                  </w:r>
                </w:p>
              </w:tc>
              <w:tc>
                <w:tcPr>
                  <w:tcW w:w="1279" w:type="pct"/>
                  <w:shd w:val="clear" w:color="auto" w:fill="auto"/>
                  <w:vAlign w:val="center"/>
                </w:tcPr>
                <w:p>
                  <w:pPr>
                    <w:pStyle w:val="203"/>
                    <w:bidi w:val="0"/>
                  </w:pPr>
                  <w:r>
                    <w:rPr>
                      <w:rFonts w:hint="eastAsia"/>
                      <w:lang w:val="en-US" w:eastAsia="zh-CN"/>
                    </w:rPr>
                    <w:t>10</w:t>
                  </w:r>
                  <w:r>
                    <w:rPr>
                      <w:rFonts w:hint="eastAsia"/>
                    </w:rPr>
                    <w:t>户，</w:t>
                  </w:r>
                  <w:r>
                    <w:rPr>
                      <w:rFonts w:hint="eastAsia"/>
                      <w:lang w:val="en-US" w:eastAsia="zh-CN"/>
                    </w:rPr>
                    <w:t>30</w:t>
                  </w:r>
                  <w:r>
                    <w:rPr>
                      <w:rFonts w:hint="eastAsia"/>
                    </w:rPr>
                    <w:t>人</w:t>
                  </w:r>
                </w:p>
              </w:tc>
              <w:tc>
                <w:tcPr>
                  <w:tcW w:w="640" w:type="pct"/>
                  <w:vAlign w:val="center"/>
                </w:tcPr>
                <w:p>
                  <w:pPr>
                    <w:pStyle w:val="203"/>
                    <w:bidi w:val="0"/>
                    <w:rPr>
                      <w:rFonts w:hint="eastAsia"/>
                      <w:lang w:eastAsia="zh-CN"/>
                    </w:rPr>
                  </w:pPr>
                  <w:r>
                    <w:rPr>
                      <w:rFonts w:hint="eastAsia"/>
                    </w:rPr>
                    <w:t>东</w:t>
                  </w:r>
                  <w:r>
                    <w:rPr>
                      <w:rFonts w:hint="eastAsia"/>
                      <w:lang w:eastAsia="zh-CN"/>
                    </w:rPr>
                    <w:t>南</w:t>
                  </w:r>
                </w:p>
              </w:tc>
              <w:tc>
                <w:tcPr>
                  <w:tcW w:w="1030" w:type="pct"/>
                  <w:vAlign w:val="center"/>
                </w:tcPr>
                <w:p>
                  <w:pPr>
                    <w:pStyle w:val="203"/>
                    <w:bidi w:val="0"/>
                    <w:rPr>
                      <w:rFonts w:hint="default"/>
                      <w:lang w:val="en-US" w:eastAsia="zh-CN"/>
                    </w:rPr>
                  </w:pPr>
                  <w:r>
                    <w:rPr>
                      <w:rFonts w:hint="eastAsia"/>
                      <w:lang w:val="en-US" w:eastAsia="zh-CN"/>
                    </w:rPr>
                    <w:t>380</w:t>
                  </w:r>
                </w:p>
              </w:tc>
              <w:tc>
                <w:tcPr>
                  <w:tcW w:w="1028" w:type="pct"/>
                  <w:shd w:val="clear" w:color="auto" w:fill="auto"/>
                  <w:vAlign w:val="center"/>
                </w:tcPr>
                <w:p>
                  <w:pPr>
                    <w:pStyle w:val="203"/>
                    <w:bidi w:val="0"/>
                    <w:rPr>
                      <w:rFonts w:hint="default"/>
                      <w:lang w:val="en-US" w:eastAsia="zh-CN"/>
                    </w:rPr>
                  </w:pPr>
                  <w:r>
                    <w:rPr>
                      <w:rFonts w:hint="eastAsia"/>
                      <w:lang w:val="en-US" w:eastAsia="zh-CN"/>
                    </w:rPr>
                    <w:t>-129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21" w:type="pct"/>
                  <w:shd w:val="clear" w:color="auto" w:fill="auto"/>
                  <w:vAlign w:val="center"/>
                </w:tcPr>
                <w:p>
                  <w:pPr>
                    <w:pStyle w:val="203"/>
                    <w:bidi w:val="0"/>
                    <w:rPr>
                      <w:rFonts w:hint="eastAsia"/>
                      <w:lang w:eastAsia="zh-CN"/>
                    </w:rPr>
                  </w:pPr>
                  <w:r>
                    <w:rPr>
                      <w:rFonts w:hint="eastAsia"/>
                      <w:lang w:eastAsia="zh-CN"/>
                    </w:rPr>
                    <w:t>散居住户</w:t>
                  </w:r>
                </w:p>
              </w:tc>
              <w:tc>
                <w:tcPr>
                  <w:tcW w:w="1279" w:type="pct"/>
                  <w:shd w:val="clear" w:color="auto" w:fill="auto"/>
                  <w:vAlign w:val="center"/>
                </w:tcPr>
                <w:p>
                  <w:pPr>
                    <w:pStyle w:val="203"/>
                    <w:bidi w:val="0"/>
                    <w:rPr>
                      <w:rFonts w:hint="default"/>
                      <w:lang w:val="en-US" w:eastAsia="zh-CN"/>
                    </w:rPr>
                  </w:pPr>
                  <w:r>
                    <w:rPr>
                      <w:rFonts w:hint="eastAsia"/>
                      <w:lang w:val="en-US" w:eastAsia="zh-CN"/>
                    </w:rPr>
                    <w:t>1户，3人</w:t>
                  </w:r>
                </w:p>
              </w:tc>
              <w:tc>
                <w:tcPr>
                  <w:tcW w:w="640" w:type="pct"/>
                  <w:vAlign w:val="center"/>
                </w:tcPr>
                <w:p>
                  <w:pPr>
                    <w:pStyle w:val="203"/>
                    <w:bidi w:val="0"/>
                    <w:rPr>
                      <w:rFonts w:hint="eastAsia"/>
                      <w:lang w:eastAsia="zh-CN"/>
                    </w:rPr>
                  </w:pPr>
                  <w:r>
                    <w:rPr>
                      <w:rFonts w:hint="eastAsia"/>
                      <w:lang w:eastAsia="zh-CN"/>
                    </w:rPr>
                    <w:t>南</w:t>
                  </w:r>
                </w:p>
              </w:tc>
              <w:tc>
                <w:tcPr>
                  <w:tcW w:w="1030" w:type="pct"/>
                  <w:vAlign w:val="center"/>
                </w:tcPr>
                <w:p>
                  <w:pPr>
                    <w:pStyle w:val="203"/>
                    <w:bidi w:val="0"/>
                    <w:rPr>
                      <w:rFonts w:hint="default"/>
                      <w:lang w:val="en-US" w:eastAsia="zh-CN"/>
                    </w:rPr>
                  </w:pPr>
                  <w:r>
                    <w:rPr>
                      <w:rFonts w:hint="eastAsia"/>
                      <w:lang w:val="en-US" w:eastAsia="zh-CN"/>
                    </w:rPr>
                    <w:t>240</w:t>
                  </w:r>
                </w:p>
              </w:tc>
              <w:tc>
                <w:tcPr>
                  <w:tcW w:w="1028" w:type="pct"/>
                  <w:shd w:val="clear" w:color="auto" w:fill="auto"/>
                  <w:vAlign w:val="center"/>
                </w:tcPr>
                <w:p>
                  <w:pPr>
                    <w:pStyle w:val="203"/>
                    <w:bidi w:val="0"/>
                    <w:rPr>
                      <w:rFonts w:hint="default"/>
                      <w:lang w:val="en-US" w:eastAsia="zh-CN"/>
                    </w:rPr>
                  </w:pPr>
                  <w:r>
                    <w:rPr>
                      <w:rFonts w:hint="eastAsia"/>
                      <w:lang w:val="en-US" w:eastAsia="zh-CN"/>
                    </w:rPr>
                    <w:t>-90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1021" w:type="pct"/>
                  <w:shd w:val="clear" w:color="auto" w:fill="auto"/>
                  <w:vAlign w:val="center"/>
                </w:tcPr>
                <w:p>
                  <w:pPr>
                    <w:pStyle w:val="203"/>
                    <w:bidi w:val="0"/>
                    <w:rPr>
                      <w:rFonts w:hint="eastAsia"/>
                      <w:lang w:eastAsia="zh-CN"/>
                    </w:rPr>
                  </w:pPr>
                  <w:r>
                    <w:rPr>
                      <w:rFonts w:hint="eastAsia"/>
                      <w:lang w:eastAsia="zh-CN"/>
                    </w:rPr>
                    <w:t>散居住户</w:t>
                  </w:r>
                </w:p>
              </w:tc>
              <w:tc>
                <w:tcPr>
                  <w:tcW w:w="1279" w:type="pct"/>
                  <w:shd w:val="clear" w:color="auto" w:fill="auto"/>
                  <w:vAlign w:val="center"/>
                </w:tcPr>
                <w:p>
                  <w:pPr>
                    <w:pStyle w:val="203"/>
                    <w:bidi w:val="0"/>
                    <w:rPr>
                      <w:rFonts w:hint="default"/>
                      <w:lang w:val="en-US" w:eastAsia="zh-CN"/>
                    </w:rPr>
                  </w:pPr>
                  <w:r>
                    <w:rPr>
                      <w:rFonts w:hint="eastAsia"/>
                      <w:lang w:val="en-US" w:eastAsia="zh-CN"/>
                    </w:rPr>
                    <w:t>4户，12人</w:t>
                  </w:r>
                </w:p>
              </w:tc>
              <w:tc>
                <w:tcPr>
                  <w:tcW w:w="640" w:type="pct"/>
                  <w:vAlign w:val="center"/>
                </w:tcPr>
                <w:p>
                  <w:pPr>
                    <w:pStyle w:val="203"/>
                    <w:bidi w:val="0"/>
                    <w:rPr>
                      <w:rFonts w:hint="eastAsia"/>
                      <w:lang w:eastAsia="zh-CN"/>
                    </w:rPr>
                  </w:pPr>
                  <w:r>
                    <w:rPr>
                      <w:rFonts w:hint="eastAsia"/>
                      <w:lang w:eastAsia="zh-CN"/>
                    </w:rPr>
                    <w:t>东</w:t>
                  </w:r>
                </w:p>
              </w:tc>
              <w:tc>
                <w:tcPr>
                  <w:tcW w:w="1030" w:type="pct"/>
                  <w:vAlign w:val="center"/>
                </w:tcPr>
                <w:p>
                  <w:pPr>
                    <w:pStyle w:val="203"/>
                    <w:bidi w:val="0"/>
                    <w:rPr>
                      <w:rFonts w:hint="default"/>
                      <w:lang w:val="en-US" w:eastAsia="zh-CN"/>
                    </w:rPr>
                  </w:pPr>
                  <w:r>
                    <w:rPr>
                      <w:rFonts w:hint="eastAsia"/>
                      <w:lang w:val="en-US" w:eastAsia="zh-CN"/>
                    </w:rPr>
                    <w:t>270</w:t>
                  </w:r>
                </w:p>
              </w:tc>
              <w:tc>
                <w:tcPr>
                  <w:tcW w:w="1028" w:type="pct"/>
                  <w:shd w:val="clear" w:color="auto" w:fill="auto"/>
                  <w:vAlign w:val="center"/>
                </w:tcPr>
                <w:p>
                  <w:pPr>
                    <w:pStyle w:val="203"/>
                    <w:bidi w:val="0"/>
                    <w:rPr>
                      <w:rFonts w:hint="default"/>
                      <w:lang w:val="en-US" w:eastAsia="zh-CN"/>
                    </w:rPr>
                  </w:pPr>
                  <w:r>
                    <w:rPr>
                      <w:rFonts w:hint="eastAsia"/>
                      <w:lang w:val="en-US" w:eastAsia="zh-CN"/>
                    </w:rPr>
                    <w:t>-130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021" w:type="pct"/>
                  <w:shd w:val="clear" w:color="auto" w:fill="auto"/>
                  <w:vAlign w:val="center"/>
                </w:tcPr>
                <w:p>
                  <w:pPr>
                    <w:pStyle w:val="203"/>
                    <w:bidi w:val="0"/>
                    <w:rPr>
                      <w:rFonts w:hint="eastAsia"/>
                      <w:lang w:eastAsia="zh-CN"/>
                    </w:rPr>
                  </w:pPr>
                  <w:r>
                    <w:rPr>
                      <w:rFonts w:hint="eastAsia"/>
                      <w:lang w:eastAsia="zh-CN"/>
                    </w:rPr>
                    <w:t>加水生活用房</w:t>
                  </w:r>
                </w:p>
              </w:tc>
              <w:tc>
                <w:tcPr>
                  <w:tcW w:w="1279" w:type="pct"/>
                  <w:shd w:val="clear" w:color="auto" w:fill="auto"/>
                  <w:vAlign w:val="center"/>
                </w:tcPr>
                <w:p>
                  <w:pPr>
                    <w:pStyle w:val="203"/>
                    <w:bidi w:val="0"/>
                    <w:rPr>
                      <w:rFonts w:hint="default"/>
                      <w:lang w:val="en-US" w:eastAsia="zh-CN"/>
                    </w:rPr>
                  </w:pPr>
                  <w:r>
                    <w:rPr>
                      <w:rFonts w:hint="eastAsia"/>
                      <w:lang w:val="en-US" w:eastAsia="zh-CN"/>
                    </w:rPr>
                    <w:t>3人</w:t>
                  </w:r>
                </w:p>
              </w:tc>
              <w:tc>
                <w:tcPr>
                  <w:tcW w:w="640" w:type="pct"/>
                  <w:vAlign w:val="center"/>
                </w:tcPr>
                <w:p>
                  <w:pPr>
                    <w:pStyle w:val="203"/>
                    <w:bidi w:val="0"/>
                    <w:rPr>
                      <w:rFonts w:hint="eastAsia"/>
                      <w:lang w:eastAsia="zh-CN"/>
                    </w:rPr>
                  </w:pPr>
                  <w:r>
                    <w:rPr>
                      <w:rFonts w:hint="eastAsia"/>
                      <w:lang w:eastAsia="zh-CN"/>
                    </w:rPr>
                    <w:t>东南</w:t>
                  </w:r>
                </w:p>
              </w:tc>
              <w:tc>
                <w:tcPr>
                  <w:tcW w:w="1030" w:type="pct"/>
                  <w:vAlign w:val="center"/>
                </w:tcPr>
                <w:p>
                  <w:pPr>
                    <w:pStyle w:val="203"/>
                    <w:bidi w:val="0"/>
                    <w:rPr>
                      <w:rFonts w:hint="default"/>
                      <w:lang w:val="en-US" w:eastAsia="zh-CN"/>
                    </w:rPr>
                  </w:pPr>
                  <w:r>
                    <w:rPr>
                      <w:rFonts w:hint="eastAsia"/>
                      <w:lang w:val="en-US" w:eastAsia="zh-CN"/>
                    </w:rPr>
                    <w:t>40</w:t>
                  </w:r>
                </w:p>
              </w:tc>
              <w:tc>
                <w:tcPr>
                  <w:tcW w:w="1028" w:type="pct"/>
                  <w:shd w:val="clear" w:color="auto" w:fill="auto"/>
                  <w:vAlign w:val="center"/>
                </w:tcPr>
                <w:p>
                  <w:pPr>
                    <w:pStyle w:val="203"/>
                    <w:bidi w:val="0"/>
                    <w:rPr>
                      <w:rFonts w:hint="default"/>
                      <w:lang w:val="en-US" w:eastAsia="zh-CN"/>
                    </w:rPr>
                  </w:pPr>
                  <w:r>
                    <w:rPr>
                      <w:rFonts w:hint="eastAsia"/>
                      <w:lang w:val="en-US" w:eastAsia="zh-CN"/>
                    </w:rPr>
                    <w:t>/</w:t>
                  </w:r>
                </w:p>
              </w:tc>
            </w:tr>
          </w:tbl>
          <w:p>
            <w:pPr>
              <w:spacing w:line="360" w:lineRule="auto"/>
              <w:ind w:firstLine="480" w:firstLineChars="200"/>
              <w:rPr>
                <w:rFonts w:cs="宋体"/>
                <w:sz w:val="24"/>
                <w:szCs w:val="20"/>
              </w:rPr>
            </w:pPr>
            <w:r>
              <w:rPr>
                <w:rFonts w:hint="eastAsia" w:cs="宋体"/>
                <w:sz w:val="24"/>
                <w:szCs w:val="20"/>
              </w:rPr>
              <w:t>3、环境风险识别</w:t>
            </w:r>
          </w:p>
          <w:p>
            <w:pPr>
              <w:spacing w:line="360" w:lineRule="auto"/>
              <w:ind w:firstLine="480" w:firstLineChars="200"/>
              <w:rPr>
                <w:rFonts w:cs="宋体"/>
                <w:sz w:val="24"/>
                <w:szCs w:val="20"/>
              </w:rPr>
            </w:pPr>
            <w:r>
              <w:rPr>
                <w:rFonts w:hint="eastAsia" w:cs="宋体"/>
                <w:sz w:val="24"/>
                <w:szCs w:val="20"/>
              </w:rPr>
              <w:t>根据《建设项目环境风险评价技术导则》（HJ169-2018），风险识别主要包括物质危险性识别、生产系统危险性识别、危险物质向环境转移的途径识别等。</w:t>
            </w:r>
          </w:p>
          <w:p>
            <w:pPr>
              <w:spacing w:line="360" w:lineRule="auto"/>
              <w:ind w:firstLine="480" w:firstLineChars="200"/>
              <w:rPr>
                <w:rFonts w:cs="宋体"/>
                <w:sz w:val="24"/>
                <w:szCs w:val="20"/>
              </w:rPr>
            </w:pPr>
            <w:r>
              <w:rPr>
                <w:rFonts w:hint="eastAsia" w:cs="宋体"/>
                <w:sz w:val="24"/>
                <w:szCs w:val="20"/>
              </w:rPr>
              <w:t>（1）物质危险性识别</w:t>
            </w:r>
          </w:p>
          <w:p>
            <w:pPr>
              <w:spacing w:line="360" w:lineRule="auto"/>
              <w:ind w:firstLine="480" w:firstLineChars="200"/>
              <w:rPr>
                <w:rFonts w:cs="宋体"/>
                <w:sz w:val="24"/>
                <w:szCs w:val="20"/>
              </w:rPr>
            </w:pPr>
            <w:r>
              <w:rPr>
                <w:rFonts w:hint="eastAsia" w:cs="宋体"/>
                <w:sz w:val="24"/>
                <w:szCs w:val="20"/>
              </w:rPr>
              <w:t>本项目在生产过程中所涉及的风险物质主要为</w:t>
            </w:r>
            <w:r>
              <w:rPr>
                <w:rFonts w:hint="eastAsia" w:cs="宋体"/>
                <w:sz w:val="24"/>
                <w:szCs w:val="20"/>
                <w:lang w:eastAsia="zh-CN"/>
              </w:rPr>
              <w:t>天然气</w:t>
            </w:r>
            <w:r>
              <w:rPr>
                <w:rFonts w:hint="eastAsia" w:cs="宋体"/>
                <w:sz w:val="24"/>
                <w:szCs w:val="20"/>
              </w:rPr>
              <w:t>。</w:t>
            </w:r>
          </w:p>
          <w:p>
            <w:pPr>
              <w:spacing w:line="360" w:lineRule="auto"/>
              <w:ind w:firstLine="480" w:firstLineChars="200"/>
              <w:rPr>
                <w:rFonts w:cs="宋体"/>
                <w:sz w:val="24"/>
                <w:szCs w:val="20"/>
              </w:rPr>
            </w:pPr>
            <w:r>
              <w:rPr>
                <w:rFonts w:hint="eastAsia" w:cs="宋体"/>
                <w:sz w:val="24"/>
                <w:szCs w:val="20"/>
              </w:rPr>
              <w:t>（2）生产系统危险性识别</w:t>
            </w:r>
          </w:p>
          <w:p>
            <w:pPr>
              <w:spacing w:line="360" w:lineRule="auto"/>
              <w:ind w:firstLine="480" w:firstLineChars="200"/>
              <w:rPr>
                <w:rFonts w:hint="eastAsia" w:cs="宋体"/>
                <w:sz w:val="24"/>
                <w:szCs w:val="20"/>
                <w:lang w:val="en-US" w:eastAsia="zh-CN"/>
              </w:rPr>
            </w:pPr>
            <w:r>
              <w:rPr>
                <w:rFonts w:hint="eastAsia" w:cs="宋体"/>
                <w:sz w:val="24"/>
                <w:szCs w:val="20"/>
                <w:lang w:val="en-US" w:eastAsia="zh-CN"/>
              </w:rPr>
              <w:t>LNG在运输过程中，若发生交通事故，易引发泄露事故，泄露的物料若进入大气，可能会污染大气环境。</w:t>
            </w:r>
          </w:p>
          <w:p>
            <w:pPr>
              <w:spacing w:line="360" w:lineRule="auto"/>
              <w:ind w:firstLine="480" w:firstLineChars="200"/>
              <w:rPr>
                <w:rFonts w:cs="宋体"/>
                <w:sz w:val="24"/>
                <w:szCs w:val="20"/>
              </w:rPr>
            </w:pPr>
            <w:r>
              <w:rPr>
                <w:rFonts w:hint="eastAsia" w:cs="宋体"/>
                <w:sz w:val="24"/>
                <w:szCs w:val="20"/>
              </w:rPr>
              <w:t>（3）危险物质向环境转移的途径识别</w:t>
            </w:r>
          </w:p>
          <w:p>
            <w:pPr>
              <w:spacing w:line="360" w:lineRule="auto"/>
              <w:ind w:firstLine="480" w:firstLineChars="200"/>
              <w:rPr>
                <w:rFonts w:cs="宋体"/>
                <w:sz w:val="24"/>
                <w:szCs w:val="20"/>
              </w:rPr>
            </w:pPr>
            <w:r>
              <w:rPr>
                <w:rFonts w:hint="eastAsia" w:cs="宋体"/>
                <w:sz w:val="24"/>
                <w:szCs w:val="20"/>
              </w:rPr>
              <w:t>本项目涉及的危险物质主要为</w:t>
            </w:r>
            <w:r>
              <w:rPr>
                <w:rFonts w:hint="eastAsia" w:cs="宋体"/>
                <w:sz w:val="24"/>
                <w:szCs w:val="20"/>
                <w:lang w:eastAsia="zh-CN"/>
              </w:rPr>
              <w:t>天然气</w:t>
            </w:r>
            <w:r>
              <w:rPr>
                <w:rFonts w:hint="eastAsia" w:cs="宋体"/>
                <w:sz w:val="24"/>
                <w:szCs w:val="20"/>
              </w:rPr>
              <w:t>，向环境转移的途径主要为泄露，其环境风险类型主要为泄露、火灾等引发的伴生/次生污染物排放。</w:t>
            </w:r>
          </w:p>
          <w:p>
            <w:pPr>
              <w:spacing w:line="360" w:lineRule="auto"/>
              <w:ind w:firstLine="480" w:firstLineChars="200"/>
              <w:rPr>
                <w:rFonts w:cs="宋体"/>
                <w:sz w:val="24"/>
                <w:szCs w:val="20"/>
              </w:rPr>
            </w:pPr>
            <w:r>
              <w:rPr>
                <w:rFonts w:hint="eastAsia" w:cs="宋体"/>
                <w:sz w:val="24"/>
                <w:szCs w:val="20"/>
              </w:rPr>
              <w:t>4、风险分析</w:t>
            </w:r>
          </w:p>
          <w:p>
            <w:pPr>
              <w:spacing w:line="360" w:lineRule="auto"/>
              <w:ind w:firstLine="480" w:firstLineChars="200"/>
              <w:rPr>
                <w:rFonts w:cs="宋体"/>
                <w:sz w:val="24"/>
                <w:szCs w:val="20"/>
              </w:rPr>
            </w:pPr>
            <w:r>
              <w:rPr>
                <w:rFonts w:hint="eastAsia" w:cs="宋体"/>
                <w:sz w:val="24"/>
                <w:szCs w:val="20"/>
                <w:lang w:eastAsia="zh-CN"/>
              </w:rPr>
              <w:t>该项目为</w:t>
            </w:r>
            <w:r>
              <w:rPr>
                <w:rFonts w:hint="eastAsia" w:cs="宋体"/>
                <w:sz w:val="24"/>
                <w:szCs w:val="20"/>
                <w:lang w:val="en-US" w:eastAsia="zh-CN"/>
              </w:rPr>
              <w:t>LNG加气站，</w:t>
            </w:r>
            <w:r>
              <w:rPr>
                <w:rFonts w:hint="eastAsia" w:cs="宋体"/>
                <w:sz w:val="24"/>
                <w:szCs w:val="20"/>
              </w:rPr>
              <w:t>在生产过程中环境风险类型主要为泄露、火灾、爆炸，将对环境产生一定程度的影响，环境风险危害后果分析如下：</w:t>
            </w:r>
          </w:p>
          <w:p>
            <w:pPr>
              <w:widowControl/>
              <w:jc w:val="center"/>
              <w:rPr>
                <w:rFonts w:cs="宋体"/>
                <w:b/>
                <w:bCs/>
                <w:kern w:val="0"/>
                <w:szCs w:val="20"/>
              </w:rPr>
            </w:pPr>
            <w:r>
              <w:rPr>
                <w:rFonts w:hint="eastAsia" w:cs="宋体"/>
                <w:b/>
                <w:bCs/>
                <w:kern w:val="0"/>
                <w:szCs w:val="20"/>
              </w:rPr>
              <w:t>表7-</w:t>
            </w:r>
            <w:r>
              <w:rPr>
                <w:rFonts w:hint="eastAsia" w:cs="宋体"/>
                <w:b/>
                <w:bCs/>
                <w:kern w:val="0"/>
                <w:szCs w:val="20"/>
                <w:lang w:val="en-US" w:eastAsia="zh-CN"/>
              </w:rPr>
              <w:t>17</w:t>
            </w:r>
            <w:r>
              <w:rPr>
                <w:rFonts w:cs="宋体"/>
                <w:b/>
                <w:bCs/>
                <w:kern w:val="0"/>
                <w:szCs w:val="20"/>
              </w:rPr>
              <w:t xml:space="preserve"> </w:t>
            </w:r>
            <w:r>
              <w:rPr>
                <w:rFonts w:hint="eastAsia" w:cs="宋体"/>
                <w:b/>
                <w:bCs/>
                <w:kern w:val="0"/>
                <w:szCs w:val="20"/>
              </w:rPr>
              <w:t xml:space="preserve"> 环境风险危害后果</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134"/>
              <w:gridCol w:w="6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vAlign w:val="center"/>
                </w:tcPr>
                <w:p>
                  <w:pPr>
                    <w:widowControl/>
                    <w:jc w:val="center"/>
                  </w:pPr>
                  <w:r>
                    <w:rPr>
                      <w:rFonts w:hint="eastAsia"/>
                    </w:rPr>
                    <w:t>风险类型</w:t>
                  </w:r>
                </w:p>
              </w:tc>
              <w:tc>
                <w:tcPr>
                  <w:tcW w:w="1134" w:type="dxa"/>
                  <w:shd w:val="clear" w:color="auto" w:fill="auto"/>
                  <w:vAlign w:val="center"/>
                </w:tcPr>
                <w:p>
                  <w:pPr>
                    <w:widowControl/>
                    <w:jc w:val="center"/>
                  </w:pPr>
                  <w:r>
                    <w:rPr>
                      <w:rFonts w:hint="eastAsia"/>
                    </w:rPr>
                    <w:t>环境要素</w:t>
                  </w:r>
                </w:p>
              </w:tc>
              <w:tc>
                <w:tcPr>
                  <w:tcW w:w="6797" w:type="dxa"/>
                  <w:shd w:val="clear" w:color="auto" w:fill="auto"/>
                  <w:vAlign w:val="center"/>
                </w:tcPr>
                <w:p>
                  <w:pPr>
                    <w:widowControl/>
                    <w:jc w:val="center"/>
                  </w:pPr>
                  <w:r>
                    <w:rPr>
                      <w:rFonts w:hint="eastAsia"/>
                    </w:rPr>
                    <w:t>影响分析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vAlign w:val="center"/>
                </w:tcPr>
                <w:p>
                  <w:pPr>
                    <w:widowControl/>
                    <w:jc w:val="center"/>
                  </w:pPr>
                  <w:r>
                    <w:rPr>
                      <w:rFonts w:hint="eastAsia"/>
                    </w:rPr>
                    <w:t>泄露</w:t>
                  </w:r>
                </w:p>
              </w:tc>
              <w:tc>
                <w:tcPr>
                  <w:tcW w:w="1134" w:type="dxa"/>
                  <w:shd w:val="clear" w:color="auto" w:fill="auto"/>
                  <w:vAlign w:val="center"/>
                </w:tcPr>
                <w:p>
                  <w:pPr>
                    <w:widowControl/>
                    <w:jc w:val="center"/>
                    <w:rPr>
                      <w:rFonts w:hint="eastAsia" w:eastAsia="宋体"/>
                      <w:lang w:eastAsia="zh-CN"/>
                    </w:rPr>
                  </w:pPr>
                  <w:r>
                    <w:rPr>
                      <w:rFonts w:hint="eastAsia"/>
                      <w:lang w:eastAsia="zh-CN"/>
                    </w:rPr>
                    <w:t>环境空气</w:t>
                  </w:r>
                </w:p>
              </w:tc>
              <w:tc>
                <w:tcPr>
                  <w:tcW w:w="6797" w:type="dxa"/>
                  <w:shd w:val="clear" w:color="auto" w:fill="auto"/>
                  <w:vAlign w:val="center"/>
                </w:tcPr>
                <w:p>
                  <w:pPr>
                    <w:widowControl/>
                    <w:jc w:val="center"/>
                    <w:rPr>
                      <w:rFonts w:hint="eastAsia" w:eastAsia="宋体"/>
                      <w:lang w:eastAsia="zh-CN"/>
                    </w:rPr>
                  </w:pPr>
                  <w:r>
                    <w:rPr>
                      <w:rFonts w:hint="eastAsia"/>
                      <w:lang w:eastAsia="zh-CN"/>
                    </w:rPr>
                    <w:t>天然气成分中主要含甲烷，当天然气发生泄露时空气中甲烷浓度过高，能使人窒息。当空气中甲烷达25～30％时，可引起头痛、头晕、乏力、注意力不集中、呼吸和心跳加速、精细动作障碍等，甚至因缺氧而窒息昏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vAlign w:val="center"/>
                </w:tcPr>
                <w:p>
                  <w:pPr>
                    <w:widowControl/>
                    <w:jc w:val="center"/>
                    <w:rPr>
                      <w:rFonts w:hint="eastAsia" w:eastAsia="宋体"/>
                      <w:lang w:eastAsia="zh-CN"/>
                    </w:rPr>
                  </w:pPr>
                  <w:r>
                    <w:rPr>
                      <w:rFonts w:hint="eastAsia"/>
                      <w:lang w:eastAsia="zh-CN"/>
                    </w:rPr>
                    <w:t>火灾</w:t>
                  </w:r>
                </w:p>
              </w:tc>
              <w:tc>
                <w:tcPr>
                  <w:tcW w:w="1134" w:type="dxa"/>
                  <w:shd w:val="clear" w:color="auto" w:fill="auto"/>
                  <w:vAlign w:val="center"/>
                </w:tcPr>
                <w:p>
                  <w:pPr>
                    <w:widowControl/>
                    <w:jc w:val="center"/>
                  </w:pPr>
                  <w:r>
                    <w:rPr>
                      <w:rFonts w:hint="eastAsia"/>
                    </w:rPr>
                    <w:t>环境空气</w:t>
                  </w:r>
                </w:p>
              </w:tc>
              <w:tc>
                <w:tcPr>
                  <w:tcW w:w="6797" w:type="dxa"/>
                  <w:shd w:val="clear" w:color="auto" w:fill="auto"/>
                  <w:vAlign w:val="center"/>
                </w:tcPr>
                <w:p>
                  <w:pPr>
                    <w:widowControl/>
                    <w:jc w:val="center"/>
                  </w:pPr>
                  <w:r>
                    <w:rPr>
                      <w:rFonts w:hint="eastAsia"/>
                      <w:lang w:eastAsia="zh-CN"/>
                    </w:rPr>
                    <w:t>天然气</w:t>
                  </w:r>
                  <w:r>
                    <w:rPr>
                      <w:rFonts w:hint="eastAsia"/>
                    </w:rPr>
                    <w:t>燃烧将产生</w:t>
                  </w:r>
                  <w:r>
                    <w:rPr>
                      <w:rFonts w:hint="eastAsia"/>
                      <w:lang w:val="en-US" w:eastAsia="zh-CN"/>
                    </w:rPr>
                    <w:t>CO</w:t>
                  </w:r>
                  <w:r>
                    <w:rPr>
                      <w:rFonts w:hint="eastAsia"/>
                    </w:rPr>
                    <w:t>、CO</w:t>
                  </w:r>
                  <w:r>
                    <w:rPr>
                      <w:rFonts w:hint="eastAsia"/>
                      <w:vertAlign w:val="subscript"/>
                    </w:rPr>
                    <w:t>2</w:t>
                  </w:r>
                  <w:r>
                    <w:rPr>
                      <w:rFonts w:hint="eastAsia"/>
                    </w:rPr>
                    <w:t>等污染物，对区域大气环境产生一定影响。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shd w:val="clear" w:color="auto" w:fill="auto"/>
                  <w:vAlign w:val="center"/>
                </w:tcPr>
                <w:p>
                  <w:pPr>
                    <w:widowControl/>
                    <w:jc w:val="center"/>
                  </w:pPr>
                  <w:r>
                    <w:rPr>
                      <w:rFonts w:hint="eastAsia"/>
                    </w:rPr>
                    <w:t>爆炸</w:t>
                  </w:r>
                </w:p>
              </w:tc>
              <w:tc>
                <w:tcPr>
                  <w:tcW w:w="1134" w:type="dxa"/>
                  <w:shd w:val="clear" w:color="auto" w:fill="auto"/>
                  <w:vAlign w:val="center"/>
                </w:tcPr>
                <w:p>
                  <w:pPr>
                    <w:widowControl/>
                    <w:jc w:val="center"/>
                  </w:pPr>
                  <w:r>
                    <w:rPr>
                      <w:rFonts w:hint="eastAsia"/>
                    </w:rPr>
                    <w:t>环境空气</w:t>
                  </w:r>
                </w:p>
              </w:tc>
              <w:tc>
                <w:tcPr>
                  <w:tcW w:w="6797" w:type="dxa"/>
                  <w:shd w:val="clear" w:color="auto" w:fill="auto"/>
                  <w:vAlign w:val="center"/>
                </w:tcPr>
                <w:p>
                  <w:pPr>
                    <w:widowControl/>
                    <w:jc w:val="center"/>
                  </w:pPr>
                  <w:r>
                    <w:rPr>
                      <w:rFonts w:hint="eastAsia"/>
                    </w:rPr>
                    <w:t>爆炸时将产生大量的</w:t>
                  </w:r>
                  <w:r>
                    <w:rPr>
                      <w:rFonts w:hint="eastAsia"/>
                      <w:lang w:val="en-US" w:eastAsia="zh-CN"/>
                    </w:rPr>
                    <w:t>CO</w:t>
                  </w:r>
                  <w:r>
                    <w:rPr>
                      <w:rFonts w:hint="eastAsia"/>
                    </w:rPr>
                    <w:t>、CO</w:t>
                  </w:r>
                  <w:r>
                    <w:rPr>
                      <w:rFonts w:hint="eastAsia"/>
                      <w:vertAlign w:val="subscript"/>
                    </w:rPr>
                    <w:t>2</w:t>
                  </w:r>
                  <w:r>
                    <w:rPr>
                      <w:rFonts w:hint="eastAsia"/>
                    </w:rPr>
                    <w:t>等污染物，对区域大气环境产生一定影响。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shd w:val="clear" w:color="auto" w:fill="auto"/>
                  <w:vAlign w:val="center"/>
                </w:tcPr>
                <w:p>
                  <w:pPr>
                    <w:widowControl/>
                    <w:jc w:val="center"/>
                  </w:pPr>
                </w:p>
              </w:tc>
              <w:tc>
                <w:tcPr>
                  <w:tcW w:w="1134" w:type="dxa"/>
                  <w:shd w:val="clear" w:color="auto" w:fill="auto"/>
                  <w:vAlign w:val="center"/>
                </w:tcPr>
                <w:p>
                  <w:pPr>
                    <w:widowControl/>
                    <w:jc w:val="center"/>
                  </w:pPr>
                  <w:r>
                    <w:rPr>
                      <w:rFonts w:hint="eastAsia"/>
                    </w:rPr>
                    <w:t>声环境</w:t>
                  </w:r>
                </w:p>
              </w:tc>
              <w:tc>
                <w:tcPr>
                  <w:tcW w:w="6797" w:type="dxa"/>
                  <w:shd w:val="clear" w:color="auto" w:fill="auto"/>
                  <w:vAlign w:val="center"/>
                </w:tcPr>
                <w:p>
                  <w:pPr>
                    <w:widowControl/>
                    <w:jc w:val="center"/>
                  </w:pPr>
                  <w:r>
                    <w:rPr>
                      <w:rFonts w:hint="eastAsia"/>
                    </w:rPr>
                    <w:t>在爆炸时，将产生强烈的振动，对区域声环境产生明显影响。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shd w:val="clear" w:color="auto" w:fill="auto"/>
                  <w:vAlign w:val="center"/>
                </w:tcPr>
                <w:p>
                  <w:pPr>
                    <w:widowControl/>
                    <w:jc w:val="center"/>
                  </w:pPr>
                </w:p>
              </w:tc>
              <w:tc>
                <w:tcPr>
                  <w:tcW w:w="1134" w:type="dxa"/>
                  <w:shd w:val="clear" w:color="auto" w:fill="auto"/>
                  <w:vAlign w:val="center"/>
                </w:tcPr>
                <w:p>
                  <w:pPr>
                    <w:widowControl/>
                    <w:jc w:val="center"/>
                  </w:pPr>
                  <w:r>
                    <w:rPr>
                      <w:rFonts w:hint="eastAsia"/>
                    </w:rPr>
                    <w:t>生态环境</w:t>
                  </w:r>
                </w:p>
              </w:tc>
              <w:tc>
                <w:tcPr>
                  <w:tcW w:w="6797" w:type="dxa"/>
                  <w:shd w:val="clear" w:color="auto" w:fill="auto"/>
                  <w:vAlign w:val="center"/>
                </w:tcPr>
                <w:p>
                  <w:pPr>
                    <w:widowControl/>
                    <w:jc w:val="center"/>
                  </w:pPr>
                  <w:r>
                    <w:rPr>
                      <w:rFonts w:hint="eastAsia"/>
                    </w:rPr>
                    <w:t>在爆炸时，由于爆炸震荡、冲击波等，有可能对区域植被产生破坏，影响区域生态环境。</w:t>
                  </w:r>
                </w:p>
              </w:tc>
            </w:tr>
          </w:tbl>
          <w:p>
            <w:pPr>
              <w:numPr>
                <w:ilvl w:val="0"/>
                <w:numId w:val="10"/>
              </w:numPr>
              <w:spacing w:line="360" w:lineRule="auto"/>
              <w:ind w:firstLine="480" w:firstLineChars="200"/>
              <w:rPr>
                <w:rFonts w:hint="eastAsia" w:cs="宋体"/>
                <w:sz w:val="24"/>
                <w:szCs w:val="20"/>
              </w:rPr>
            </w:pPr>
            <w:r>
              <w:rPr>
                <w:rFonts w:hint="eastAsia" w:cs="宋体"/>
                <w:sz w:val="24"/>
                <w:szCs w:val="20"/>
              </w:rPr>
              <w:t>环境风险防范措施及应急要求</w:t>
            </w:r>
          </w:p>
          <w:p>
            <w:pPr>
              <w:pStyle w:val="97"/>
              <w:bidi w:val="0"/>
              <w:rPr>
                <w:rFonts w:hint="eastAsia"/>
              </w:rPr>
            </w:pPr>
            <w:r>
              <w:rPr>
                <w:rFonts w:hint="eastAsia"/>
              </w:rPr>
              <w:t>由于本项目存在大量易燃、易爆物品，一旦操作失控或设备发生破裂、泄漏、腐蚀等，就为风险事故发生“创造”了条件。尽管环境风险的客观存在无法改变，但通过科学的设计、施工、操作和管理，可将风险事故发生的可能性和危害性降低到</w:t>
            </w:r>
          </w:p>
          <w:p>
            <w:pPr>
              <w:pStyle w:val="97"/>
              <w:bidi w:val="0"/>
              <w:ind w:left="0" w:leftChars="0" w:firstLine="0" w:firstLineChars="0"/>
              <w:rPr>
                <w:rFonts w:hint="eastAsia"/>
              </w:rPr>
            </w:pPr>
            <w:r>
              <w:rPr>
                <w:rFonts w:hint="eastAsia"/>
              </w:rPr>
              <w:t>最小程度，真正做到防患于未然，达到预防事故发生的目的。</w:t>
            </w:r>
          </w:p>
          <w:p>
            <w:pPr>
              <w:pStyle w:val="97"/>
              <w:bidi w:val="0"/>
              <w:rPr>
                <w:rFonts w:hint="eastAsia"/>
              </w:rPr>
            </w:pPr>
            <w:r>
              <w:rPr>
                <w:rFonts w:hint="eastAsia"/>
              </w:rPr>
              <w:t>项目为减少环境风险，要求做到：</w:t>
            </w:r>
          </w:p>
          <w:p>
            <w:pPr>
              <w:pStyle w:val="97"/>
              <w:numPr>
                <w:ilvl w:val="0"/>
                <w:numId w:val="11"/>
              </w:numPr>
              <w:bidi w:val="0"/>
              <w:rPr>
                <w:rFonts w:hint="eastAsia"/>
              </w:rPr>
            </w:pPr>
            <w:r>
              <w:rPr>
                <w:rFonts w:hint="eastAsia"/>
              </w:rPr>
              <w:t>严格按照《汽车加油加气站设计与施工规范》（GB50156-2012）、《液化天然气（LNG）汽车加气站技术规范》（NB/T1001-2011）、《汽车车用压缩天然气加气站设计规范》（SY0092-98）等相关规范及国家制定的相关最新规范进行设计建设和运行管理，并采用技术先进、安全可靠的设备，从而提高工程的建设质量和本质安全；</w:t>
            </w:r>
          </w:p>
          <w:p>
            <w:pPr>
              <w:pStyle w:val="97"/>
              <w:bidi w:val="0"/>
              <w:rPr>
                <w:rFonts w:hint="eastAsia"/>
              </w:rPr>
            </w:pPr>
            <w:r>
              <w:rPr>
                <w:rFonts w:hint="eastAsia"/>
              </w:rPr>
              <w:t>（2）LNG储罐选用真空粉末绝热储罐，储罐内分为两层（内罐材料采用S30408，</w:t>
            </w:r>
          </w:p>
          <w:p>
            <w:pPr>
              <w:pStyle w:val="97"/>
              <w:bidi w:val="0"/>
              <w:ind w:left="0" w:leftChars="0" w:firstLine="0" w:firstLineChars="0"/>
              <w:rPr>
                <w:rFonts w:hint="eastAsia"/>
              </w:rPr>
            </w:pPr>
            <w:r>
              <w:rPr>
                <w:rFonts w:hint="eastAsia"/>
              </w:rPr>
              <w:t>外罐材料选用低合金容器钢Q345R），夹层中间填充珠光砂粉末，夹层抽真空，有效防止外界热量传入罐内，保障储罐安全；采用的真空泵池（安装低温潜液泵的真空容器）的结构为双圆筒高真空多层容器，内外容器用奥氏体不锈钢板材制成，夹层内包扎多层材料并抽真空；配置1台空温式安全放散气体加热器，放散气体先通过该加热器加热，使其密度小于空气，然后再引入高空放散；站区工艺管线按照《奥氏体耐低温输送流体用不锈钢》规范，采用OCr18Ni9耐低温不锈钢钢管；选用正规厂家的高压高质量阀门；</w:t>
            </w:r>
          </w:p>
          <w:p>
            <w:pPr>
              <w:pStyle w:val="97"/>
              <w:bidi w:val="0"/>
              <w:rPr>
                <w:rFonts w:hint="eastAsia"/>
              </w:rPr>
            </w:pPr>
            <w:r>
              <w:rPr>
                <w:rFonts w:hint="eastAsia"/>
              </w:rPr>
              <w:t>（3）设置站控系统1套，采集LNG站内的各监控点的工艺参数，监视与控制设备运行状态；</w:t>
            </w:r>
          </w:p>
          <w:p>
            <w:pPr>
              <w:pStyle w:val="97"/>
              <w:bidi w:val="0"/>
              <w:rPr>
                <w:rFonts w:hint="eastAsia"/>
              </w:rPr>
            </w:pPr>
            <w:r>
              <w:rPr>
                <w:rFonts w:hint="eastAsia"/>
              </w:rPr>
              <w:t>（4）采用PLC控制系统对储罐、潜液泵、站内工艺阀门以及加液机的监控和管理，对气站的安全状态进行监测，通过泄漏报警仪等监测设备及时发现泄漏等隐患，并予报警并关闭紧急切断阀；</w:t>
            </w:r>
          </w:p>
          <w:p>
            <w:pPr>
              <w:pStyle w:val="97"/>
              <w:bidi w:val="0"/>
              <w:rPr>
                <w:rFonts w:hint="eastAsia" w:cs="宋体"/>
                <w:szCs w:val="20"/>
              </w:rPr>
            </w:pPr>
            <w:r>
              <w:rPr>
                <w:rFonts w:hint="eastAsia"/>
              </w:rPr>
              <w:t>（5）采用联锁控制方案，当LNG潜液泵池出现报警时自动切断电源，当LNG储罐出现报警时，发出报警信号；</w:t>
            </w:r>
          </w:p>
          <w:p>
            <w:pPr>
              <w:pStyle w:val="97"/>
              <w:bidi w:val="0"/>
              <w:rPr>
                <w:rFonts w:hint="eastAsia"/>
              </w:rPr>
            </w:pPr>
            <w:r>
              <w:rPr>
                <w:rFonts w:hint="eastAsia"/>
              </w:rPr>
              <w:t>（6）可燃气体报警系统设两级报警，当各检测区域的天然气泄漏浓度达到25%LEL时，控制室声光报警；当各检测区域的天然气泄漏浓度达到50%LEL时，控制室声光报警，可燃气体报警控制器输出联锁信号控制对应各区域重要设备停止运行；</w:t>
            </w:r>
          </w:p>
          <w:p>
            <w:pPr>
              <w:pStyle w:val="97"/>
              <w:bidi w:val="0"/>
              <w:rPr>
                <w:rFonts w:hint="eastAsia"/>
              </w:rPr>
            </w:pPr>
            <w:r>
              <w:rPr>
                <w:rFonts w:hint="eastAsia"/>
              </w:rPr>
              <w:t>（7）设置其它安全装置（灭火器、警示标志等、防静电工作服、自吸式呼吸器、泄漏事故的截断和收集系统等）。</w:t>
            </w:r>
          </w:p>
          <w:p>
            <w:pPr>
              <w:pStyle w:val="97"/>
              <w:bidi w:val="0"/>
              <w:rPr>
                <w:rFonts w:hint="eastAsia"/>
                <w:b/>
                <w:bCs/>
              </w:rPr>
            </w:pPr>
            <w:r>
              <w:rPr>
                <w:rFonts w:hint="eastAsia"/>
                <w:b/>
                <w:bCs/>
              </w:rPr>
              <w:t>本次环评要求和建议：</w:t>
            </w:r>
          </w:p>
          <w:p>
            <w:pPr>
              <w:pStyle w:val="97"/>
              <w:bidi w:val="0"/>
              <w:rPr>
                <w:rFonts w:hint="eastAsia"/>
              </w:rPr>
            </w:pPr>
            <w:r>
              <w:rPr>
                <w:rFonts w:hint="eastAsia"/>
              </w:rPr>
              <w:t>（1）要求项目必须严格按照安评要求进行安全运营，落实单位安全生产制度和责任，建立健全安全、环境管理体系及高效的安全生产机构，一旦发生事故，要做到快速、高效、安全处置。项目必须在得到安监、环保管理部门许可后方可运营。</w:t>
            </w:r>
          </w:p>
          <w:p>
            <w:pPr>
              <w:pStyle w:val="97"/>
              <w:bidi w:val="0"/>
              <w:rPr>
                <w:rFonts w:hint="eastAsia"/>
              </w:rPr>
            </w:pPr>
            <w:r>
              <w:rPr>
                <w:rFonts w:hint="eastAsia"/>
              </w:rPr>
              <w:t>（2）要求项目进一步加强安全检查，完善风险管理措施，必须保证</w:t>
            </w:r>
            <w:r>
              <w:rPr>
                <w:rFonts w:hint="eastAsia"/>
                <w:lang w:eastAsia="zh-CN"/>
              </w:rPr>
              <w:t>天然气</w:t>
            </w:r>
            <w:r>
              <w:rPr>
                <w:rFonts w:hint="eastAsia"/>
              </w:rPr>
              <w:t>不外泄不造成环境污染事故发生。</w:t>
            </w:r>
          </w:p>
          <w:p>
            <w:pPr>
              <w:spacing w:line="360" w:lineRule="auto"/>
              <w:ind w:firstLine="480" w:firstLineChars="200"/>
              <w:rPr>
                <w:rFonts w:cs="宋体"/>
                <w:sz w:val="24"/>
                <w:szCs w:val="20"/>
              </w:rPr>
            </w:pPr>
            <w:r>
              <w:rPr>
                <w:rFonts w:hint="eastAsia" w:cs="宋体"/>
                <w:sz w:val="24"/>
                <w:szCs w:val="20"/>
              </w:rPr>
              <w:t>（2）应急要求</w:t>
            </w:r>
          </w:p>
          <w:p>
            <w:pPr>
              <w:spacing w:line="360" w:lineRule="auto"/>
              <w:ind w:firstLine="480" w:firstLineChars="200"/>
              <w:rPr>
                <w:rFonts w:cs="宋体"/>
                <w:sz w:val="24"/>
                <w:szCs w:val="20"/>
              </w:rPr>
            </w:pPr>
            <w:r>
              <w:rPr>
                <w:rFonts w:hint="eastAsia" w:cs="宋体"/>
                <w:sz w:val="24"/>
                <w:szCs w:val="20"/>
              </w:rPr>
              <w:t>针对工程可能发生的风险事故，制定风险事故应急预案，宣贯全体员工，并进行必要的演练，以保证应急预案有效可行。应急预案主要内容应根据下表详细编制，经修订完善，由企业法人批准公布实施。</w:t>
            </w:r>
          </w:p>
          <w:p>
            <w:pPr>
              <w:widowControl/>
              <w:jc w:val="center"/>
              <w:rPr>
                <w:rFonts w:cs="宋体"/>
                <w:b/>
                <w:bCs/>
                <w:kern w:val="0"/>
                <w:szCs w:val="20"/>
              </w:rPr>
            </w:pPr>
            <w:r>
              <w:rPr>
                <w:rFonts w:hint="eastAsia" w:cs="宋体"/>
                <w:b/>
                <w:bCs/>
                <w:kern w:val="0"/>
                <w:szCs w:val="20"/>
              </w:rPr>
              <w:t>表7-</w:t>
            </w:r>
            <w:r>
              <w:rPr>
                <w:rFonts w:hint="eastAsia" w:cs="宋体"/>
                <w:b/>
                <w:bCs/>
                <w:kern w:val="0"/>
                <w:szCs w:val="20"/>
                <w:lang w:val="en-US" w:eastAsia="zh-CN"/>
              </w:rPr>
              <w:t>18</w:t>
            </w:r>
            <w:r>
              <w:rPr>
                <w:rFonts w:cs="宋体"/>
                <w:b/>
                <w:bCs/>
                <w:kern w:val="0"/>
                <w:szCs w:val="20"/>
              </w:rPr>
              <w:t xml:space="preserve">  </w:t>
            </w:r>
            <w:r>
              <w:rPr>
                <w:rFonts w:hint="eastAsia" w:cs="宋体"/>
                <w:b/>
                <w:bCs/>
                <w:kern w:val="0"/>
                <w:szCs w:val="20"/>
              </w:rPr>
              <w:t xml:space="preserve"> </w:t>
            </w:r>
            <w:r>
              <w:rPr>
                <w:rFonts w:cs="宋体"/>
                <w:b/>
                <w:bCs/>
                <w:kern w:val="0"/>
                <w:szCs w:val="20"/>
              </w:rPr>
              <w:t>应急预案内容</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2326"/>
              <w:gridCol w:w="5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序号</w:t>
                  </w:r>
                </w:p>
              </w:tc>
              <w:tc>
                <w:tcPr>
                  <w:tcW w:w="2442" w:type="dxa"/>
                  <w:vAlign w:val="center"/>
                </w:tcPr>
                <w:p>
                  <w:pPr>
                    <w:widowControl/>
                    <w:jc w:val="center"/>
                  </w:pPr>
                  <w:r>
                    <w:t>项  目</w:t>
                  </w:r>
                </w:p>
              </w:tc>
              <w:tc>
                <w:tcPr>
                  <w:tcW w:w="6332" w:type="dxa"/>
                  <w:vAlign w:val="center"/>
                </w:tcPr>
                <w:p>
                  <w:pPr>
                    <w:widowControl/>
                    <w:jc w:val="center"/>
                  </w:pPr>
                  <w: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92" w:type="dxa"/>
                  <w:vAlign w:val="center"/>
                </w:tcPr>
                <w:p>
                  <w:pPr>
                    <w:widowControl/>
                    <w:jc w:val="center"/>
                  </w:pPr>
                  <w:r>
                    <w:t>1</w:t>
                  </w:r>
                </w:p>
              </w:tc>
              <w:tc>
                <w:tcPr>
                  <w:tcW w:w="2442" w:type="dxa"/>
                  <w:vAlign w:val="center"/>
                </w:tcPr>
                <w:p>
                  <w:pPr>
                    <w:widowControl/>
                    <w:jc w:val="center"/>
                  </w:pPr>
                  <w:r>
                    <w:t>应急计划区</w:t>
                  </w:r>
                </w:p>
              </w:tc>
              <w:tc>
                <w:tcPr>
                  <w:tcW w:w="6332" w:type="dxa"/>
                  <w:vAlign w:val="center"/>
                </w:tcPr>
                <w:p>
                  <w:pPr>
                    <w:widowControl/>
                    <w:jc w:val="center"/>
                    <w:rPr>
                      <w:rFonts w:hint="eastAsia" w:eastAsia="宋体"/>
                      <w:lang w:eastAsia="zh-CN"/>
                    </w:rPr>
                  </w:pPr>
                  <w:r>
                    <w:t>危险目标：</w:t>
                  </w:r>
                  <w:r>
                    <w:rPr>
                      <w:rFonts w:hint="eastAsia"/>
                      <w:lang w:eastAsia="zh-CN"/>
                    </w:rPr>
                    <w:t>储罐区、加气岛、输送管道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2</w:t>
                  </w:r>
                </w:p>
              </w:tc>
              <w:tc>
                <w:tcPr>
                  <w:tcW w:w="2442" w:type="dxa"/>
                  <w:vAlign w:val="center"/>
                </w:tcPr>
                <w:p>
                  <w:pPr>
                    <w:widowControl/>
                    <w:jc w:val="center"/>
                  </w:pPr>
                  <w:r>
                    <w:t>应急组织机构、人员</w:t>
                  </w:r>
                </w:p>
              </w:tc>
              <w:tc>
                <w:tcPr>
                  <w:tcW w:w="6332" w:type="dxa"/>
                  <w:vAlign w:val="center"/>
                </w:tcPr>
                <w:p>
                  <w:pPr>
                    <w:widowControl/>
                    <w:jc w:val="center"/>
                  </w:pPr>
                  <w:r>
                    <w:rPr>
                      <w:rFonts w:hint="eastAsia"/>
                    </w:rPr>
                    <w:t>建立</w:t>
                  </w:r>
                  <w:r>
                    <w:rPr>
                      <w:rFonts w:hint="eastAsia"/>
                      <w:lang w:eastAsia="zh-CN"/>
                    </w:rPr>
                    <w:t>加气站</w:t>
                  </w:r>
                  <w:r>
                    <w:t>应急组织机构、人员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3</w:t>
                  </w:r>
                </w:p>
              </w:tc>
              <w:tc>
                <w:tcPr>
                  <w:tcW w:w="2442" w:type="dxa"/>
                  <w:vAlign w:val="center"/>
                </w:tcPr>
                <w:p>
                  <w:pPr>
                    <w:widowControl/>
                    <w:jc w:val="center"/>
                  </w:pPr>
                  <w:r>
                    <w:t>预案分级影响条件</w:t>
                  </w:r>
                </w:p>
              </w:tc>
              <w:tc>
                <w:tcPr>
                  <w:tcW w:w="6332" w:type="dxa"/>
                  <w:vAlign w:val="center"/>
                </w:tcPr>
                <w:p>
                  <w:pPr>
                    <w:widowControl/>
                    <w:jc w:val="center"/>
                  </w:pPr>
                  <w:r>
                    <w:t>规定预案的级别和分级影响程序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4</w:t>
                  </w:r>
                </w:p>
              </w:tc>
              <w:tc>
                <w:tcPr>
                  <w:tcW w:w="2442" w:type="dxa"/>
                  <w:vAlign w:val="center"/>
                </w:tcPr>
                <w:p>
                  <w:pPr>
                    <w:widowControl/>
                    <w:jc w:val="center"/>
                  </w:pPr>
                  <w:r>
                    <w:t>应急救援保障</w:t>
                  </w:r>
                </w:p>
              </w:tc>
              <w:tc>
                <w:tcPr>
                  <w:tcW w:w="6332" w:type="dxa"/>
                  <w:vAlign w:val="center"/>
                </w:tcPr>
                <w:p>
                  <w:pPr>
                    <w:widowControl/>
                    <w:jc w:val="center"/>
                  </w:pPr>
                  <w:r>
                    <w:t>应急设施、设备与器材等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92" w:type="dxa"/>
                  <w:vAlign w:val="center"/>
                </w:tcPr>
                <w:p>
                  <w:pPr>
                    <w:widowControl/>
                    <w:jc w:val="center"/>
                  </w:pPr>
                  <w:r>
                    <w:t>5</w:t>
                  </w:r>
                </w:p>
              </w:tc>
              <w:tc>
                <w:tcPr>
                  <w:tcW w:w="2442" w:type="dxa"/>
                  <w:vAlign w:val="center"/>
                </w:tcPr>
                <w:p>
                  <w:pPr>
                    <w:widowControl/>
                    <w:jc w:val="center"/>
                  </w:pPr>
                  <w:r>
                    <w:t>报警、通讯联络方式</w:t>
                  </w:r>
                </w:p>
              </w:tc>
              <w:tc>
                <w:tcPr>
                  <w:tcW w:w="6332" w:type="dxa"/>
                  <w:vAlign w:val="center"/>
                </w:tcPr>
                <w:p>
                  <w:pPr>
                    <w:widowControl/>
                    <w:jc w:val="center"/>
                  </w:pPr>
                  <w:r>
                    <w:t>规定应急状态下的报警通讯方式、通知方式和交通保障、管制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6</w:t>
                  </w:r>
                </w:p>
              </w:tc>
              <w:tc>
                <w:tcPr>
                  <w:tcW w:w="2442" w:type="dxa"/>
                  <w:vAlign w:val="center"/>
                </w:tcPr>
                <w:p>
                  <w:pPr>
                    <w:widowControl/>
                    <w:jc w:val="center"/>
                  </w:pPr>
                  <w:r>
                    <w:t>应急环境监测、抢救、救援及控制措施</w:t>
                  </w:r>
                </w:p>
              </w:tc>
              <w:tc>
                <w:tcPr>
                  <w:tcW w:w="6332" w:type="dxa"/>
                  <w:vAlign w:val="center"/>
                </w:tcPr>
                <w:p>
                  <w:pPr>
                    <w:widowControl/>
                    <w:jc w:val="center"/>
                  </w:pPr>
                  <w:r>
                    <w:t>有专业队伍负责对事故现场进行侦察监测，对事故性质、参数后果进行评估，为指挥部门提供决策依据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7</w:t>
                  </w:r>
                </w:p>
              </w:tc>
              <w:tc>
                <w:tcPr>
                  <w:tcW w:w="2442" w:type="dxa"/>
                  <w:vAlign w:val="center"/>
                </w:tcPr>
                <w:p>
                  <w:pPr>
                    <w:widowControl/>
                    <w:jc w:val="center"/>
                  </w:pPr>
                  <w:r>
                    <w:t>应急监测、防护措施器材</w:t>
                  </w:r>
                </w:p>
              </w:tc>
              <w:tc>
                <w:tcPr>
                  <w:tcW w:w="6332" w:type="dxa"/>
                  <w:vAlign w:val="center"/>
                </w:tcPr>
                <w:p>
                  <w:pPr>
                    <w:widowControl/>
                    <w:jc w:val="center"/>
                  </w:pPr>
                  <w:r>
                    <w:t>事故现场、临近区域、控制防爆区域、控制清除污染措施及相应设施。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8</w:t>
                  </w:r>
                </w:p>
              </w:tc>
              <w:tc>
                <w:tcPr>
                  <w:tcW w:w="2442" w:type="dxa"/>
                  <w:vAlign w:val="center"/>
                </w:tcPr>
                <w:p>
                  <w:pPr>
                    <w:widowControl/>
                    <w:jc w:val="center"/>
                  </w:pPr>
                  <w:r>
                    <w:t>人员紧急撤离、疏散、撤离组织计划</w:t>
                  </w:r>
                </w:p>
              </w:tc>
              <w:tc>
                <w:tcPr>
                  <w:tcW w:w="6332" w:type="dxa"/>
                  <w:vAlign w:val="center"/>
                </w:tcPr>
                <w:p>
                  <w:pPr>
                    <w:widowControl/>
                    <w:jc w:val="center"/>
                  </w:pPr>
                  <w:r>
                    <w:t>事故现场、临近区、受事故影响的区域人员及公众对受损程度控制规定，撤离组织计划及救护，医疗救护与公众健康。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9</w:t>
                  </w:r>
                </w:p>
              </w:tc>
              <w:tc>
                <w:tcPr>
                  <w:tcW w:w="2442" w:type="dxa"/>
                  <w:vAlign w:val="center"/>
                </w:tcPr>
                <w:p>
                  <w:pPr>
                    <w:widowControl/>
                    <w:jc w:val="center"/>
                  </w:pPr>
                  <w:r>
                    <w:t>事故应急救援关闭程序与恢复措施</w:t>
                  </w:r>
                </w:p>
              </w:tc>
              <w:tc>
                <w:tcPr>
                  <w:tcW w:w="6332" w:type="dxa"/>
                  <w:vAlign w:val="center"/>
                </w:tcPr>
                <w:p>
                  <w:pPr>
                    <w:widowControl/>
                    <w:jc w:val="center"/>
                  </w:pPr>
                  <w:r>
                    <w:t>规定应急状态终止程序。事故现场善后处理，恢复措施。临近区域解除事故警戒及善后恢复措施。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10</w:t>
                  </w:r>
                </w:p>
              </w:tc>
              <w:tc>
                <w:tcPr>
                  <w:tcW w:w="2442" w:type="dxa"/>
                  <w:vAlign w:val="center"/>
                </w:tcPr>
                <w:p>
                  <w:pPr>
                    <w:widowControl/>
                    <w:jc w:val="center"/>
                  </w:pPr>
                  <w:r>
                    <w:t>应急培训计划</w:t>
                  </w:r>
                </w:p>
              </w:tc>
              <w:tc>
                <w:tcPr>
                  <w:tcW w:w="6332" w:type="dxa"/>
                  <w:vAlign w:val="center"/>
                </w:tcPr>
                <w:p>
                  <w:pPr>
                    <w:widowControl/>
                    <w:jc w:val="center"/>
                  </w:pPr>
                  <w:r>
                    <w:t>应急计划制定后，平时安排人员培训与演练。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widowControl/>
                    <w:jc w:val="center"/>
                  </w:pPr>
                  <w:r>
                    <w:t>11</w:t>
                  </w:r>
                </w:p>
              </w:tc>
              <w:tc>
                <w:tcPr>
                  <w:tcW w:w="2442" w:type="dxa"/>
                  <w:vAlign w:val="center"/>
                </w:tcPr>
                <w:p>
                  <w:pPr>
                    <w:widowControl/>
                    <w:jc w:val="center"/>
                  </w:pPr>
                  <w:r>
                    <w:t>公众教育和信息</w:t>
                  </w:r>
                </w:p>
              </w:tc>
              <w:tc>
                <w:tcPr>
                  <w:tcW w:w="6332" w:type="dxa"/>
                  <w:vAlign w:val="center"/>
                </w:tcPr>
                <w:p>
                  <w:pPr>
                    <w:widowControl/>
                    <w:jc w:val="center"/>
                  </w:pPr>
                  <w:r>
                    <w:t>对</w:t>
                  </w:r>
                  <w:r>
                    <w:rPr>
                      <w:rFonts w:hint="eastAsia"/>
                      <w:lang w:eastAsia="zh-CN"/>
                    </w:rPr>
                    <w:t>加气站</w:t>
                  </w:r>
                  <w:r>
                    <w:t>临近地区开展公众教育，培训和发布有关信息。</w:t>
                  </w:r>
                </w:p>
              </w:tc>
            </w:tr>
          </w:tbl>
          <w:p>
            <w:pPr>
              <w:spacing w:line="360" w:lineRule="auto"/>
              <w:ind w:firstLine="480" w:firstLineChars="200"/>
              <w:rPr>
                <w:rFonts w:cs="宋体"/>
                <w:sz w:val="24"/>
                <w:szCs w:val="20"/>
              </w:rPr>
            </w:pPr>
            <w:r>
              <w:rPr>
                <w:rFonts w:hint="eastAsia" w:cs="宋体"/>
                <w:sz w:val="24"/>
                <w:szCs w:val="20"/>
              </w:rPr>
              <w:t>6、环境风险分析结论</w:t>
            </w:r>
          </w:p>
          <w:p>
            <w:pPr>
              <w:spacing w:line="360" w:lineRule="auto"/>
              <w:ind w:firstLine="480" w:firstLineChars="200"/>
              <w:rPr>
                <w:rFonts w:cs="宋体"/>
                <w:sz w:val="24"/>
                <w:szCs w:val="20"/>
              </w:rPr>
            </w:pPr>
            <w:r>
              <w:rPr>
                <w:rFonts w:hint="eastAsia" w:cs="宋体"/>
                <w:sz w:val="24"/>
                <w:szCs w:val="20"/>
              </w:rPr>
              <w:t>拟建项目环境风险事故主要为</w:t>
            </w:r>
            <w:r>
              <w:rPr>
                <w:rFonts w:hint="eastAsia" w:cs="宋体"/>
                <w:sz w:val="24"/>
                <w:szCs w:val="20"/>
                <w:lang w:eastAsia="zh-CN"/>
              </w:rPr>
              <w:t>天然气</w:t>
            </w:r>
            <w:r>
              <w:rPr>
                <w:rFonts w:hint="eastAsia" w:cs="宋体"/>
                <w:sz w:val="24"/>
                <w:szCs w:val="20"/>
              </w:rPr>
              <w:t>在使用过程中发生的泄露、火灾、爆炸，对环境造成一定的影响。通过制定风险防范措施，制定安全生产规范，通过加强员工的安全、环保知识和风险事故安全教育，提高员工的风险防范意识，掌握本职工作所需的环保知识和技能，严格遵守环保规章制度和操作规程，了解其作业场所和工作中存在的环境风险以及企业所采取的防范措施和环境突发事故应急措施，以减少环境风险发生的概率。因此，本项目通过落实上述环境风险防范措施，其环境风险发生概率可进一步降低，其环境风险可控制在可接受范围。</w:t>
            </w:r>
          </w:p>
          <w:p>
            <w:pPr>
              <w:spacing w:line="360" w:lineRule="auto"/>
              <w:ind w:firstLine="480" w:firstLineChars="200"/>
              <w:rPr>
                <w:rFonts w:cs="宋体"/>
                <w:sz w:val="24"/>
                <w:szCs w:val="20"/>
              </w:rPr>
            </w:pPr>
            <w:r>
              <w:rPr>
                <w:rFonts w:hint="eastAsia" w:cs="宋体"/>
                <w:sz w:val="24"/>
                <w:szCs w:val="20"/>
              </w:rPr>
              <w:t>建设项目环境风险简单分析内容表如下：</w:t>
            </w:r>
          </w:p>
          <w:p>
            <w:pPr>
              <w:widowControl/>
              <w:jc w:val="center"/>
              <w:rPr>
                <w:rFonts w:cs="宋体"/>
                <w:b/>
                <w:bCs/>
                <w:kern w:val="0"/>
                <w:szCs w:val="20"/>
              </w:rPr>
            </w:pPr>
            <w:r>
              <w:rPr>
                <w:rFonts w:hint="eastAsia" w:cs="宋体"/>
                <w:b/>
                <w:bCs/>
                <w:kern w:val="0"/>
                <w:szCs w:val="20"/>
              </w:rPr>
              <w:t>表7-</w:t>
            </w:r>
            <w:r>
              <w:rPr>
                <w:rFonts w:hint="eastAsia" w:cs="宋体"/>
                <w:b/>
                <w:bCs/>
                <w:kern w:val="0"/>
                <w:szCs w:val="20"/>
                <w:lang w:val="en-US" w:eastAsia="zh-CN"/>
              </w:rPr>
              <w:t>19</w:t>
            </w:r>
            <w:r>
              <w:rPr>
                <w:rFonts w:cs="宋体"/>
                <w:b/>
                <w:bCs/>
                <w:kern w:val="0"/>
                <w:szCs w:val="20"/>
              </w:rPr>
              <w:t xml:space="preserve"> </w:t>
            </w:r>
            <w:r>
              <w:rPr>
                <w:rFonts w:hint="eastAsia" w:cs="宋体"/>
                <w:b/>
                <w:bCs/>
                <w:kern w:val="0"/>
                <w:szCs w:val="20"/>
              </w:rPr>
              <w:t xml:space="preserve"> 建设项目环境风险简单分析内容表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8"/>
              <w:gridCol w:w="1115"/>
              <w:gridCol w:w="1454"/>
              <w:gridCol w:w="815"/>
              <w:gridCol w:w="1474"/>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161"/>
                    <w:bidi w:val="0"/>
                  </w:pPr>
                  <w:r>
                    <w:rPr>
                      <w:rFonts w:hint="eastAsia"/>
                    </w:rPr>
                    <w:t>建设项目名称</w:t>
                  </w:r>
                </w:p>
              </w:tc>
              <w:tc>
                <w:tcPr>
                  <w:tcW w:w="0" w:type="auto"/>
                  <w:gridSpan w:val="5"/>
                  <w:shd w:val="clear" w:color="auto" w:fill="auto"/>
                  <w:vAlign w:val="center"/>
                </w:tcPr>
                <w:p>
                  <w:pPr>
                    <w:pStyle w:val="161"/>
                    <w:bidi w:val="0"/>
                  </w:pPr>
                  <w:r>
                    <w:rPr>
                      <w:rFonts w:hint="eastAsia"/>
                      <w:lang w:eastAsia="zh-CN"/>
                    </w:rPr>
                    <w:t>乐山市美凯来商贸有限公司峨边新场LNG加气站新建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161"/>
                    <w:bidi w:val="0"/>
                  </w:pPr>
                  <w:r>
                    <w:rPr>
                      <w:rFonts w:hint="eastAsia"/>
                    </w:rPr>
                    <w:t>建设地点</w:t>
                  </w:r>
                </w:p>
              </w:tc>
              <w:tc>
                <w:tcPr>
                  <w:tcW w:w="0" w:type="auto"/>
                  <w:shd w:val="clear" w:color="auto" w:fill="auto"/>
                  <w:vAlign w:val="center"/>
                </w:tcPr>
                <w:p>
                  <w:pPr>
                    <w:pStyle w:val="161"/>
                    <w:bidi w:val="0"/>
                  </w:pPr>
                  <w:r>
                    <w:rPr>
                      <w:rFonts w:hint="eastAsia"/>
                    </w:rPr>
                    <w:t>（四川省）省</w:t>
                  </w:r>
                </w:p>
              </w:tc>
              <w:tc>
                <w:tcPr>
                  <w:tcW w:w="0" w:type="auto"/>
                  <w:shd w:val="clear" w:color="auto" w:fill="auto"/>
                  <w:vAlign w:val="center"/>
                </w:tcPr>
                <w:p>
                  <w:pPr>
                    <w:pStyle w:val="161"/>
                    <w:bidi w:val="0"/>
                  </w:pPr>
                  <w:r>
                    <w:rPr>
                      <w:rFonts w:hint="eastAsia"/>
                    </w:rPr>
                    <w:t>（乐山市）市</w:t>
                  </w:r>
                </w:p>
              </w:tc>
              <w:tc>
                <w:tcPr>
                  <w:tcW w:w="0" w:type="auto"/>
                  <w:shd w:val="clear" w:color="auto" w:fill="auto"/>
                  <w:vAlign w:val="center"/>
                </w:tcPr>
                <w:p>
                  <w:pPr>
                    <w:pStyle w:val="161"/>
                    <w:bidi w:val="0"/>
                  </w:pPr>
                  <w:r>
                    <w:rPr>
                      <w:rFonts w:hint="eastAsia"/>
                    </w:rPr>
                    <w:t>（</w:t>
                  </w:r>
                  <w:r>
                    <w:rPr>
                      <w:rFonts w:hint="eastAsia" w:eastAsia="宋体"/>
                      <w:lang w:val="en-US" w:eastAsia="zh-CN"/>
                    </w:rPr>
                    <w:t>/</w:t>
                  </w:r>
                  <w:r>
                    <w:rPr>
                      <w:rFonts w:hint="eastAsia"/>
                    </w:rPr>
                    <w:t>）区</w:t>
                  </w:r>
                </w:p>
              </w:tc>
              <w:tc>
                <w:tcPr>
                  <w:tcW w:w="0" w:type="auto"/>
                  <w:shd w:val="clear" w:color="auto" w:fill="auto"/>
                  <w:vAlign w:val="center"/>
                </w:tcPr>
                <w:p>
                  <w:pPr>
                    <w:pStyle w:val="161"/>
                    <w:bidi w:val="0"/>
                  </w:pPr>
                  <w:r>
                    <w:rPr>
                      <w:rFonts w:hint="eastAsia"/>
                    </w:rPr>
                    <w:t>（峨边彝族自治）县</w:t>
                  </w:r>
                </w:p>
              </w:tc>
              <w:tc>
                <w:tcPr>
                  <w:tcW w:w="0" w:type="auto"/>
                  <w:shd w:val="clear" w:color="auto" w:fill="auto"/>
                  <w:vAlign w:val="center"/>
                </w:tcPr>
                <w:p>
                  <w:pPr>
                    <w:pStyle w:val="161"/>
                    <w:bidi w:val="0"/>
                  </w:pPr>
                  <w:r>
                    <w:rPr>
                      <w:rFonts w:hint="eastAsia"/>
                    </w:rPr>
                    <w:t>（</w:t>
                  </w:r>
                  <w:r>
                    <w:rPr>
                      <w:rFonts w:hint="eastAsia" w:eastAsia="宋体"/>
                      <w:lang w:val="en-US" w:eastAsia="zh-CN"/>
                    </w:rPr>
                    <w:t>/</w:t>
                  </w:r>
                  <w:r>
                    <w:rPr>
                      <w:rFonts w:hint="eastAsia"/>
                    </w:rPr>
                    <w:t>）园区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161"/>
                    <w:bidi w:val="0"/>
                  </w:pPr>
                  <w:r>
                    <w:rPr>
                      <w:rFonts w:hint="eastAsia"/>
                    </w:rPr>
                    <w:t>地理坐标</w:t>
                  </w:r>
                </w:p>
              </w:tc>
              <w:tc>
                <w:tcPr>
                  <w:tcW w:w="0" w:type="auto"/>
                  <w:shd w:val="clear" w:color="auto" w:fill="auto"/>
                  <w:vAlign w:val="center"/>
                </w:tcPr>
                <w:p>
                  <w:pPr>
                    <w:pStyle w:val="161"/>
                    <w:bidi w:val="0"/>
                  </w:pPr>
                  <w:r>
                    <w:rPr>
                      <w:rFonts w:hint="eastAsia"/>
                    </w:rPr>
                    <w:t>经度</w:t>
                  </w:r>
                </w:p>
              </w:tc>
              <w:tc>
                <w:tcPr>
                  <w:tcW w:w="0" w:type="auto"/>
                  <w:shd w:val="clear" w:color="auto" w:fill="auto"/>
                  <w:vAlign w:val="center"/>
                </w:tcPr>
                <w:p>
                  <w:pPr>
                    <w:pStyle w:val="161"/>
                    <w:bidi w:val="0"/>
                    <w:rPr>
                      <w:rFonts w:hint="default" w:eastAsia="宋体"/>
                      <w:lang w:val="en-US" w:eastAsia="zh-CN"/>
                    </w:rPr>
                  </w:pPr>
                  <w:r>
                    <w:t>103</w:t>
                  </w:r>
                  <w:r>
                    <w:rPr>
                      <w:rFonts w:hint="eastAsia" w:eastAsia="宋体"/>
                      <w:lang w:val="en-US" w:eastAsia="zh-CN"/>
                    </w:rPr>
                    <w:t>.275041°</w:t>
                  </w:r>
                </w:p>
              </w:tc>
              <w:tc>
                <w:tcPr>
                  <w:tcW w:w="0" w:type="auto"/>
                  <w:shd w:val="clear" w:color="auto" w:fill="auto"/>
                  <w:vAlign w:val="center"/>
                </w:tcPr>
                <w:p>
                  <w:pPr>
                    <w:pStyle w:val="161"/>
                    <w:bidi w:val="0"/>
                  </w:pPr>
                  <w:r>
                    <w:rPr>
                      <w:rFonts w:hint="eastAsia"/>
                    </w:rPr>
                    <w:t>纬度</w:t>
                  </w:r>
                </w:p>
              </w:tc>
              <w:tc>
                <w:tcPr>
                  <w:tcW w:w="0" w:type="auto"/>
                  <w:gridSpan w:val="2"/>
                  <w:shd w:val="clear" w:color="auto" w:fill="auto"/>
                  <w:vAlign w:val="center"/>
                </w:tcPr>
                <w:p>
                  <w:pPr>
                    <w:pStyle w:val="161"/>
                    <w:bidi w:val="0"/>
                    <w:rPr>
                      <w:rFonts w:hint="default" w:eastAsia="宋体"/>
                      <w:lang w:val="en-US" w:eastAsia="zh-CN"/>
                    </w:rPr>
                  </w:pPr>
                  <w:r>
                    <w:t>29</w:t>
                  </w:r>
                  <w:r>
                    <w:rPr>
                      <w:rFonts w:hint="eastAsia" w:eastAsia="宋体"/>
                      <w:lang w:eastAsia="zh-CN"/>
                    </w:rPr>
                    <w:t>.</w:t>
                  </w:r>
                  <w:r>
                    <w:rPr>
                      <w:rFonts w:hint="eastAsia" w:eastAsia="宋体"/>
                      <w:lang w:val="en-US" w:eastAsia="zh-CN"/>
                    </w:rPr>
                    <w:t>271802°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161"/>
                    <w:bidi w:val="0"/>
                  </w:pPr>
                  <w:r>
                    <w:rPr>
                      <w:rFonts w:hint="eastAsia"/>
                    </w:rPr>
                    <w:t>主要危险物质及分布</w:t>
                  </w:r>
                </w:p>
              </w:tc>
              <w:tc>
                <w:tcPr>
                  <w:tcW w:w="0" w:type="auto"/>
                  <w:gridSpan w:val="5"/>
                  <w:shd w:val="clear" w:color="auto" w:fill="auto"/>
                  <w:vAlign w:val="center"/>
                </w:tcPr>
                <w:p>
                  <w:pPr>
                    <w:pStyle w:val="161"/>
                    <w:bidi w:val="0"/>
                    <w:rPr>
                      <w:rFonts w:hint="eastAsia" w:eastAsia="宋体"/>
                      <w:lang w:eastAsia="zh-CN"/>
                    </w:rPr>
                  </w:pPr>
                  <w:r>
                    <w:rPr>
                      <w:rFonts w:hint="eastAsia" w:eastAsia="宋体"/>
                      <w:lang w:eastAsia="zh-CN"/>
                    </w:rPr>
                    <w:t>天然气：储罐、加气岛、输送管道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161"/>
                    <w:bidi w:val="0"/>
                  </w:pPr>
                  <w:r>
                    <w:rPr>
                      <w:rFonts w:hint="eastAsia"/>
                    </w:rPr>
                    <w:t>环境影响途径及危害后果（大气、地表水、地下水等）</w:t>
                  </w:r>
                </w:p>
              </w:tc>
              <w:tc>
                <w:tcPr>
                  <w:tcW w:w="0" w:type="auto"/>
                  <w:gridSpan w:val="5"/>
                  <w:shd w:val="clear" w:color="auto" w:fill="auto"/>
                  <w:vAlign w:val="center"/>
                </w:tcPr>
                <w:p>
                  <w:pPr>
                    <w:pStyle w:val="161"/>
                    <w:bidi w:val="0"/>
                  </w:pPr>
                  <w:r>
                    <w:rPr>
                      <w:rFonts w:hint="eastAsia"/>
                    </w:rPr>
                    <w:t>详见</w:t>
                  </w:r>
                  <w:r>
                    <w:rPr>
                      <w:rFonts w:hint="eastAsia" w:eastAsia="宋体"/>
                      <w:lang w:eastAsia="zh-CN"/>
                    </w:rPr>
                    <w:t>环境</w:t>
                  </w:r>
                  <w:r>
                    <w:rPr>
                      <w:rFonts w:hint="eastAsia"/>
                    </w:rPr>
                    <w:t>风险识别内容</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161"/>
                    <w:bidi w:val="0"/>
                  </w:pPr>
                  <w:r>
                    <w:rPr>
                      <w:rFonts w:hint="eastAsia"/>
                    </w:rPr>
                    <w:t>风险防范措施要求</w:t>
                  </w:r>
                </w:p>
              </w:tc>
              <w:tc>
                <w:tcPr>
                  <w:tcW w:w="0" w:type="auto"/>
                  <w:gridSpan w:val="5"/>
                  <w:shd w:val="clear" w:color="auto" w:fill="auto"/>
                  <w:vAlign w:val="center"/>
                </w:tcPr>
                <w:p>
                  <w:pPr>
                    <w:pStyle w:val="161"/>
                    <w:bidi w:val="0"/>
                  </w:pPr>
                  <w:r>
                    <w:rPr>
                      <w:rFonts w:hint="eastAsia"/>
                    </w:rPr>
                    <w:t>详见风险防范措施内容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pPr>
                    <w:pStyle w:val="161"/>
                    <w:bidi w:val="0"/>
                  </w:pPr>
                  <w:r>
                    <w:rPr>
                      <w:rFonts w:hint="eastAsia"/>
                    </w:rPr>
                    <w:t>填表说明（列出项目相关信息及评价说明）</w:t>
                  </w:r>
                </w:p>
              </w:tc>
              <w:tc>
                <w:tcPr>
                  <w:tcW w:w="0" w:type="auto"/>
                  <w:gridSpan w:val="5"/>
                  <w:shd w:val="clear" w:color="auto" w:fill="auto"/>
                  <w:vAlign w:val="center"/>
                </w:tcPr>
                <w:p>
                  <w:pPr>
                    <w:pStyle w:val="161"/>
                    <w:bidi w:val="0"/>
                  </w:pPr>
                  <w:r>
                    <w:rPr>
                      <w:rFonts w:hint="eastAsia"/>
                    </w:rPr>
                    <w:t>无</w:t>
                  </w:r>
                </w:p>
              </w:tc>
            </w:tr>
          </w:tbl>
          <w:p>
            <w:pPr>
              <w:spacing w:line="360" w:lineRule="auto"/>
              <w:rPr>
                <w:rFonts w:eastAsiaTheme="minorEastAsia"/>
                <w:b/>
                <w:sz w:val="28"/>
                <w:szCs w:val="28"/>
              </w:rPr>
            </w:pPr>
            <w:r>
              <w:rPr>
                <w:rFonts w:hint="eastAsia" w:eastAsiaTheme="minorEastAsia"/>
                <w:b/>
                <w:sz w:val="28"/>
                <w:szCs w:val="28"/>
              </w:rPr>
              <w:t>五</w:t>
            </w:r>
            <w:r>
              <w:rPr>
                <w:rFonts w:eastAsiaTheme="minorEastAsia"/>
                <w:b/>
                <w:sz w:val="28"/>
                <w:szCs w:val="28"/>
              </w:rPr>
              <w:t>、环境</w:t>
            </w:r>
            <w:r>
              <w:rPr>
                <w:rFonts w:hint="eastAsia" w:eastAsiaTheme="minorEastAsia"/>
                <w:b/>
                <w:sz w:val="28"/>
                <w:szCs w:val="28"/>
              </w:rPr>
              <w:t>管理及环境监测</w:t>
            </w:r>
          </w:p>
          <w:p>
            <w:pPr>
              <w:spacing w:line="360" w:lineRule="auto"/>
              <w:ind w:firstLine="480" w:firstLineChars="200"/>
              <w:rPr>
                <w:rFonts w:cs="宋体"/>
                <w:sz w:val="24"/>
                <w:szCs w:val="20"/>
              </w:rPr>
            </w:pPr>
            <w:r>
              <w:rPr>
                <w:rFonts w:hint="eastAsia" w:cs="宋体"/>
                <w:sz w:val="24"/>
                <w:szCs w:val="20"/>
              </w:rPr>
              <w:t>（1）环境管理</w:t>
            </w:r>
          </w:p>
          <w:p>
            <w:pPr>
              <w:spacing w:line="360" w:lineRule="auto"/>
              <w:ind w:firstLine="480" w:firstLineChars="200"/>
              <w:rPr>
                <w:rFonts w:cs="宋体"/>
                <w:sz w:val="24"/>
                <w:szCs w:val="20"/>
              </w:rPr>
            </w:pPr>
            <w:r>
              <w:rPr>
                <w:rFonts w:cs="宋体"/>
                <w:sz w:val="24"/>
                <w:szCs w:val="20"/>
              </w:rPr>
              <w:fldChar w:fldCharType="begin"/>
            </w:r>
            <w:r>
              <w:rPr>
                <w:rFonts w:cs="宋体"/>
                <w:sz w:val="24"/>
                <w:szCs w:val="20"/>
              </w:rPr>
              <w:instrText xml:space="preserve"> </w:instrText>
            </w:r>
            <w:r>
              <w:rPr>
                <w:rFonts w:hint="eastAsia" w:cs="宋体"/>
                <w:sz w:val="24"/>
                <w:szCs w:val="20"/>
              </w:rPr>
              <w:instrText xml:space="preserve">= 1 \* GB3</w:instrText>
            </w:r>
            <w:r>
              <w:rPr>
                <w:rFonts w:cs="宋体"/>
                <w:sz w:val="24"/>
                <w:szCs w:val="20"/>
              </w:rPr>
              <w:instrText xml:space="preserve"> </w:instrText>
            </w:r>
            <w:r>
              <w:rPr>
                <w:rFonts w:cs="宋体"/>
                <w:sz w:val="24"/>
                <w:szCs w:val="20"/>
              </w:rPr>
              <w:fldChar w:fldCharType="separate"/>
            </w:r>
            <w:r>
              <w:rPr>
                <w:rFonts w:hint="eastAsia" w:cs="宋体"/>
                <w:sz w:val="24"/>
                <w:szCs w:val="20"/>
              </w:rPr>
              <w:t>①</w:t>
            </w:r>
            <w:r>
              <w:rPr>
                <w:rFonts w:cs="宋体"/>
                <w:sz w:val="24"/>
                <w:szCs w:val="20"/>
              </w:rPr>
              <w:fldChar w:fldCharType="end"/>
            </w:r>
            <w:r>
              <w:rPr>
                <w:rFonts w:hint="eastAsia" w:cs="宋体"/>
                <w:sz w:val="24"/>
                <w:szCs w:val="20"/>
              </w:rPr>
              <w:t>施工期环境管理</w:t>
            </w:r>
          </w:p>
          <w:p>
            <w:pPr>
              <w:spacing w:line="360" w:lineRule="auto"/>
              <w:ind w:firstLine="480" w:firstLineChars="200"/>
              <w:rPr>
                <w:rFonts w:cs="宋体"/>
                <w:sz w:val="24"/>
                <w:szCs w:val="20"/>
              </w:rPr>
            </w:pPr>
            <w:r>
              <w:rPr>
                <w:rFonts w:hint="eastAsia" w:cs="宋体"/>
                <w:sz w:val="24"/>
                <w:szCs w:val="20"/>
              </w:rPr>
              <w:t>本项目为新建项目，应按照相关规定做好区域环境保护工作：</w:t>
            </w:r>
          </w:p>
          <w:p>
            <w:pPr>
              <w:spacing w:line="360" w:lineRule="auto"/>
              <w:ind w:firstLine="480" w:firstLineChars="200"/>
              <w:rPr>
                <w:rFonts w:cs="宋体"/>
                <w:sz w:val="24"/>
                <w:szCs w:val="20"/>
              </w:rPr>
            </w:pPr>
            <w:r>
              <w:rPr>
                <w:rFonts w:hint="eastAsia" w:cs="宋体"/>
                <w:sz w:val="24"/>
                <w:szCs w:val="20"/>
              </w:rPr>
              <w:t>A</w:t>
            </w:r>
            <w:r>
              <w:rPr>
                <w:rFonts w:cs="宋体"/>
                <w:sz w:val="24"/>
                <w:szCs w:val="20"/>
              </w:rPr>
              <w:t>、合理使用土地。</w:t>
            </w:r>
          </w:p>
          <w:p>
            <w:pPr>
              <w:spacing w:line="360" w:lineRule="auto"/>
              <w:ind w:firstLine="480" w:firstLineChars="200"/>
              <w:rPr>
                <w:rFonts w:cs="宋体"/>
                <w:sz w:val="24"/>
                <w:szCs w:val="20"/>
              </w:rPr>
            </w:pPr>
            <w:r>
              <w:rPr>
                <w:rFonts w:cs="宋体"/>
                <w:sz w:val="24"/>
                <w:szCs w:val="20"/>
              </w:rPr>
              <w:t>B、土石方施工时，尽量避开雨季，并结合地质情况，把防排水与现有排水设施相结合，减少冲刷，防止水土流失。</w:t>
            </w:r>
          </w:p>
          <w:p>
            <w:pPr>
              <w:spacing w:line="360" w:lineRule="auto"/>
              <w:ind w:firstLine="480" w:firstLineChars="200"/>
              <w:rPr>
                <w:rFonts w:cs="宋体"/>
                <w:sz w:val="24"/>
                <w:szCs w:val="20"/>
              </w:rPr>
            </w:pPr>
            <w:r>
              <w:rPr>
                <w:rFonts w:hint="eastAsia" w:cs="宋体"/>
                <w:sz w:val="24"/>
                <w:szCs w:val="20"/>
              </w:rPr>
              <w:t>C</w:t>
            </w:r>
            <w:r>
              <w:rPr>
                <w:rFonts w:cs="宋体"/>
                <w:sz w:val="24"/>
                <w:szCs w:val="20"/>
              </w:rPr>
              <w:t>、弃土时做到不多占用土地，少破坏植被，及时实施防护。</w:t>
            </w:r>
          </w:p>
          <w:p>
            <w:pPr>
              <w:spacing w:line="360" w:lineRule="auto"/>
              <w:ind w:firstLine="480" w:firstLineChars="200"/>
              <w:rPr>
                <w:rFonts w:cs="宋体"/>
                <w:sz w:val="24"/>
                <w:szCs w:val="20"/>
              </w:rPr>
            </w:pPr>
            <w:r>
              <w:rPr>
                <w:rFonts w:hint="eastAsia" w:cs="宋体"/>
                <w:sz w:val="24"/>
                <w:szCs w:val="20"/>
              </w:rPr>
              <w:t>D</w:t>
            </w:r>
            <w:r>
              <w:rPr>
                <w:rFonts w:cs="宋体"/>
                <w:sz w:val="24"/>
                <w:szCs w:val="20"/>
              </w:rPr>
              <w:t>、及时清理</w:t>
            </w:r>
            <w:r>
              <w:rPr>
                <w:rFonts w:hint="eastAsia" w:cs="宋体"/>
                <w:sz w:val="24"/>
                <w:szCs w:val="20"/>
              </w:rPr>
              <w:t>垃圾</w:t>
            </w:r>
            <w:r>
              <w:rPr>
                <w:rFonts w:cs="宋体"/>
                <w:sz w:val="24"/>
                <w:szCs w:val="20"/>
              </w:rPr>
              <w:t>并保持生产、生活区环境卫生，严禁随意倾倒垃圾</w:t>
            </w:r>
            <w:r>
              <w:rPr>
                <w:rFonts w:hint="eastAsia" w:cs="宋体"/>
                <w:sz w:val="24"/>
                <w:szCs w:val="20"/>
              </w:rPr>
              <w:t xml:space="preserve">。 </w:t>
            </w:r>
          </w:p>
          <w:p>
            <w:pPr>
              <w:spacing w:line="360" w:lineRule="auto"/>
              <w:ind w:firstLine="480" w:firstLineChars="200"/>
              <w:rPr>
                <w:rFonts w:cs="宋体"/>
                <w:sz w:val="24"/>
                <w:szCs w:val="20"/>
              </w:rPr>
            </w:pPr>
            <w:r>
              <w:rPr>
                <w:rFonts w:hint="eastAsia" w:cs="宋体"/>
                <w:sz w:val="24"/>
                <w:szCs w:val="20"/>
              </w:rPr>
              <w:t>E</w:t>
            </w:r>
            <w:r>
              <w:rPr>
                <w:rFonts w:cs="宋体"/>
                <w:sz w:val="24"/>
                <w:szCs w:val="20"/>
              </w:rPr>
              <w:t>、在有粉尘的作业环境中作业，除洒水降尘外，作业人员还必须配备劳保用品。</w:t>
            </w:r>
          </w:p>
          <w:p>
            <w:pPr>
              <w:spacing w:line="360" w:lineRule="auto"/>
              <w:ind w:firstLine="480" w:firstLineChars="200"/>
              <w:rPr>
                <w:rFonts w:cs="宋体"/>
                <w:sz w:val="24"/>
                <w:szCs w:val="20"/>
              </w:rPr>
            </w:pPr>
            <w:r>
              <w:rPr>
                <w:rFonts w:hint="eastAsia" w:cs="宋体"/>
                <w:sz w:val="24"/>
                <w:szCs w:val="20"/>
              </w:rPr>
              <w:t>F</w:t>
            </w:r>
            <w:r>
              <w:rPr>
                <w:rFonts w:cs="宋体"/>
                <w:sz w:val="24"/>
                <w:szCs w:val="20"/>
              </w:rPr>
              <w:t>、经常征求当地环保部门及当地群众对施工范围内环保工作的意见，及时整改，避免和减少由于施工方法不当引起的环境污染和破坏。</w:t>
            </w:r>
          </w:p>
          <w:p>
            <w:pPr>
              <w:spacing w:line="360" w:lineRule="auto"/>
              <w:ind w:firstLine="480" w:firstLineChars="200"/>
              <w:rPr>
                <w:rFonts w:cs="宋体"/>
                <w:sz w:val="24"/>
                <w:szCs w:val="20"/>
              </w:rPr>
            </w:pPr>
            <w:r>
              <w:rPr>
                <w:rFonts w:cs="宋体"/>
                <w:sz w:val="24"/>
                <w:szCs w:val="20"/>
              </w:rPr>
              <w:fldChar w:fldCharType="begin"/>
            </w:r>
            <w:r>
              <w:rPr>
                <w:rFonts w:cs="宋体"/>
                <w:sz w:val="24"/>
                <w:szCs w:val="20"/>
              </w:rPr>
              <w:instrText xml:space="preserve"> </w:instrText>
            </w:r>
            <w:r>
              <w:rPr>
                <w:rFonts w:hint="eastAsia" w:cs="宋体"/>
                <w:sz w:val="24"/>
                <w:szCs w:val="20"/>
              </w:rPr>
              <w:instrText xml:space="preserve">= 2 \* GB3</w:instrText>
            </w:r>
            <w:r>
              <w:rPr>
                <w:rFonts w:cs="宋体"/>
                <w:sz w:val="24"/>
                <w:szCs w:val="20"/>
              </w:rPr>
              <w:instrText xml:space="preserve"> </w:instrText>
            </w:r>
            <w:r>
              <w:rPr>
                <w:rFonts w:cs="宋体"/>
                <w:sz w:val="24"/>
                <w:szCs w:val="20"/>
              </w:rPr>
              <w:fldChar w:fldCharType="separate"/>
            </w:r>
            <w:r>
              <w:rPr>
                <w:rFonts w:hint="eastAsia" w:cs="宋体"/>
                <w:sz w:val="24"/>
                <w:szCs w:val="20"/>
              </w:rPr>
              <w:t>②</w:t>
            </w:r>
            <w:r>
              <w:rPr>
                <w:rFonts w:cs="宋体"/>
                <w:sz w:val="24"/>
                <w:szCs w:val="20"/>
              </w:rPr>
              <w:fldChar w:fldCharType="end"/>
            </w:r>
            <w:r>
              <w:rPr>
                <w:rFonts w:hint="eastAsia" w:cs="宋体"/>
                <w:sz w:val="24"/>
                <w:szCs w:val="20"/>
              </w:rPr>
              <w:t>运营期环境管理</w:t>
            </w:r>
          </w:p>
          <w:p>
            <w:pPr>
              <w:spacing w:line="360" w:lineRule="auto"/>
              <w:ind w:firstLine="480" w:firstLineChars="200"/>
              <w:rPr>
                <w:rFonts w:cs="宋体"/>
                <w:sz w:val="24"/>
                <w:szCs w:val="20"/>
              </w:rPr>
            </w:pPr>
            <w:r>
              <w:rPr>
                <w:rFonts w:cs="宋体"/>
                <w:sz w:val="24"/>
                <w:szCs w:val="20"/>
              </w:rPr>
              <w:t>运营期环境管理任务的重点是</w:t>
            </w:r>
            <w:r>
              <w:rPr>
                <w:rFonts w:hint="eastAsia" w:cs="宋体"/>
                <w:sz w:val="24"/>
                <w:szCs w:val="20"/>
              </w:rPr>
              <w:t>区域</w:t>
            </w:r>
            <w:r>
              <w:rPr>
                <w:rFonts w:cs="宋体"/>
                <w:sz w:val="24"/>
                <w:szCs w:val="20"/>
              </w:rPr>
              <w:t>环境的保护，建议项目管理单位设立专职环境管理人员1人，全权负责各项环境管理及保护工作。并制定如下环境保护工作条例：</w:t>
            </w:r>
          </w:p>
          <w:p>
            <w:pPr>
              <w:spacing w:line="360" w:lineRule="auto"/>
              <w:ind w:firstLine="480" w:firstLineChars="200"/>
              <w:rPr>
                <w:rFonts w:cs="宋体"/>
                <w:sz w:val="24"/>
                <w:szCs w:val="20"/>
              </w:rPr>
            </w:pPr>
            <w:r>
              <w:rPr>
                <w:rFonts w:cs="宋体"/>
                <w:sz w:val="24"/>
                <w:szCs w:val="20"/>
              </w:rPr>
              <w:t>A</w:t>
            </w:r>
            <w:r>
              <w:rPr>
                <w:rFonts w:hint="eastAsia" w:cs="宋体"/>
                <w:sz w:val="24"/>
                <w:szCs w:val="20"/>
              </w:rPr>
              <w:t>、</w:t>
            </w:r>
            <w:r>
              <w:rPr>
                <w:rFonts w:cs="宋体"/>
                <w:sz w:val="24"/>
                <w:szCs w:val="20"/>
              </w:rPr>
              <w:t>环境保护职责管理条例；</w:t>
            </w:r>
          </w:p>
          <w:p>
            <w:pPr>
              <w:spacing w:line="360" w:lineRule="auto"/>
              <w:ind w:firstLine="480" w:firstLineChars="200"/>
              <w:rPr>
                <w:rFonts w:cs="宋体"/>
                <w:sz w:val="24"/>
                <w:szCs w:val="20"/>
              </w:rPr>
            </w:pPr>
            <w:r>
              <w:rPr>
                <w:rFonts w:hint="eastAsia" w:cs="宋体"/>
                <w:sz w:val="24"/>
                <w:szCs w:val="20"/>
              </w:rPr>
              <w:t>B、</w:t>
            </w:r>
            <w:r>
              <w:rPr>
                <w:rFonts w:cs="宋体"/>
                <w:sz w:val="24"/>
                <w:szCs w:val="20"/>
              </w:rPr>
              <w:t>建设项目“三同时”管理制度；</w:t>
            </w:r>
          </w:p>
          <w:p>
            <w:pPr>
              <w:spacing w:line="360" w:lineRule="auto"/>
              <w:ind w:firstLine="480" w:firstLineChars="200"/>
              <w:rPr>
                <w:rFonts w:cs="宋体"/>
                <w:sz w:val="24"/>
                <w:szCs w:val="20"/>
              </w:rPr>
            </w:pPr>
            <w:r>
              <w:rPr>
                <w:rFonts w:hint="eastAsia" w:cs="宋体"/>
                <w:sz w:val="24"/>
                <w:szCs w:val="20"/>
              </w:rPr>
              <w:t>C、</w:t>
            </w:r>
            <w:r>
              <w:rPr>
                <w:rFonts w:cs="宋体"/>
                <w:sz w:val="24"/>
                <w:szCs w:val="20"/>
              </w:rPr>
              <w:t>固体废弃物管理制度；</w:t>
            </w:r>
          </w:p>
          <w:p>
            <w:pPr>
              <w:spacing w:line="360" w:lineRule="auto"/>
              <w:ind w:firstLine="480" w:firstLineChars="200"/>
              <w:rPr>
                <w:rFonts w:cs="宋体"/>
                <w:sz w:val="24"/>
                <w:szCs w:val="20"/>
              </w:rPr>
            </w:pPr>
            <w:r>
              <w:rPr>
                <w:rFonts w:hint="eastAsia" w:cs="宋体"/>
                <w:sz w:val="24"/>
                <w:szCs w:val="20"/>
              </w:rPr>
              <w:t>D、</w:t>
            </w:r>
            <w:r>
              <w:rPr>
                <w:rFonts w:cs="宋体"/>
                <w:sz w:val="24"/>
                <w:szCs w:val="20"/>
              </w:rPr>
              <w:t>应急事故处理制度；</w:t>
            </w:r>
          </w:p>
          <w:p>
            <w:pPr>
              <w:spacing w:line="360" w:lineRule="auto"/>
              <w:ind w:firstLine="480" w:firstLineChars="200"/>
              <w:rPr>
                <w:rFonts w:cs="宋体"/>
                <w:sz w:val="24"/>
                <w:szCs w:val="20"/>
              </w:rPr>
            </w:pPr>
            <w:r>
              <w:rPr>
                <w:rFonts w:hint="eastAsia" w:cs="宋体"/>
                <w:sz w:val="24"/>
                <w:szCs w:val="20"/>
              </w:rPr>
              <w:t>E、</w:t>
            </w:r>
            <w:r>
              <w:rPr>
                <w:rFonts w:cs="宋体"/>
                <w:sz w:val="24"/>
                <w:szCs w:val="20"/>
              </w:rPr>
              <w:t>环保教育制度。</w:t>
            </w:r>
          </w:p>
          <w:p>
            <w:pPr>
              <w:spacing w:line="360" w:lineRule="auto"/>
              <w:ind w:firstLine="480" w:firstLineChars="200"/>
              <w:rPr>
                <w:rFonts w:cs="宋体"/>
                <w:sz w:val="24"/>
                <w:szCs w:val="20"/>
              </w:rPr>
            </w:pPr>
            <w:r>
              <w:rPr>
                <w:rFonts w:hint="eastAsia" w:cs="宋体"/>
                <w:sz w:val="24"/>
                <w:szCs w:val="20"/>
              </w:rPr>
              <w:t>F、环境管理</w:t>
            </w:r>
          </w:p>
          <w:p>
            <w:pPr>
              <w:spacing w:line="360" w:lineRule="auto"/>
              <w:ind w:firstLine="480" w:firstLineChars="200"/>
              <w:rPr>
                <w:rFonts w:cs="宋体"/>
                <w:sz w:val="24"/>
                <w:szCs w:val="20"/>
              </w:rPr>
            </w:pPr>
            <w:r>
              <w:rPr>
                <w:rFonts w:hint="eastAsia" w:cs="宋体"/>
                <w:sz w:val="24"/>
                <w:szCs w:val="20"/>
              </w:rPr>
              <w:t>运营期需设置专职环保人员，加强对雨水池、移动式雾炮机等设施进行管理，确保设施设备正常运行。</w:t>
            </w:r>
          </w:p>
          <w:p>
            <w:pPr>
              <w:spacing w:line="360" w:lineRule="auto"/>
              <w:ind w:firstLine="480" w:firstLineChars="200"/>
              <w:rPr>
                <w:rFonts w:cs="宋体"/>
                <w:sz w:val="24"/>
                <w:szCs w:val="20"/>
              </w:rPr>
            </w:pPr>
            <w:r>
              <w:rPr>
                <w:rFonts w:hint="eastAsia" w:cs="宋体"/>
                <w:sz w:val="24"/>
                <w:szCs w:val="20"/>
              </w:rPr>
              <w:t>（2）环境监测</w:t>
            </w:r>
          </w:p>
          <w:p>
            <w:pPr>
              <w:spacing w:line="360" w:lineRule="auto"/>
              <w:ind w:firstLine="480" w:firstLineChars="200"/>
              <w:rPr>
                <w:rFonts w:cs="宋体"/>
                <w:sz w:val="24"/>
                <w:szCs w:val="20"/>
              </w:rPr>
            </w:pPr>
            <w:r>
              <w:rPr>
                <w:rFonts w:cs="宋体"/>
                <w:sz w:val="24"/>
                <w:szCs w:val="20"/>
              </w:rPr>
              <w:t>按照《排污单位自行监测技术指南 总则》（HJ819-2017），由建设单位委托具有环境监测资质的单位对</w:t>
            </w:r>
            <w:r>
              <w:rPr>
                <w:rFonts w:hint="eastAsia" w:cs="宋体"/>
                <w:sz w:val="24"/>
                <w:szCs w:val="20"/>
                <w:lang w:eastAsia="zh-CN"/>
              </w:rPr>
              <w:t>加气站</w:t>
            </w:r>
            <w:r>
              <w:rPr>
                <w:rFonts w:cs="宋体"/>
                <w:sz w:val="24"/>
                <w:szCs w:val="20"/>
              </w:rPr>
              <w:t>环境进行定期监测，监测计划内容如下：</w:t>
            </w:r>
          </w:p>
          <w:p>
            <w:pPr>
              <w:spacing w:line="360" w:lineRule="auto"/>
              <w:ind w:firstLine="480" w:firstLineChars="200"/>
              <w:rPr>
                <w:rFonts w:cs="宋体"/>
                <w:sz w:val="24"/>
                <w:szCs w:val="20"/>
              </w:rPr>
            </w:pPr>
            <w:r>
              <w:rPr>
                <w:rFonts w:hint="eastAsia" w:cs="宋体"/>
                <w:sz w:val="24"/>
                <w:szCs w:val="20"/>
              </w:rPr>
              <w:t>1）</w:t>
            </w:r>
            <w:r>
              <w:rPr>
                <w:rFonts w:cs="宋体"/>
                <w:sz w:val="24"/>
                <w:szCs w:val="20"/>
              </w:rPr>
              <w:t>废气</w:t>
            </w:r>
          </w:p>
          <w:p>
            <w:pPr>
              <w:spacing w:line="360" w:lineRule="auto"/>
              <w:ind w:firstLine="480" w:firstLineChars="200"/>
              <w:rPr>
                <w:rFonts w:cs="宋体"/>
                <w:sz w:val="24"/>
                <w:szCs w:val="20"/>
              </w:rPr>
            </w:pPr>
            <w:r>
              <w:rPr>
                <w:rFonts w:hint="eastAsia" w:cs="宋体"/>
                <w:sz w:val="24"/>
                <w:szCs w:val="20"/>
              </w:rPr>
              <w:t>监测</w:t>
            </w:r>
            <w:r>
              <w:rPr>
                <w:rFonts w:cs="宋体"/>
                <w:sz w:val="24"/>
                <w:szCs w:val="20"/>
              </w:rPr>
              <w:t>项目</w:t>
            </w:r>
            <w:r>
              <w:rPr>
                <w:rFonts w:hint="eastAsia" w:cs="宋体"/>
                <w:sz w:val="24"/>
                <w:szCs w:val="20"/>
              </w:rPr>
              <w:t>：</w:t>
            </w:r>
            <w:r>
              <w:rPr>
                <w:rFonts w:hint="eastAsia" w:cs="宋体"/>
                <w:sz w:val="24"/>
                <w:szCs w:val="20"/>
                <w:lang w:eastAsia="zh-CN"/>
              </w:rPr>
              <w:t>非甲烷总烃</w:t>
            </w:r>
            <w:r>
              <w:rPr>
                <w:rFonts w:hint="eastAsia" w:cs="宋体"/>
                <w:sz w:val="24"/>
                <w:szCs w:val="20"/>
              </w:rPr>
              <w:t>；</w:t>
            </w:r>
          </w:p>
          <w:p>
            <w:pPr>
              <w:spacing w:line="360" w:lineRule="auto"/>
              <w:ind w:firstLine="480" w:firstLineChars="200"/>
              <w:rPr>
                <w:rFonts w:cs="宋体"/>
                <w:sz w:val="24"/>
                <w:szCs w:val="20"/>
              </w:rPr>
            </w:pPr>
            <w:r>
              <w:rPr>
                <w:rFonts w:hint="eastAsia" w:cs="宋体"/>
                <w:sz w:val="24"/>
                <w:szCs w:val="20"/>
              </w:rPr>
              <w:t>监测</w:t>
            </w:r>
            <w:r>
              <w:rPr>
                <w:rFonts w:cs="宋体"/>
                <w:sz w:val="24"/>
                <w:szCs w:val="20"/>
              </w:rPr>
              <w:t>点位：</w:t>
            </w:r>
            <w:r>
              <w:rPr>
                <w:rFonts w:hint="eastAsia" w:cs="宋体"/>
                <w:sz w:val="24"/>
                <w:szCs w:val="20"/>
              </w:rPr>
              <w:t>上风向10m、下风向10m</w:t>
            </w:r>
            <w:r>
              <w:rPr>
                <w:rFonts w:cs="宋体"/>
                <w:sz w:val="24"/>
                <w:szCs w:val="20"/>
              </w:rPr>
              <w:t>；</w:t>
            </w:r>
          </w:p>
          <w:p>
            <w:pPr>
              <w:spacing w:line="360" w:lineRule="auto"/>
              <w:ind w:firstLine="480" w:firstLineChars="200"/>
              <w:rPr>
                <w:rFonts w:cs="宋体"/>
                <w:sz w:val="24"/>
                <w:szCs w:val="20"/>
              </w:rPr>
            </w:pPr>
            <w:r>
              <w:rPr>
                <w:rFonts w:hint="eastAsia" w:cs="宋体"/>
                <w:sz w:val="24"/>
                <w:szCs w:val="20"/>
              </w:rPr>
              <w:t>监测</w:t>
            </w:r>
            <w:r>
              <w:rPr>
                <w:rFonts w:cs="宋体"/>
                <w:sz w:val="24"/>
                <w:szCs w:val="20"/>
              </w:rPr>
              <w:t>频次：</w:t>
            </w:r>
            <w:r>
              <w:rPr>
                <w:rFonts w:hint="eastAsia" w:cs="宋体"/>
                <w:sz w:val="24"/>
                <w:szCs w:val="20"/>
              </w:rPr>
              <w:t>按需确定</w:t>
            </w:r>
            <w:r>
              <w:rPr>
                <w:rFonts w:cs="宋体"/>
                <w:sz w:val="24"/>
                <w:szCs w:val="20"/>
              </w:rPr>
              <w:t>；</w:t>
            </w:r>
          </w:p>
          <w:p>
            <w:pPr>
              <w:spacing w:line="360" w:lineRule="auto"/>
              <w:ind w:firstLine="480" w:firstLineChars="200"/>
              <w:rPr>
                <w:rFonts w:cs="宋体"/>
                <w:sz w:val="24"/>
                <w:szCs w:val="20"/>
              </w:rPr>
            </w:pPr>
            <w:r>
              <w:rPr>
                <w:rFonts w:hint="eastAsia" w:cs="宋体"/>
                <w:sz w:val="24"/>
                <w:szCs w:val="20"/>
              </w:rPr>
              <w:t>2）</w:t>
            </w:r>
            <w:r>
              <w:rPr>
                <w:rFonts w:cs="宋体"/>
                <w:sz w:val="24"/>
                <w:szCs w:val="20"/>
              </w:rPr>
              <w:t>噪声</w:t>
            </w:r>
          </w:p>
          <w:p>
            <w:pPr>
              <w:spacing w:line="360" w:lineRule="auto"/>
              <w:ind w:firstLine="480" w:firstLineChars="200"/>
              <w:rPr>
                <w:rFonts w:cs="宋体"/>
                <w:sz w:val="24"/>
                <w:szCs w:val="20"/>
              </w:rPr>
            </w:pPr>
            <w:r>
              <w:rPr>
                <w:rFonts w:hint="eastAsia" w:cs="宋体"/>
                <w:sz w:val="24"/>
                <w:szCs w:val="20"/>
              </w:rPr>
              <w:t>监测</w:t>
            </w:r>
            <w:r>
              <w:rPr>
                <w:rFonts w:cs="宋体"/>
                <w:sz w:val="24"/>
                <w:szCs w:val="20"/>
              </w:rPr>
              <w:t>项目</w:t>
            </w:r>
            <w:r>
              <w:rPr>
                <w:rFonts w:hint="eastAsia" w:cs="宋体"/>
                <w:sz w:val="24"/>
                <w:szCs w:val="20"/>
              </w:rPr>
              <w:t>：</w:t>
            </w:r>
            <w:r>
              <w:rPr>
                <w:rFonts w:cs="宋体"/>
                <w:sz w:val="24"/>
                <w:szCs w:val="20"/>
              </w:rPr>
              <w:t>等效</w:t>
            </w:r>
            <w:r>
              <w:rPr>
                <w:rFonts w:hint="eastAsia" w:cs="宋体"/>
                <w:sz w:val="24"/>
                <w:szCs w:val="20"/>
              </w:rPr>
              <w:t>A声级</w:t>
            </w:r>
            <w:r>
              <w:rPr>
                <w:rFonts w:cs="宋体"/>
                <w:sz w:val="24"/>
                <w:szCs w:val="20"/>
              </w:rPr>
              <w:t>；</w:t>
            </w:r>
          </w:p>
          <w:p>
            <w:pPr>
              <w:spacing w:line="360" w:lineRule="auto"/>
              <w:ind w:firstLine="480" w:firstLineChars="200"/>
              <w:rPr>
                <w:rFonts w:cs="宋体"/>
                <w:sz w:val="24"/>
                <w:szCs w:val="20"/>
              </w:rPr>
            </w:pPr>
            <w:r>
              <w:rPr>
                <w:rFonts w:hint="eastAsia" w:cs="宋体"/>
                <w:sz w:val="24"/>
                <w:szCs w:val="20"/>
              </w:rPr>
              <w:t>监测</w:t>
            </w:r>
            <w:r>
              <w:rPr>
                <w:rFonts w:cs="宋体"/>
                <w:sz w:val="24"/>
                <w:szCs w:val="20"/>
              </w:rPr>
              <w:t>点位：场界四周；</w:t>
            </w:r>
          </w:p>
          <w:p>
            <w:pPr>
              <w:spacing w:line="360" w:lineRule="auto"/>
              <w:ind w:firstLine="480" w:firstLineChars="200"/>
              <w:rPr>
                <w:rFonts w:cs="宋体"/>
                <w:sz w:val="24"/>
                <w:szCs w:val="20"/>
              </w:rPr>
            </w:pPr>
            <w:r>
              <w:rPr>
                <w:rFonts w:hint="eastAsia" w:cs="宋体"/>
                <w:sz w:val="24"/>
                <w:szCs w:val="20"/>
              </w:rPr>
              <w:t>监测</w:t>
            </w:r>
            <w:r>
              <w:rPr>
                <w:rFonts w:cs="宋体"/>
                <w:sz w:val="24"/>
                <w:szCs w:val="20"/>
              </w:rPr>
              <w:t>频次：</w:t>
            </w:r>
            <w:r>
              <w:rPr>
                <w:rFonts w:hint="eastAsia" w:cs="宋体"/>
                <w:sz w:val="24"/>
                <w:szCs w:val="20"/>
              </w:rPr>
              <w:t>按需确定</w:t>
            </w:r>
            <w:r>
              <w:rPr>
                <w:rFonts w:cs="宋体"/>
                <w:sz w:val="24"/>
                <w:szCs w:val="20"/>
              </w:rPr>
              <w:t>；</w:t>
            </w:r>
          </w:p>
          <w:p>
            <w:pPr>
              <w:spacing w:line="360" w:lineRule="auto"/>
              <w:ind w:firstLine="480" w:firstLineChars="200"/>
              <w:rPr>
                <w:rFonts w:cs="宋体"/>
                <w:sz w:val="24"/>
                <w:szCs w:val="20"/>
              </w:rPr>
            </w:pPr>
            <w:r>
              <w:rPr>
                <w:rFonts w:hint="eastAsia" w:cs="宋体"/>
                <w:sz w:val="24"/>
                <w:szCs w:val="20"/>
              </w:rPr>
              <w:t>（3）环保设施竣工验收</w:t>
            </w:r>
          </w:p>
          <w:p>
            <w:pPr>
              <w:spacing w:line="360" w:lineRule="auto"/>
              <w:ind w:firstLine="480" w:firstLineChars="200"/>
              <w:rPr>
                <w:rFonts w:cs="宋体"/>
                <w:sz w:val="24"/>
                <w:szCs w:val="20"/>
              </w:rPr>
            </w:pPr>
            <w:r>
              <w:rPr>
                <w:rFonts w:hint="eastAsia" w:cs="宋体"/>
                <w:sz w:val="24"/>
                <w:szCs w:val="20"/>
              </w:rPr>
              <w:t>根据《建设项目竣工环境保护验收暂行办法》（国环规环评【2017】4号），建设单位应当按照国务院环境保护行政主管部门规定的标准和程序，对配套建设的环境保护设施进行验收，编制验收报告。</w:t>
            </w:r>
          </w:p>
          <w:p>
            <w:pPr>
              <w:widowControl/>
              <w:jc w:val="center"/>
              <w:rPr>
                <w:b/>
              </w:rPr>
            </w:pPr>
            <w:r>
              <w:rPr>
                <w:rFonts w:hint="eastAsia"/>
                <w:b/>
              </w:rPr>
              <w:t>表7-2</w:t>
            </w:r>
            <w:r>
              <w:rPr>
                <w:rFonts w:hint="eastAsia"/>
                <w:b/>
                <w:lang w:val="en-US" w:eastAsia="zh-CN"/>
              </w:rPr>
              <w:t>0</w:t>
            </w:r>
            <w:r>
              <w:rPr>
                <w:rFonts w:hint="eastAsia"/>
                <w:b/>
              </w:rPr>
              <w:t xml:space="preserve"> 环保竣工验收一览表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428"/>
              <w:gridCol w:w="3570"/>
              <w:gridCol w:w="3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60" w:type="pct"/>
                  <w:vAlign w:val="center"/>
                </w:tcPr>
                <w:p>
                  <w:pPr>
                    <w:widowControl/>
                    <w:jc w:val="center"/>
                    <w:rPr>
                      <w:rFonts w:hint="eastAsia" w:eastAsia="宋体"/>
                      <w:lang w:eastAsia="zh-CN"/>
                    </w:rPr>
                  </w:pPr>
                  <w:r>
                    <w:rPr>
                      <w:rFonts w:hint="eastAsia"/>
                      <w:lang w:eastAsia="zh-CN"/>
                    </w:rPr>
                    <w:t>类型</w:t>
                  </w:r>
                </w:p>
              </w:tc>
              <w:tc>
                <w:tcPr>
                  <w:tcW w:w="788" w:type="pct"/>
                  <w:vAlign w:val="center"/>
                </w:tcPr>
                <w:p>
                  <w:pPr>
                    <w:widowControl/>
                    <w:jc w:val="center"/>
                    <w:rPr>
                      <w:rFonts w:hint="eastAsia" w:eastAsia="宋体"/>
                      <w:lang w:eastAsia="zh-CN"/>
                    </w:rPr>
                  </w:pPr>
                  <w:r>
                    <w:rPr>
                      <w:rFonts w:hint="eastAsia"/>
                      <w:lang w:eastAsia="zh-CN"/>
                    </w:rPr>
                    <w:t>污染物名称</w:t>
                  </w:r>
                </w:p>
              </w:tc>
              <w:tc>
                <w:tcPr>
                  <w:tcW w:w="1970" w:type="pct"/>
                  <w:vAlign w:val="center"/>
                </w:tcPr>
                <w:p>
                  <w:pPr>
                    <w:widowControl/>
                    <w:jc w:val="center"/>
                    <w:rPr>
                      <w:rFonts w:hint="eastAsia" w:eastAsia="宋体"/>
                      <w:lang w:val="en-US" w:eastAsia="zh-CN"/>
                    </w:rPr>
                  </w:pPr>
                  <w:r>
                    <w:rPr>
                      <w:rFonts w:hint="eastAsia"/>
                      <w:lang w:val="en-US" w:eastAsia="zh-CN"/>
                    </w:rPr>
                    <w:t>治理措施</w:t>
                  </w:r>
                </w:p>
              </w:tc>
              <w:tc>
                <w:tcPr>
                  <w:tcW w:w="1681" w:type="pct"/>
                  <w:vAlign w:val="center"/>
                </w:tcPr>
                <w:p>
                  <w:pPr>
                    <w:widowControl/>
                    <w:jc w:val="center"/>
                  </w:pPr>
                  <w:r>
                    <w:rPr>
                      <w:rFonts w:hint="eastAsia"/>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60" w:type="pct"/>
                  <w:vAlign w:val="center"/>
                </w:tcPr>
                <w:p>
                  <w:pPr>
                    <w:widowControl/>
                    <w:jc w:val="center"/>
                    <w:rPr>
                      <w:rFonts w:hint="eastAsia" w:eastAsia="宋体"/>
                      <w:lang w:eastAsia="zh-CN"/>
                    </w:rPr>
                  </w:pPr>
                  <w:r>
                    <w:rPr>
                      <w:rFonts w:hint="eastAsia"/>
                      <w:lang w:eastAsia="zh-CN"/>
                    </w:rPr>
                    <w:t>废水</w:t>
                  </w:r>
                </w:p>
              </w:tc>
              <w:tc>
                <w:tcPr>
                  <w:tcW w:w="788" w:type="pct"/>
                  <w:vAlign w:val="center"/>
                </w:tcPr>
                <w:p>
                  <w:pPr>
                    <w:widowControl/>
                    <w:jc w:val="center"/>
                    <w:rPr>
                      <w:rFonts w:hint="eastAsia" w:eastAsia="宋体"/>
                      <w:lang w:eastAsia="zh-CN"/>
                    </w:rPr>
                  </w:pPr>
                  <w:r>
                    <w:rPr>
                      <w:rFonts w:hint="eastAsia"/>
                      <w:lang w:eastAsia="zh-CN"/>
                    </w:rPr>
                    <w:t>生活污水</w:t>
                  </w:r>
                </w:p>
              </w:tc>
              <w:tc>
                <w:tcPr>
                  <w:tcW w:w="1970" w:type="pct"/>
                  <w:vAlign w:val="center"/>
                </w:tcPr>
                <w:p>
                  <w:pPr>
                    <w:pStyle w:val="69"/>
                    <w:ind w:left="420" w:leftChars="0" w:hanging="420" w:hangingChars="200"/>
                    <w:rPr>
                      <w:rFonts w:ascii="Times New Roman" w:hAnsi="Times New Roman" w:eastAsia="宋体" w:cs="Times New Roman"/>
                      <w:snapToGrid w:val="0"/>
                      <w:color w:val="auto"/>
                      <w:kern w:val="0"/>
                      <w:sz w:val="24"/>
                      <w:szCs w:val="24"/>
                      <w:lang w:val="zh-CN" w:eastAsia="zh-CN" w:bidi="ar-SA"/>
                    </w:rPr>
                  </w:pPr>
                  <w:r>
                    <w:rPr>
                      <w:rFonts w:hint="eastAsia" w:ascii="Times New Roman"/>
                      <w:color w:val="auto"/>
                      <w:sz w:val="21"/>
                      <w:szCs w:val="21"/>
                      <w:lang w:eastAsia="zh-CN"/>
                    </w:rPr>
                    <w:t>修建化粪池</w:t>
                  </w:r>
                  <w:r>
                    <w:rPr>
                      <w:rFonts w:ascii="Times New Roman" w:hAnsi="Times New Roman"/>
                      <w:color w:val="auto"/>
                      <w:sz w:val="21"/>
                      <w:szCs w:val="21"/>
                    </w:rPr>
                    <w:t>1个，容积约1</w:t>
                  </w:r>
                  <w:r>
                    <w:rPr>
                      <w:rFonts w:hint="eastAsia" w:ascii="Times New Roman"/>
                      <w:color w:val="auto"/>
                      <w:sz w:val="21"/>
                      <w:szCs w:val="21"/>
                      <w:lang w:val="en-US" w:eastAsia="zh-CN"/>
                    </w:rPr>
                    <w:t>5</w:t>
                  </w:r>
                  <w:r>
                    <w:rPr>
                      <w:rFonts w:ascii="Times New Roman" w:hAnsi="Times New Roman"/>
                      <w:color w:val="auto"/>
                      <w:sz w:val="21"/>
                      <w:szCs w:val="21"/>
                    </w:rPr>
                    <w:t>m</w:t>
                  </w:r>
                  <w:r>
                    <w:rPr>
                      <w:rFonts w:ascii="Times New Roman" w:hAnsi="Times New Roman"/>
                      <w:color w:val="auto"/>
                      <w:sz w:val="21"/>
                      <w:szCs w:val="21"/>
                      <w:vertAlign w:val="superscript"/>
                    </w:rPr>
                    <w:t>3</w:t>
                  </w:r>
                </w:p>
              </w:tc>
              <w:tc>
                <w:tcPr>
                  <w:tcW w:w="1681" w:type="pct"/>
                  <w:vAlign w:val="center"/>
                </w:tcPr>
                <w:p>
                  <w:pPr>
                    <w:widowControl/>
                    <w:jc w:val="center"/>
                  </w:pPr>
                  <w:r>
                    <w:rPr>
                      <w:rFonts w:hint="eastAsia"/>
                      <w:lang w:eastAsia="zh-CN"/>
                    </w:rPr>
                    <w:t>站区生活污水经化粪池处理用作农肥，不外排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0" w:type="pct"/>
                  <w:vMerge w:val="restart"/>
                  <w:vAlign w:val="center"/>
                </w:tcPr>
                <w:p>
                  <w:pPr>
                    <w:widowControl/>
                    <w:jc w:val="center"/>
                  </w:pPr>
                  <w:r>
                    <w:rPr>
                      <w:rFonts w:hint="eastAsia"/>
                    </w:rPr>
                    <w:t>废气</w:t>
                  </w:r>
                </w:p>
              </w:tc>
              <w:tc>
                <w:tcPr>
                  <w:tcW w:w="788" w:type="pct"/>
                  <w:vAlign w:val="center"/>
                </w:tcPr>
                <w:p>
                  <w:pPr>
                    <w:widowControl/>
                    <w:jc w:val="center"/>
                    <w:rPr>
                      <w:rFonts w:hint="eastAsia" w:eastAsia="宋体"/>
                      <w:lang w:eastAsia="zh-CN"/>
                    </w:rPr>
                  </w:pPr>
                  <w:r>
                    <w:rPr>
                      <w:rFonts w:hint="eastAsia"/>
                      <w:lang w:eastAsia="zh-CN"/>
                    </w:rPr>
                    <w:t>非甲烷总烃</w:t>
                  </w:r>
                </w:p>
              </w:tc>
              <w:tc>
                <w:tcPr>
                  <w:tcW w:w="1970" w:type="pct"/>
                  <w:vAlign w:val="center"/>
                </w:tcPr>
                <w:p>
                  <w:pPr>
                    <w:widowControl/>
                    <w:jc w:val="center"/>
                    <w:rPr>
                      <w:rFonts w:hint="eastAsia" w:eastAsia="宋体"/>
                      <w:lang w:eastAsia="zh-CN"/>
                    </w:rPr>
                  </w:pPr>
                  <w:r>
                    <w:rPr>
                      <w:rFonts w:hint="eastAsia" w:eastAsia="宋体"/>
                      <w:lang w:eastAsia="zh-CN"/>
                    </w:rPr>
                    <w:t>加气系统均为封闭状态，逸漏量很少，且为无组织排放。站场异常超压及设备检修排放的天然气，送到站外放散管集中排放。</w:t>
                  </w:r>
                </w:p>
              </w:tc>
              <w:tc>
                <w:tcPr>
                  <w:tcW w:w="1681" w:type="pct"/>
                  <w:vMerge w:val="restart"/>
                  <w:vAlign w:val="center"/>
                </w:tcPr>
                <w:p>
                  <w:pPr>
                    <w:widowControl/>
                    <w:jc w:val="center"/>
                    <w:rPr>
                      <w:rFonts w:hint="eastAsia"/>
                    </w:rPr>
                  </w:pPr>
                  <w:r>
                    <w:rPr>
                      <w:rFonts w:hint="eastAsia"/>
                    </w:rPr>
                    <w:t>《大气污染物综合排放标》</w:t>
                  </w:r>
                </w:p>
                <w:p>
                  <w:pPr>
                    <w:widowControl/>
                    <w:jc w:val="center"/>
                  </w:pPr>
                  <w:r>
                    <w:rPr>
                      <w:rFonts w:hint="eastAsia"/>
                    </w:rPr>
                    <w:t>（GB16297-1996）中二级标准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60" w:type="pct"/>
                  <w:vMerge w:val="continue"/>
                  <w:vAlign w:val="center"/>
                </w:tcPr>
                <w:p>
                  <w:pPr>
                    <w:widowControl/>
                    <w:jc w:val="center"/>
                    <w:rPr>
                      <w:rFonts w:hint="eastAsia"/>
                    </w:rPr>
                  </w:pPr>
                </w:p>
              </w:tc>
              <w:tc>
                <w:tcPr>
                  <w:tcW w:w="788" w:type="pct"/>
                  <w:vAlign w:val="center"/>
                </w:tcPr>
                <w:p>
                  <w:pPr>
                    <w:widowControl/>
                    <w:jc w:val="center"/>
                    <w:rPr>
                      <w:rFonts w:hint="eastAsia"/>
                      <w:lang w:eastAsia="zh-CN"/>
                    </w:rPr>
                  </w:pPr>
                  <w:r>
                    <w:rPr>
                      <w:rFonts w:hint="eastAsia"/>
                      <w:lang w:eastAsia="zh-CN"/>
                    </w:rPr>
                    <w:t>汽车尾气</w:t>
                  </w:r>
                </w:p>
              </w:tc>
              <w:tc>
                <w:tcPr>
                  <w:tcW w:w="1970" w:type="pct"/>
                  <w:vAlign w:val="center"/>
                </w:tcPr>
                <w:p>
                  <w:pPr>
                    <w:widowControl/>
                    <w:jc w:val="center"/>
                    <w:rPr>
                      <w:rFonts w:hint="default" w:eastAsia="宋体"/>
                      <w:lang w:val="en-US" w:eastAsia="zh-CN"/>
                    </w:rPr>
                  </w:pPr>
                  <w:r>
                    <w:rPr>
                      <w:rFonts w:hint="eastAsia"/>
                      <w:lang w:eastAsia="zh-CN"/>
                    </w:rPr>
                    <w:t>加强进出站车辆管理、经常扫地、洒水降尘、冲洗地面</w:t>
                  </w:r>
                </w:p>
              </w:tc>
              <w:tc>
                <w:tcPr>
                  <w:tcW w:w="1681" w:type="pct"/>
                  <w:vMerge w:val="continue"/>
                  <w:vAlign w:val="center"/>
                </w:tcPr>
                <w:p>
                  <w:pPr>
                    <w:widowControl/>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560" w:type="pct"/>
                  <w:vMerge w:val="restart"/>
                  <w:vAlign w:val="center"/>
                </w:tcPr>
                <w:p>
                  <w:pPr>
                    <w:widowControl/>
                    <w:jc w:val="center"/>
                  </w:pPr>
                  <w:r>
                    <w:rPr>
                      <w:rFonts w:hint="eastAsia"/>
                    </w:rPr>
                    <w:t>噪声</w:t>
                  </w:r>
                </w:p>
              </w:tc>
              <w:tc>
                <w:tcPr>
                  <w:tcW w:w="788" w:type="pct"/>
                  <w:vAlign w:val="center"/>
                </w:tcPr>
                <w:p>
                  <w:pPr>
                    <w:widowControl/>
                    <w:jc w:val="center"/>
                    <w:rPr>
                      <w:rFonts w:hint="eastAsia" w:eastAsia="宋体"/>
                      <w:lang w:eastAsia="zh-CN"/>
                    </w:rPr>
                  </w:pPr>
                  <w:r>
                    <w:rPr>
                      <w:rFonts w:hint="eastAsia"/>
                      <w:lang w:eastAsia="zh-CN"/>
                    </w:rPr>
                    <w:t>车辆噪声</w:t>
                  </w:r>
                </w:p>
              </w:tc>
              <w:tc>
                <w:tcPr>
                  <w:tcW w:w="1970" w:type="pct"/>
                  <w:vAlign w:val="center"/>
                </w:tcPr>
                <w:p>
                  <w:pPr>
                    <w:widowControl/>
                    <w:jc w:val="center"/>
                  </w:pPr>
                  <w:r>
                    <w:rPr>
                      <w:rFonts w:hint="eastAsia"/>
                    </w:rPr>
                    <w:t xml:space="preserve">限速、限值鸣笛 </w:t>
                  </w:r>
                </w:p>
              </w:tc>
              <w:tc>
                <w:tcPr>
                  <w:tcW w:w="1681" w:type="pct"/>
                  <w:vMerge w:val="restart"/>
                  <w:vAlign w:val="center"/>
                </w:tcPr>
                <w:p>
                  <w:pPr>
                    <w:widowControl/>
                    <w:jc w:val="center"/>
                  </w:pPr>
                  <w:r>
                    <w:rPr>
                      <w:rFonts w:hint="eastAsia"/>
                      <w:szCs w:val="18"/>
                      <w:lang w:eastAsia="zh-CN"/>
                    </w:rPr>
                    <w:t>满足</w:t>
                  </w:r>
                  <w:r>
                    <w:rPr>
                      <w:szCs w:val="18"/>
                    </w:rPr>
                    <w:t>《工业企业厂界环境噪</w:t>
                  </w:r>
                  <w:r>
                    <w:rPr>
                      <w:szCs w:val="16"/>
                    </w:rPr>
                    <w:t>声排放标准》</w:t>
                  </w:r>
                  <w:r>
                    <w:rPr>
                      <w:rFonts w:hint="eastAsia"/>
                      <w:szCs w:val="10"/>
                    </w:rPr>
                    <w:t>（</w:t>
                  </w:r>
                  <w:r>
                    <w:rPr>
                      <w:szCs w:val="10"/>
                    </w:rPr>
                    <w:t>GB 12348</w:t>
                  </w:r>
                  <w:r>
                    <w:rPr>
                      <w:rFonts w:hint="eastAsia"/>
                      <w:szCs w:val="10"/>
                    </w:rPr>
                    <w:t>-</w:t>
                  </w:r>
                  <w:r>
                    <w:rPr>
                      <w:szCs w:val="10"/>
                    </w:rPr>
                    <w:t xml:space="preserve">2008 </w:t>
                  </w:r>
                  <w:r>
                    <w:rPr>
                      <w:szCs w:val="16"/>
                    </w:rPr>
                    <w:t>）</w:t>
                  </w:r>
                  <w:r>
                    <w:rPr>
                      <w:rFonts w:hint="eastAsia"/>
                      <w:szCs w:val="16"/>
                    </w:rPr>
                    <w:t>2类</w:t>
                  </w:r>
                  <w:r>
                    <w:rPr>
                      <w:rFonts w:hint="eastAsia"/>
                      <w:szCs w:val="16"/>
                      <w:lang w:eastAsia="zh-CN"/>
                    </w:rPr>
                    <w:t>和</w:t>
                  </w:r>
                  <w:r>
                    <w:rPr>
                      <w:rFonts w:hint="eastAsia"/>
                      <w:szCs w:val="16"/>
                      <w:lang w:val="en-US" w:eastAsia="zh-CN"/>
                    </w:rPr>
                    <w:t>4a类</w:t>
                  </w:r>
                  <w:r>
                    <w:rPr>
                      <w:szCs w:val="18"/>
                    </w:rPr>
                    <w:t>标准</w:t>
                  </w:r>
                  <w:r>
                    <w:rPr>
                      <w:rFonts w:hint="eastAsia"/>
                      <w:szCs w:val="18"/>
                    </w:rPr>
                    <w:t>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60" w:type="pct"/>
                  <w:vMerge w:val="continue"/>
                  <w:vAlign w:val="center"/>
                </w:tcPr>
                <w:p>
                  <w:pPr>
                    <w:widowControl/>
                    <w:jc w:val="center"/>
                    <w:rPr>
                      <w:rFonts w:hint="eastAsia"/>
                    </w:rPr>
                  </w:pPr>
                </w:p>
              </w:tc>
              <w:tc>
                <w:tcPr>
                  <w:tcW w:w="788" w:type="pct"/>
                  <w:vAlign w:val="center"/>
                </w:tcPr>
                <w:p>
                  <w:pPr>
                    <w:widowControl/>
                    <w:jc w:val="center"/>
                    <w:rPr>
                      <w:rFonts w:hint="eastAsia" w:eastAsia="宋体"/>
                      <w:lang w:eastAsia="zh-CN"/>
                    </w:rPr>
                  </w:pPr>
                  <w:r>
                    <w:rPr>
                      <w:rFonts w:hint="eastAsia"/>
                      <w:lang w:eastAsia="zh-CN"/>
                    </w:rPr>
                    <w:t>设备噪声</w:t>
                  </w:r>
                </w:p>
              </w:tc>
              <w:tc>
                <w:tcPr>
                  <w:tcW w:w="1970" w:type="pct"/>
                  <w:vAlign w:val="center"/>
                </w:tcPr>
                <w:p>
                  <w:pPr>
                    <w:widowControl/>
                    <w:jc w:val="center"/>
                    <w:rPr>
                      <w:rFonts w:hint="eastAsia"/>
                    </w:rPr>
                  </w:pPr>
                  <w:r>
                    <w:rPr>
                      <w:rFonts w:hint="eastAsia"/>
                    </w:rPr>
                    <w:t>选用低噪声设备、建筑物隔声、距</w:t>
                  </w:r>
                </w:p>
                <w:p>
                  <w:pPr>
                    <w:widowControl/>
                    <w:jc w:val="center"/>
                    <w:rPr>
                      <w:rFonts w:hint="eastAsia"/>
                    </w:rPr>
                  </w:pPr>
                  <w:r>
                    <w:rPr>
                      <w:rFonts w:hint="eastAsia"/>
                    </w:rPr>
                    <w:t>离衰减</w:t>
                  </w:r>
                </w:p>
              </w:tc>
              <w:tc>
                <w:tcPr>
                  <w:tcW w:w="1681" w:type="pct"/>
                  <w:vMerge w:val="continue"/>
                  <w:vAlign w:val="center"/>
                </w:tcPr>
                <w:p>
                  <w:pPr>
                    <w:widowControl/>
                    <w:jc w:val="center"/>
                    <w:rPr>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560" w:type="pct"/>
                  <w:vAlign w:val="center"/>
                </w:tcPr>
                <w:p>
                  <w:pPr>
                    <w:widowControl/>
                    <w:jc w:val="center"/>
                  </w:pPr>
                  <w:r>
                    <w:rPr>
                      <w:rFonts w:hint="eastAsia"/>
                    </w:rPr>
                    <w:t>固废</w:t>
                  </w:r>
                </w:p>
              </w:tc>
              <w:tc>
                <w:tcPr>
                  <w:tcW w:w="788" w:type="pct"/>
                  <w:vAlign w:val="center"/>
                </w:tcPr>
                <w:p>
                  <w:pPr>
                    <w:widowControl/>
                    <w:jc w:val="center"/>
                    <w:rPr>
                      <w:rFonts w:hint="eastAsia" w:eastAsia="宋体"/>
                      <w:lang w:eastAsia="zh-CN"/>
                    </w:rPr>
                  </w:pPr>
                  <w:r>
                    <w:rPr>
                      <w:rFonts w:hint="eastAsia"/>
                      <w:lang w:eastAsia="zh-CN"/>
                    </w:rPr>
                    <w:t>生活垃圾</w:t>
                  </w:r>
                </w:p>
              </w:tc>
              <w:tc>
                <w:tcPr>
                  <w:tcW w:w="1970" w:type="pct"/>
                  <w:vAlign w:val="center"/>
                </w:tcPr>
                <w:p>
                  <w:pPr>
                    <w:widowControl/>
                    <w:jc w:val="center"/>
                    <w:rPr>
                      <w:rFonts w:hint="eastAsia"/>
                    </w:rPr>
                  </w:pPr>
                  <w:r>
                    <w:rPr>
                      <w:rFonts w:hint="eastAsia"/>
                    </w:rPr>
                    <w:t>设置垃圾桶收集后，送入附近垃圾</w:t>
                  </w:r>
                </w:p>
                <w:p>
                  <w:pPr>
                    <w:widowControl/>
                    <w:jc w:val="center"/>
                  </w:pPr>
                  <w:r>
                    <w:rPr>
                      <w:rFonts w:hint="eastAsia"/>
                    </w:rPr>
                    <w:t>收集点堆放</w:t>
                  </w:r>
                </w:p>
              </w:tc>
              <w:tc>
                <w:tcPr>
                  <w:tcW w:w="1681" w:type="pct"/>
                  <w:vAlign w:val="center"/>
                </w:tcPr>
                <w:p>
                  <w:pPr>
                    <w:widowControl/>
                    <w:jc w:val="center"/>
                  </w:pPr>
                  <w:r>
                    <w:rPr>
                      <w:rFonts w:hint="eastAsia"/>
                    </w:rPr>
                    <w:t>是否按要求处置</w:t>
                  </w:r>
                </w:p>
              </w:tc>
            </w:tr>
          </w:tbl>
          <w:p>
            <w:pPr>
              <w:spacing w:line="360" w:lineRule="auto"/>
              <w:rPr>
                <w:rFonts w:eastAsiaTheme="minorEastAsia"/>
                <w:b/>
                <w:sz w:val="28"/>
                <w:szCs w:val="28"/>
              </w:rPr>
            </w:pPr>
            <w:r>
              <w:rPr>
                <w:rFonts w:hint="eastAsia" w:eastAsiaTheme="minorEastAsia"/>
                <w:b/>
                <w:sz w:val="28"/>
                <w:szCs w:val="28"/>
              </w:rPr>
              <w:t>六</w:t>
            </w:r>
            <w:r>
              <w:rPr>
                <w:rFonts w:eastAsiaTheme="minorEastAsia"/>
                <w:b/>
                <w:sz w:val="28"/>
                <w:szCs w:val="28"/>
              </w:rPr>
              <w:t>、环境保护投资估算</w:t>
            </w:r>
          </w:p>
          <w:p>
            <w:pPr>
              <w:spacing w:line="360" w:lineRule="auto"/>
              <w:ind w:firstLine="480" w:firstLineChars="200"/>
              <w:rPr>
                <w:rFonts w:cs="宋体"/>
                <w:sz w:val="24"/>
                <w:szCs w:val="20"/>
              </w:rPr>
            </w:pPr>
            <w:r>
              <w:rPr>
                <w:rFonts w:hint="eastAsia" w:cs="宋体"/>
                <w:sz w:val="24"/>
                <w:szCs w:val="20"/>
              </w:rPr>
              <w:t>本项目环保拟投资</w:t>
            </w:r>
            <w:r>
              <w:rPr>
                <w:rFonts w:hint="eastAsia" w:cs="宋体"/>
                <w:color w:val="auto"/>
                <w:sz w:val="24"/>
                <w:szCs w:val="20"/>
                <w:lang w:val="en-US" w:eastAsia="zh-CN"/>
              </w:rPr>
              <w:t>70.4</w:t>
            </w:r>
            <w:r>
              <w:rPr>
                <w:rFonts w:hint="eastAsia" w:cs="宋体"/>
                <w:color w:val="auto"/>
                <w:sz w:val="24"/>
                <w:szCs w:val="20"/>
              </w:rPr>
              <w:t>万元</w:t>
            </w:r>
            <w:r>
              <w:rPr>
                <w:rFonts w:hint="eastAsia" w:cs="宋体"/>
                <w:color w:val="000000" w:themeColor="text1"/>
                <w:sz w:val="24"/>
                <w:szCs w:val="20"/>
                <w14:textFill>
                  <w14:solidFill>
                    <w14:schemeClr w14:val="tx1"/>
                  </w14:solidFill>
                </w14:textFill>
              </w:rPr>
              <w:t>，占总投资</w:t>
            </w:r>
            <w:r>
              <w:rPr>
                <w:rFonts w:hint="eastAsia" w:cs="宋体"/>
                <w:color w:val="000000" w:themeColor="text1"/>
                <w:sz w:val="24"/>
                <w:szCs w:val="20"/>
                <w:lang w:val="en-US" w:eastAsia="zh-CN"/>
                <w14:textFill>
                  <w14:solidFill>
                    <w14:schemeClr w14:val="tx1"/>
                  </w14:solidFill>
                </w14:textFill>
              </w:rPr>
              <w:t>3</w:t>
            </w:r>
            <w:r>
              <w:rPr>
                <w:rFonts w:cs="宋体"/>
                <w:color w:val="000000" w:themeColor="text1"/>
                <w:sz w:val="24"/>
                <w:szCs w:val="20"/>
                <w14:textFill>
                  <w14:solidFill>
                    <w14:schemeClr w14:val="tx1"/>
                  </w14:solidFill>
                </w14:textFill>
              </w:rPr>
              <w:t>0</w:t>
            </w:r>
            <w:r>
              <w:rPr>
                <w:rFonts w:hint="eastAsia" w:cs="宋体"/>
                <w:color w:val="000000" w:themeColor="text1"/>
                <w:sz w:val="24"/>
                <w:szCs w:val="20"/>
                <w14:textFill>
                  <w14:solidFill>
                    <w14:schemeClr w14:val="tx1"/>
                  </w14:solidFill>
                </w14:textFill>
              </w:rPr>
              <w:t>00万元的</w:t>
            </w:r>
            <w:r>
              <w:rPr>
                <w:rFonts w:hint="eastAsia" w:cs="宋体"/>
                <w:color w:val="auto"/>
                <w:sz w:val="24"/>
                <w:szCs w:val="20"/>
                <w:lang w:val="en-US" w:eastAsia="zh-CN"/>
              </w:rPr>
              <w:t>2.3</w:t>
            </w:r>
            <w:r>
              <w:rPr>
                <w:rFonts w:hint="eastAsia" w:cs="宋体"/>
                <w:color w:val="auto"/>
                <w:sz w:val="24"/>
                <w:szCs w:val="20"/>
              </w:rPr>
              <w:t>%</w:t>
            </w:r>
            <w:r>
              <w:rPr>
                <w:rFonts w:hint="eastAsia" w:cs="宋体"/>
                <w:sz w:val="24"/>
                <w:szCs w:val="20"/>
              </w:rPr>
              <w:t>。主</w:t>
            </w:r>
            <w:r>
              <w:rPr>
                <w:rFonts w:hint="eastAsia" w:cs="宋体"/>
                <w:color w:val="000000" w:themeColor="text1"/>
                <w:sz w:val="24"/>
                <w:szCs w:val="20"/>
                <w14:textFill>
                  <w14:solidFill>
                    <w14:schemeClr w14:val="tx1"/>
                  </w14:solidFill>
                </w14:textFill>
              </w:rPr>
              <w:t>要用于</w:t>
            </w:r>
            <w:r>
              <w:rPr>
                <w:rFonts w:hint="eastAsia" w:cs="宋体"/>
                <w:color w:val="000000" w:themeColor="text1"/>
                <w:sz w:val="24"/>
                <w:szCs w:val="20"/>
                <w:lang w:eastAsia="zh-CN"/>
                <w14:textFill>
                  <w14:solidFill>
                    <w14:schemeClr w14:val="tx1"/>
                  </w14:solidFill>
                </w14:textFill>
              </w:rPr>
              <w:t>项目建设</w:t>
            </w:r>
            <w:r>
              <w:rPr>
                <w:rFonts w:hint="eastAsia" w:hAnsi="宋体" w:cs="宋体"/>
                <w:color w:val="000000" w:themeColor="text1"/>
                <w:sz w:val="24"/>
                <w:szCs w:val="20"/>
                <w14:textFill>
                  <w14:solidFill>
                    <w14:schemeClr w14:val="tx1"/>
                  </w14:solidFill>
                </w14:textFill>
              </w:rPr>
              <w:t>水土</w:t>
            </w:r>
            <w:r>
              <w:rPr>
                <w:rFonts w:hint="eastAsia" w:hAnsi="宋体" w:cs="宋体"/>
                <w:sz w:val="24"/>
                <w:szCs w:val="20"/>
              </w:rPr>
              <w:t>保持、废水治理、废气治理</w:t>
            </w:r>
            <w:r>
              <w:rPr>
                <w:rFonts w:hint="eastAsia" w:cs="宋体"/>
                <w:sz w:val="24"/>
                <w:szCs w:val="20"/>
              </w:rPr>
              <w:t>等，经过对废气的治理和废水的治理，能满足环保的要求，环保设施合理可行。环保投资见表7-</w:t>
            </w:r>
            <w:r>
              <w:rPr>
                <w:rFonts w:cs="宋体"/>
                <w:sz w:val="24"/>
                <w:szCs w:val="20"/>
              </w:rPr>
              <w:t>2</w:t>
            </w:r>
            <w:r>
              <w:rPr>
                <w:rFonts w:hint="eastAsia" w:cs="宋体"/>
                <w:sz w:val="24"/>
                <w:szCs w:val="20"/>
                <w:lang w:val="en-US" w:eastAsia="zh-CN"/>
              </w:rPr>
              <w:t>1</w:t>
            </w:r>
            <w:r>
              <w:rPr>
                <w:rFonts w:hint="eastAsia" w:cs="宋体"/>
                <w:sz w:val="24"/>
                <w:szCs w:val="20"/>
              </w:rPr>
              <w:t>：</w:t>
            </w:r>
          </w:p>
          <w:p>
            <w:pPr>
              <w:widowControl/>
              <w:jc w:val="center"/>
              <w:rPr>
                <w:rFonts w:hint="eastAsia" w:cs="宋体"/>
                <w:b/>
                <w:bCs/>
                <w:kern w:val="0"/>
                <w:szCs w:val="20"/>
              </w:rPr>
            </w:pPr>
          </w:p>
          <w:p>
            <w:pPr>
              <w:widowControl/>
              <w:jc w:val="center"/>
              <w:rPr>
                <w:rFonts w:cs="宋体"/>
                <w:b/>
                <w:bCs/>
                <w:kern w:val="0"/>
                <w:szCs w:val="20"/>
              </w:rPr>
            </w:pPr>
            <w:r>
              <w:rPr>
                <w:rFonts w:hint="eastAsia" w:cs="宋体"/>
                <w:b/>
                <w:bCs/>
                <w:kern w:val="0"/>
                <w:szCs w:val="20"/>
              </w:rPr>
              <w:t>表7-</w:t>
            </w:r>
            <w:r>
              <w:rPr>
                <w:rFonts w:cs="宋体"/>
                <w:b/>
                <w:bCs/>
                <w:kern w:val="0"/>
                <w:szCs w:val="20"/>
              </w:rPr>
              <w:t>2</w:t>
            </w:r>
            <w:r>
              <w:rPr>
                <w:rFonts w:hint="eastAsia" w:cs="宋体"/>
                <w:b/>
                <w:bCs/>
                <w:kern w:val="0"/>
                <w:szCs w:val="20"/>
                <w:lang w:val="en-US" w:eastAsia="zh-CN"/>
              </w:rPr>
              <w:t>1</w:t>
            </w:r>
            <w:r>
              <w:rPr>
                <w:rFonts w:cs="宋体"/>
                <w:b/>
                <w:bCs/>
                <w:kern w:val="0"/>
                <w:szCs w:val="20"/>
              </w:rPr>
              <w:t>环保投资一览表</w:t>
            </w:r>
          </w:p>
          <w:tbl>
            <w:tblPr>
              <w:tblStyle w:val="29"/>
              <w:tblpPr w:leftFromText="180" w:rightFromText="180" w:vertAnchor="text" w:horzAnchor="margin" w:tblpY="22"/>
              <w:tblOverlap w:val="never"/>
              <w:tblW w:w="5000" w:type="pct"/>
              <w:tblInd w:w="0" w:type="dxa"/>
              <w:tblLayout w:type="autofit"/>
              <w:tblCellMar>
                <w:top w:w="0" w:type="dxa"/>
                <w:left w:w="108" w:type="dxa"/>
                <w:bottom w:w="0" w:type="dxa"/>
                <w:right w:w="108" w:type="dxa"/>
              </w:tblCellMar>
            </w:tblPr>
            <w:tblGrid>
              <w:gridCol w:w="508"/>
              <w:gridCol w:w="1190"/>
              <w:gridCol w:w="5109"/>
              <w:gridCol w:w="1310"/>
              <w:gridCol w:w="953"/>
            </w:tblGrid>
            <w:tr>
              <w:tblPrEx>
                <w:tblCellMar>
                  <w:top w:w="0" w:type="dxa"/>
                  <w:left w:w="108" w:type="dxa"/>
                  <w:bottom w:w="0" w:type="dxa"/>
                  <w:right w:w="108" w:type="dxa"/>
                </w:tblCellMar>
              </w:tblPrEx>
              <w:trPr>
                <w:trHeight w:val="149" w:hRule="atLeast"/>
              </w:trPr>
              <w:tc>
                <w:tcPr>
                  <w:tcW w:w="936" w:type="pct"/>
                  <w:gridSpan w:val="2"/>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项目</w:t>
                  </w:r>
                </w:p>
              </w:tc>
              <w:tc>
                <w:tcPr>
                  <w:tcW w:w="2816"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内容</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投资（万元）</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备注</w:t>
                  </w:r>
                </w:p>
              </w:tc>
            </w:tr>
            <w:tr>
              <w:tblPrEx>
                <w:tblCellMar>
                  <w:top w:w="0" w:type="dxa"/>
                  <w:left w:w="108" w:type="dxa"/>
                  <w:bottom w:w="0" w:type="dxa"/>
                  <w:right w:w="108" w:type="dxa"/>
                </w:tblCellMar>
              </w:tblPrEx>
              <w:trPr>
                <w:trHeight w:val="267" w:hRule="atLeast"/>
              </w:trPr>
              <w:tc>
                <w:tcPr>
                  <w:tcW w:w="280" w:type="pct"/>
                  <w:vMerge w:val="restar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施工期</w:t>
                  </w:r>
                </w:p>
              </w:tc>
              <w:tc>
                <w:tcPr>
                  <w:tcW w:w="656" w:type="pct"/>
                  <w:tcBorders>
                    <w:top w:val="single" w:color="auto" w:sz="2" w:space="0"/>
                    <w:left w:val="single" w:color="auto" w:sz="2" w:space="0"/>
                    <w:bottom w:val="single" w:color="auto" w:sz="2" w:space="0"/>
                    <w:right w:val="single" w:color="auto" w:sz="4" w:space="0"/>
                  </w:tcBorders>
                  <w:shd w:val="clear" w:color="auto" w:fill="auto"/>
                  <w:vAlign w:val="center"/>
                </w:tcPr>
                <w:p>
                  <w:pPr>
                    <w:widowControl/>
                    <w:jc w:val="center"/>
                  </w:pPr>
                  <w:r>
                    <w:rPr>
                      <w:rFonts w:hint="eastAsia"/>
                    </w:rPr>
                    <w:t>废水处理</w:t>
                  </w:r>
                </w:p>
              </w:tc>
              <w:tc>
                <w:tcPr>
                  <w:tcW w:w="2816" w:type="pct"/>
                  <w:tcBorders>
                    <w:top w:val="single" w:color="auto" w:sz="2" w:space="0"/>
                    <w:left w:val="single" w:color="auto" w:sz="4" w:space="0"/>
                    <w:bottom w:val="single" w:color="auto" w:sz="2" w:space="0"/>
                    <w:right w:val="single" w:color="auto" w:sz="2" w:space="0"/>
                  </w:tcBorders>
                  <w:shd w:val="clear" w:color="auto" w:fill="auto"/>
                  <w:vAlign w:val="center"/>
                </w:tcPr>
                <w:p>
                  <w:pPr>
                    <w:widowControl/>
                    <w:jc w:val="center"/>
                  </w:pPr>
                  <w:r>
                    <w:rPr>
                      <w:rFonts w:hint="eastAsia"/>
                    </w:rPr>
                    <w:t>修建雨水池、排水沟渠</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5.0</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257" w:hRule="atLeast"/>
              </w:trPr>
              <w:tc>
                <w:tcPr>
                  <w:tcW w:w="280"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p>
              </w:tc>
              <w:tc>
                <w:tcPr>
                  <w:tcW w:w="656" w:type="pct"/>
                  <w:tcBorders>
                    <w:top w:val="single" w:color="auto" w:sz="2" w:space="0"/>
                    <w:left w:val="single" w:color="auto" w:sz="2" w:space="0"/>
                    <w:bottom w:val="single" w:color="auto" w:sz="2" w:space="0"/>
                    <w:right w:val="single" w:color="auto" w:sz="4" w:space="0"/>
                  </w:tcBorders>
                  <w:shd w:val="clear" w:color="auto" w:fill="auto"/>
                  <w:vAlign w:val="center"/>
                </w:tcPr>
                <w:p>
                  <w:pPr>
                    <w:widowControl/>
                    <w:jc w:val="center"/>
                  </w:pPr>
                  <w:r>
                    <w:rPr>
                      <w:rFonts w:hint="eastAsia"/>
                    </w:rPr>
                    <w:t>扬尘防治</w:t>
                  </w:r>
                </w:p>
              </w:tc>
              <w:tc>
                <w:tcPr>
                  <w:tcW w:w="2816" w:type="pct"/>
                  <w:tcBorders>
                    <w:top w:val="single" w:color="auto" w:sz="2" w:space="0"/>
                    <w:left w:val="single" w:color="auto" w:sz="4" w:space="0"/>
                    <w:bottom w:val="single" w:color="auto" w:sz="2" w:space="0"/>
                    <w:right w:val="single" w:color="auto" w:sz="2" w:space="0"/>
                  </w:tcBorders>
                  <w:shd w:val="clear" w:color="auto" w:fill="auto"/>
                  <w:vAlign w:val="center"/>
                </w:tcPr>
                <w:p>
                  <w:pPr>
                    <w:widowControl/>
                    <w:jc w:val="center"/>
                  </w:pPr>
                  <w:r>
                    <w:rPr>
                      <w:rFonts w:hint="eastAsia"/>
                    </w:rPr>
                    <w:t>道路洒水、工程车辆清洗</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0.</w:t>
                  </w:r>
                  <w:r>
                    <w:t>3</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224" w:hRule="atLeast"/>
              </w:trPr>
              <w:tc>
                <w:tcPr>
                  <w:tcW w:w="280"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p>
              </w:tc>
              <w:tc>
                <w:tcPr>
                  <w:tcW w:w="656" w:type="pct"/>
                  <w:tcBorders>
                    <w:top w:val="single" w:color="auto" w:sz="2" w:space="0"/>
                    <w:left w:val="single" w:color="auto" w:sz="2" w:space="0"/>
                    <w:bottom w:val="single" w:color="auto" w:sz="4" w:space="0"/>
                    <w:right w:val="single" w:color="auto" w:sz="4" w:space="0"/>
                  </w:tcBorders>
                  <w:shd w:val="clear" w:color="auto" w:fill="auto"/>
                  <w:vAlign w:val="center"/>
                </w:tcPr>
                <w:p>
                  <w:pPr>
                    <w:widowControl/>
                    <w:jc w:val="center"/>
                  </w:pPr>
                  <w:r>
                    <w:rPr>
                      <w:rFonts w:hint="eastAsia"/>
                    </w:rPr>
                    <w:t>固废治理</w:t>
                  </w:r>
                </w:p>
              </w:tc>
              <w:tc>
                <w:tcPr>
                  <w:tcW w:w="2816" w:type="pct"/>
                  <w:tcBorders>
                    <w:top w:val="single" w:color="auto" w:sz="2" w:space="0"/>
                    <w:left w:val="single" w:color="auto" w:sz="4" w:space="0"/>
                    <w:bottom w:val="single" w:color="auto" w:sz="4" w:space="0"/>
                    <w:right w:val="single" w:color="auto" w:sz="2" w:space="0"/>
                  </w:tcBorders>
                  <w:shd w:val="clear" w:color="auto" w:fill="auto"/>
                  <w:vAlign w:val="center"/>
                </w:tcPr>
                <w:p>
                  <w:pPr>
                    <w:widowControl/>
                    <w:jc w:val="center"/>
                  </w:pPr>
                  <w:r>
                    <w:rPr>
                      <w:rFonts w:hint="eastAsia"/>
                    </w:rPr>
                    <w:t>施工区垃圾收集、清运</w:t>
                  </w:r>
                </w:p>
              </w:tc>
              <w:tc>
                <w:tcPr>
                  <w:tcW w:w="722"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pPr>
                  <w:r>
                    <w:rPr>
                      <w:rFonts w:hint="eastAsia"/>
                    </w:rPr>
                    <w:t>0.</w:t>
                  </w:r>
                  <w:r>
                    <w:t>3</w:t>
                  </w:r>
                </w:p>
              </w:tc>
              <w:tc>
                <w:tcPr>
                  <w:tcW w:w="525"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pPr>
                </w:p>
              </w:tc>
            </w:tr>
            <w:tr>
              <w:tblPrEx>
                <w:tblCellMar>
                  <w:top w:w="0" w:type="dxa"/>
                  <w:left w:w="108" w:type="dxa"/>
                  <w:bottom w:w="0" w:type="dxa"/>
                  <w:right w:w="108" w:type="dxa"/>
                </w:tblCellMar>
              </w:tblPrEx>
              <w:trPr>
                <w:trHeight w:val="494" w:hRule="atLeast"/>
              </w:trPr>
              <w:tc>
                <w:tcPr>
                  <w:tcW w:w="280" w:type="pct"/>
                  <w:vMerge w:val="continue"/>
                  <w:tcBorders>
                    <w:left w:val="single" w:color="auto" w:sz="2" w:space="0"/>
                    <w:bottom w:val="single" w:color="auto" w:sz="2" w:space="0"/>
                    <w:right w:val="single" w:color="auto" w:sz="2" w:space="0"/>
                  </w:tcBorders>
                  <w:shd w:val="clear" w:color="auto" w:fill="auto"/>
                  <w:vAlign w:val="center"/>
                </w:tcPr>
                <w:p>
                  <w:pPr>
                    <w:widowControl/>
                    <w:jc w:val="center"/>
                  </w:pPr>
                </w:p>
              </w:tc>
              <w:tc>
                <w:tcPr>
                  <w:tcW w:w="656" w:type="pct"/>
                  <w:tcBorders>
                    <w:top w:val="single" w:color="auto" w:sz="4" w:space="0"/>
                    <w:left w:val="single" w:color="auto" w:sz="2" w:space="0"/>
                    <w:bottom w:val="single" w:color="auto" w:sz="4" w:space="0"/>
                    <w:right w:val="single" w:color="auto" w:sz="4" w:space="0"/>
                  </w:tcBorders>
                  <w:shd w:val="clear" w:color="auto" w:fill="auto"/>
                  <w:vAlign w:val="center"/>
                </w:tcPr>
                <w:p>
                  <w:pPr>
                    <w:widowControl/>
                    <w:jc w:val="center"/>
                    <w:rPr>
                      <w:rFonts w:hint="eastAsia"/>
                      <w:lang w:val="en-US" w:eastAsia="zh-CN"/>
                    </w:rPr>
                  </w:pPr>
                  <w:r>
                    <w:rPr>
                      <w:rFonts w:hint="eastAsia"/>
                      <w:lang w:val="en-US" w:eastAsia="zh-CN"/>
                    </w:rPr>
                    <w:t>边坡防</w:t>
                  </w:r>
                </w:p>
                <w:p>
                  <w:pPr>
                    <w:widowControl/>
                    <w:jc w:val="center"/>
                    <w:rPr>
                      <w:rFonts w:hint="default" w:eastAsia="宋体"/>
                      <w:lang w:val="en-US" w:eastAsia="zh-CN"/>
                    </w:rPr>
                  </w:pPr>
                  <w:r>
                    <w:rPr>
                      <w:rFonts w:hint="eastAsia"/>
                      <w:lang w:val="en-US" w:eastAsia="zh-CN"/>
                    </w:rPr>
                    <w:t>护工程</w:t>
                  </w:r>
                </w:p>
              </w:tc>
              <w:tc>
                <w:tcPr>
                  <w:tcW w:w="2816" w:type="pct"/>
                  <w:tcBorders>
                    <w:top w:val="single" w:color="auto" w:sz="4" w:space="0"/>
                    <w:left w:val="single" w:color="auto" w:sz="4" w:space="0"/>
                    <w:bottom w:val="single" w:color="auto" w:sz="4" w:space="0"/>
                    <w:right w:val="single" w:color="auto" w:sz="2" w:space="0"/>
                  </w:tcBorders>
                  <w:shd w:val="clear" w:color="auto" w:fill="auto"/>
                  <w:vAlign w:val="center"/>
                </w:tcPr>
                <w:p>
                  <w:pPr>
                    <w:widowControl/>
                    <w:jc w:val="center"/>
                    <w:rPr>
                      <w:rFonts w:hint="eastAsia" w:eastAsia="宋体"/>
                      <w:lang w:eastAsia="zh-CN"/>
                    </w:rPr>
                  </w:pPr>
                  <w:r>
                    <w:rPr>
                      <w:rFonts w:hint="eastAsia"/>
                      <w:lang w:eastAsia="zh-CN"/>
                    </w:rPr>
                    <w:t>坡顶、坡脚修筑截排水沟、根据各段岩土特征布置锚杆挡墙＋绿化支护，或采用抗滑桩等支护</w:t>
                  </w:r>
                </w:p>
              </w:tc>
              <w:tc>
                <w:tcPr>
                  <w:tcW w:w="722" w:type="pct"/>
                  <w:tcBorders>
                    <w:top w:val="single" w:color="auto" w:sz="4" w:space="0"/>
                    <w:left w:val="single" w:color="auto" w:sz="2" w:space="0"/>
                    <w:bottom w:val="single" w:color="auto" w:sz="4"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10</w:t>
                  </w:r>
                </w:p>
              </w:tc>
              <w:tc>
                <w:tcPr>
                  <w:tcW w:w="525" w:type="pct"/>
                  <w:tcBorders>
                    <w:top w:val="single" w:color="auto" w:sz="4" w:space="0"/>
                    <w:left w:val="single" w:color="auto" w:sz="2" w:space="0"/>
                    <w:bottom w:val="single" w:color="auto" w:sz="2" w:space="0"/>
                    <w:right w:val="single" w:color="auto" w:sz="2" w:space="0"/>
                  </w:tcBorders>
                  <w:shd w:val="clear" w:color="auto" w:fill="auto"/>
                  <w:vAlign w:val="center"/>
                </w:tcPr>
                <w:p>
                  <w:pPr>
                    <w:widowControl/>
                    <w:jc w:val="center"/>
                    <w:rPr>
                      <w:rFonts w:hint="eastAsia" w:eastAsia="宋体"/>
                      <w:lang w:val="en-US" w:eastAsia="zh-CN"/>
                    </w:rPr>
                  </w:pPr>
                  <w:r>
                    <w:rPr>
                      <w:rFonts w:hint="eastAsia"/>
                      <w:lang w:val="en-US" w:eastAsia="zh-CN"/>
                    </w:rPr>
                    <w:t>/</w:t>
                  </w:r>
                </w:p>
              </w:tc>
            </w:tr>
            <w:tr>
              <w:tblPrEx>
                <w:tblCellMar>
                  <w:top w:w="0" w:type="dxa"/>
                  <w:left w:w="108" w:type="dxa"/>
                  <w:bottom w:w="0" w:type="dxa"/>
                  <w:right w:w="108" w:type="dxa"/>
                </w:tblCellMar>
              </w:tblPrEx>
              <w:trPr>
                <w:trHeight w:val="316" w:hRule="atLeast"/>
              </w:trPr>
              <w:tc>
                <w:tcPr>
                  <w:tcW w:w="280" w:type="pct"/>
                  <w:vMerge w:val="restart"/>
                  <w:tcBorders>
                    <w:top w:val="single" w:color="auto" w:sz="2" w:space="0"/>
                    <w:left w:val="single" w:color="auto" w:sz="2" w:space="0"/>
                    <w:right w:val="single" w:color="auto" w:sz="4" w:space="0"/>
                  </w:tcBorders>
                  <w:shd w:val="clear" w:color="auto" w:fill="auto"/>
                  <w:vAlign w:val="center"/>
                </w:tcPr>
                <w:p>
                  <w:pPr>
                    <w:widowControl/>
                    <w:jc w:val="center"/>
                  </w:pPr>
                  <w:r>
                    <w:rPr>
                      <w:rFonts w:hint="eastAsia"/>
                    </w:rPr>
                    <w:t>营运期</w:t>
                  </w:r>
                </w:p>
              </w:tc>
              <w:tc>
                <w:tcPr>
                  <w:tcW w:w="656" w:type="pct"/>
                  <w:vMerge w:val="restart"/>
                  <w:tcBorders>
                    <w:top w:val="single" w:color="auto" w:sz="2" w:space="0"/>
                    <w:left w:val="single" w:color="auto" w:sz="4" w:space="0"/>
                    <w:right w:val="single" w:color="auto" w:sz="2" w:space="0"/>
                  </w:tcBorders>
                  <w:shd w:val="clear" w:color="auto" w:fill="auto"/>
                  <w:vAlign w:val="center"/>
                </w:tcPr>
                <w:p>
                  <w:pPr>
                    <w:widowControl/>
                    <w:jc w:val="center"/>
                  </w:pPr>
                  <w:r>
                    <w:rPr>
                      <w:rFonts w:hint="eastAsia"/>
                    </w:rPr>
                    <w:t>废水治理</w:t>
                  </w:r>
                </w:p>
              </w:tc>
              <w:tc>
                <w:tcPr>
                  <w:tcW w:w="2816"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lang w:eastAsia="zh-CN"/>
                    </w:rPr>
                    <w:t>生活污水采用</w:t>
                  </w:r>
                  <w:r>
                    <w:rPr>
                      <w:rFonts w:hint="eastAsia"/>
                    </w:rPr>
                    <w:t>化粪池处理后用作周边农田农肥</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5.6</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268" w:hRule="atLeast"/>
              </w:trPr>
              <w:tc>
                <w:tcPr>
                  <w:tcW w:w="280" w:type="pct"/>
                  <w:vMerge w:val="continue"/>
                  <w:tcBorders>
                    <w:left w:val="single" w:color="auto" w:sz="2" w:space="0"/>
                    <w:right w:val="single" w:color="auto" w:sz="4" w:space="0"/>
                  </w:tcBorders>
                  <w:shd w:val="clear" w:color="auto" w:fill="auto"/>
                  <w:vAlign w:val="center"/>
                </w:tcPr>
                <w:p>
                  <w:pPr>
                    <w:widowControl/>
                    <w:jc w:val="center"/>
                  </w:pPr>
                </w:p>
              </w:tc>
              <w:tc>
                <w:tcPr>
                  <w:tcW w:w="656" w:type="pct"/>
                  <w:vMerge w:val="continue"/>
                  <w:tcBorders>
                    <w:left w:val="single" w:color="auto" w:sz="4" w:space="0"/>
                    <w:bottom w:val="single" w:color="auto" w:sz="4" w:space="0"/>
                    <w:right w:val="single" w:color="auto" w:sz="2" w:space="0"/>
                  </w:tcBorders>
                  <w:shd w:val="clear" w:color="auto" w:fill="auto"/>
                  <w:vAlign w:val="center"/>
                </w:tcPr>
                <w:p>
                  <w:pPr>
                    <w:widowControl/>
                    <w:jc w:val="center"/>
                  </w:pPr>
                </w:p>
              </w:tc>
              <w:tc>
                <w:tcPr>
                  <w:tcW w:w="2816"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rPr>
                      <w:rFonts w:hint="eastAsia" w:eastAsia="宋体"/>
                      <w:lang w:eastAsia="zh-CN"/>
                    </w:rPr>
                  </w:pPr>
                  <w:r>
                    <w:rPr>
                      <w:rFonts w:hint="eastAsia"/>
                      <w:lang w:eastAsia="zh-CN"/>
                    </w:rPr>
                    <w:t>加气站场雨污分流，设置雨水沟</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5.0</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316" w:hRule="atLeast"/>
              </w:trPr>
              <w:tc>
                <w:tcPr>
                  <w:tcW w:w="280" w:type="pct"/>
                  <w:vMerge w:val="continue"/>
                  <w:tcBorders>
                    <w:left w:val="single" w:color="auto" w:sz="2" w:space="0"/>
                    <w:right w:val="single" w:color="auto" w:sz="2" w:space="0"/>
                  </w:tcBorders>
                  <w:shd w:val="clear" w:color="auto" w:fill="auto"/>
                  <w:vAlign w:val="center"/>
                </w:tcPr>
                <w:p>
                  <w:pPr>
                    <w:widowControl/>
                    <w:jc w:val="center"/>
                  </w:pPr>
                </w:p>
              </w:tc>
              <w:tc>
                <w:tcPr>
                  <w:tcW w:w="656" w:type="pct"/>
                  <w:tcBorders>
                    <w:top w:val="single" w:color="auto" w:sz="4"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固废处理</w:t>
                  </w:r>
                </w:p>
              </w:tc>
              <w:tc>
                <w:tcPr>
                  <w:tcW w:w="2816"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pPr>
                  <w:r>
                    <w:t>固废临时贮存设施、垃圾分类收集箱数套</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0.2</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316" w:hRule="atLeast"/>
              </w:trPr>
              <w:tc>
                <w:tcPr>
                  <w:tcW w:w="280" w:type="pct"/>
                  <w:vMerge w:val="continue"/>
                  <w:tcBorders>
                    <w:left w:val="single" w:color="auto" w:sz="2" w:space="0"/>
                    <w:right w:val="single" w:color="auto" w:sz="4" w:space="0"/>
                  </w:tcBorders>
                  <w:shd w:val="clear" w:color="auto" w:fill="auto"/>
                  <w:vAlign w:val="center"/>
                </w:tcPr>
                <w:p>
                  <w:pPr>
                    <w:widowControl/>
                    <w:jc w:val="center"/>
                  </w:pPr>
                </w:p>
              </w:tc>
              <w:tc>
                <w:tcPr>
                  <w:tcW w:w="656" w:type="pct"/>
                  <w:tcBorders>
                    <w:top w:val="single" w:color="auto" w:sz="2" w:space="0"/>
                    <w:left w:val="single" w:color="auto" w:sz="4" w:space="0"/>
                    <w:bottom w:val="single" w:color="auto" w:sz="4" w:space="0"/>
                    <w:right w:val="single" w:color="auto" w:sz="2" w:space="0"/>
                  </w:tcBorders>
                  <w:shd w:val="clear" w:color="auto" w:fill="auto"/>
                  <w:vAlign w:val="center"/>
                </w:tcPr>
                <w:p>
                  <w:pPr>
                    <w:widowControl/>
                    <w:jc w:val="center"/>
                  </w:pPr>
                  <w:r>
                    <w:rPr>
                      <w:rFonts w:hint="eastAsia"/>
                    </w:rPr>
                    <w:t>废气治理</w:t>
                  </w:r>
                </w:p>
              </w:tc>
              <w:tc>
                <w:tcPr>
                  <w:tcW w:w="2816"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EAG加热器1台、放散管立管基础、BOG回收装置</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5.0</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199" w:hRule="atLeast"/>
              </w:trPr>
              <w:tc>
                <w:tcPr>
                  <w:tcW w:w="280" w:type="pct"/>
                  <w:vMerge w:val="continue"/>
                  <w:tcBorders>
                    <w:left w:val="single" w:color="auto" w:sz="2" w:space="0"/>
                    <w:bottom w:val="single" w:color="auto" w:sz="4" w:space="0"/>
                    <w:right w:val="single" w:color="auto" w:sz="4" w:space="0"/>
                  </w:tcBorders>
                  <w:shd w:val="clear" w:color="auto" w:fill="auto"/>
                  <w:vAlign w:val="center"/>
                </w:tcPr>
                <w:p>
                  <w:pPr>
                    <w:widowControl/>
                    <w:jc w:val="center"/>
                  </w:pPr>
                </w:p>
              </w:tc>
              <w:tc>
                <w:tcPr>
                  <w:tcW w:w="656" w:type="pct"/>
                  <w:vMerge w:val="restart"/>
                  <w:tcBorders>
                    <w:top w:val="single" w:color="auto" w:sz="4" w:space="0"/>
                    <w:left w:val="single" w:color="auto" w:sz="4" w:space="0"/>
                    <w:right w:val="single" w:color="auto" w:sz="2" w:space="0"/>
                  </w:tcBorders>
                  <w:shd w:val="clear" w:color="auto" w:fill="auto"/>
                  <w:vAlign w:val="center"/>
                </w:tcPr>
                <w:p>
                  <w:pPr>
                    <w:widowControl/>
                    <w:jc w:val="center"/>
                  </w:pPr>
                  <w:r>
                    <w:rPr>
                      <w:rFonts w:hint="eastAsia"/>
                    </w:rPr>
                    <w:t>噪声治理</w:t>
                  </w:r>
                </w:p>
              </w:tc>
              <w:tc>
                <w:tcPr>
                  <w:tcW w:w="2816"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rPr>
                      <w:rFonts w:hint="eastAsia" w:eastAsia="宋体"/>
                      <w:lang w:eastAsia="zh-CN"/>
                    </w:rPr>
                  </w:pPr>
                  <w:r>
                    <w:rPr>
                      <w:rFonts w:hint="eastAsia"/>
                      <w:lang w:eastAsia="zh-CN"/>
                    </w:rPr>
                    <w:t>车辆噪声：加强管理，禁止鸣笛，保持道路通畅</w:t>
                  </w:r>
                </w:p>
              </w:tc>
              <w:tc>
                <w:tcPr>
                  <w:tcW w:w="722" w:type="pct"/>
                  <w:vMerge w:val="restart"/>
                  <w:tcBorders>
                    <w:top w:val="single" w:color="auto" w:sz="2" w:space="0"/>
                    <w:left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0.5</w:t>
                  </w:r>
                </w:p>
              </w:tc>
              <w:tc>
                <w:tcPr>
                  <w:tcW w:w="525" w:type="pct"/>
                  <w:vMerge w:val="restart"/>
                  <w:tcBorders>
                    <w:top w:val="single" w:color="auto" w:sz="2" w:space="0"/>
                    <w:left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99" w:hRule="atLeast"/>
              </w:trPr>
              <w:tc>
                <w:tcPr>
                  <w:tcW w:w="280" w:type="pct"/>
                  <w:vMerge w:val="continue"/>
                  <w:tcBorders>
                    <w:left w:val="single" w:color="auto" w:sz="2" w:space="0"/>
                    <w:bottom w:val="single" w:color="auto" w:sz="4" w:space="0"/>
                    <w:right w:val="single" w:color="auto" w:sz="4" w:space="0"/>
                  </w:tcBorders>
                  <w:shd w:val="clear" w:color="auto" w:fill="auto"/>
                  <w:vAlign w:val="center"/>
                </w:tcPr>
                <w:p>
                  <w:pPr>
                    <w:widowControl/>
                    <w:jc w:val="center"/>
                  </w:pPr>
                </w:p>
              </w:tc>
              <w:tc>
                <w:tcPr>
                  <w:tcW w:w="656" w:type="pct"/>
                  <w:vMerge w:val="continue"/>
                  <w:tcBorders>
                    <w:left w:val="single" w:color="auto" w:sz="4" w:space="0"/>
                    <w:bottom w:val="single" w:color="auto" w:sz="4" w:space="0"/>
                    <w:right w:val="single" w:color="auto" w:sz="2" w:space="0"/>
                  </w:tcBorders>
                  <w:shd w:val="clear" w:color="auto" w:fill="auto"/>
                  <w:vAlign w:val="center"/>
                </w:tcPr>
                <w:p>
                  <w:pPr>
                    <w:widowControl/>
                    <w:jc w:val="center"/>
                    <w:rPr>
                      <w:rFonts w:hint="eastAsia"/>
                    </w:rPr>
                  </w:pPr>
                </w:p>
              </w:tc>
              <w:tc>
                <w:tcPr>
                  <w:tcW w:w="2816" w:type="pct"/>
                  <w:tcBorders>
                    <w:top w:val="single" w:color="auto" w:sz="4" w:space="0"/>
                    <w:left w:val="single" w:color="auto" w:sz="2" w:space="0"/>
                    <w:bottom w:val="single" w:color="auto" w:sz="4" w:space="0"/>
                    <w:right w:val="single" w:color="auto" w:sz="2" w:space="0"/>
                  </w:tcBorders>
                  <w:shd w:val="clear" w:color="auto" w:fill="auto"/>
                  <w:vAlign w:val="center"/>
                </w:tcPr>
                <w:p>
                  <w:pPr>
                    <w:widowControl/>
                    <w:jc w:val="center"/>
                    <w:rPr>
                      <w:rFonts w:hint="eastAsia" w:eastAsia="宋体"/>
                      <w:lang w:eastAsia="zh-CN"/>
                    </w:rPr>
                  </w:pPr>
                  <w:r>
                    <w:rPr>
                      <w:rFonts w:hint="eastAsia"/>
                      <w:lang w:eastAsia="zh-CN"/>
                    </w:rPr>
                    <w:t>设备噪声：设备基础减震、建筑物隔声、距离衰减</w:t>
                  </w:r>
                </w:p>
              </w:tc>
              <w:tc>
                <w:tcPr>
                  <w:tcW w:w="722" w:type="pct"/>
                  <w:vMerge w:val="continue"/>
                  <w:tcBorders>
                    <w:left w:val="single" w:color="auto" w:sz="2" w:space="0"/>
                    <w:bottom w:val="single" w:color="auto" w:sz="4" w:space="0"/>
                    <w:right w:val="single" w:color="auto" w:sz="2" w:space="0"/>
                  </w:tcBorders>
                  <w:shd w:val="clear" w:color="auto" w:fill="auto"/>
                  <w:vAlign w:val="center"/>
                </w:tcPr>
                <w:p>
                  <w:pPr>
                    <w:widowControl/>
                    <w:jc w:val="center"/>
                  </w:pPr>
                </w:p>
              </w:tc>
              <w:tc>
                <w:tcPr>
                  <w:tcW w:w="525" w:type="pct"/>
                  <w:vMerge w:val="continue"/>
                  <w:tcBorders>
                    <w:left w:val="single" w:color="auto" w:sz="2" w:space="0"/>
                    <w:bottom w:val="single" w:color="auto" w:sz="4" w:space="0"/>
                    <w:right w:val="single" w:color="auto" w:sz="2" w:space="0"/>
                  </w:tcBorders>
                  <w:shd w:val="clear" w:color="auto" w:fill="auto"/>
                  <w:vAlign w:val="center"/>
                </w:tcPr>
                <w:p>
                  <w:pPr>
                    <w:widowControl/>
                    <w:jc w:val="center"/>
                    <w:rPr>
                      <w:rFonts w:hint="eastAsia"/>
                    </w:rPr>
                  </w:pPr>
                </w:p>
              </w:tc>
            </w:tr>
            <w:tr>
              <w:tblPrEx>
                <w:tblCellMar>
                  <w:top w:w="0" w:type="dxa"/>
                  <w:left w:w="108" w:type="dxa"/>
                  <w:bottom w:w="0" w:type="dxa"/>
                  <w:right w:w="108" w:type="dxa"/>
                </w:tblCellMar>
              </w:tblPrEx>
              <w:trPr>
                <w:trHeight w:val="223" w:hRule="atLeast"/>
              </w:trPr>
              <w:tc>
                <w:tcPr>
                  <w:tcW w:w="280" w:type="pct"/>
                  <w:vMerge w:val="continue"/>
                  <w:tcBorders>
                    <w:left w:val="single" w:color="auto" w:sz="2" w:space="0"/>
                    <w:bottom w:val="single" w:color="auto" w:sz="4" w:space="0"/>
                    <w:right w:val="single" w:color="auto" w:sz="4" w:space="0"/>
                  </w:tcBorders>
                  <w:shd w:val="clear" w:color="auto" w:fill="auto"/>
                  <w:vAlign w:val="center"/>
                </w:tcPr>
                <w:p>
                  <w:pPr>
                    <w:widowControl/>
                    <w:jc w:val="center"/>
                  </w:pPr>
                </w:p>
              </w:tc>
              <w:tc>
                <w:tcPr>
                  <w:tcW w:w="656" w:type="pct"/>
                  <w:tcBorders>
                    <w:top w:val="single" w:color="auto" w:sz="4" w:space="0"/>
                    <w:left w:val="single" w:color="auto" w:sz="4" w:space="0"/>
                    <w:bottom w:val="single" w:color="auto" w:sz="4" w:space="0"/>
                    <w:right w:val="single" w:color="auto" w:sz="2" w:space="0"/>
                  </w:tcBorders>
                  <w:shd w:val="clear" w:color="auto" w:fill="auto"/>
                  <w:vAlign w:val="center"/>
                </w:tcPr>
                <w:p>
                  <w:pPr>
                    <w:widowControl/>
                    <w:jc w:val="center"/>
                    <w:rPr>
                      <w:rFonts w:hint="eastAsia" w:eastAsia="宋体"/>
                      <w:lang w:eastAsia="zh-CN"/>
                    </w:rPr>
                  </w:pPr>
                  <w:r>
                    <w:rPr>
                      <w:rFonts w:hint="eastAsia"/>
                      <w:lang w:eastAsia="zh-CN"/>
                    </w:rPr>
                    <w:t>绿化</w:t>
                  </w:r>
                </w:p>
              </w:tc>
              <w:tc>
                <w:tcPr>
                  <w:tcW w:w="2816" w:type="pct"/>
                  <w:tcBorders>
                    <w:top w:val="single" w:color="auto" w:sz="4" w:space="0"/>
                    <w:left w:val="single" w:color="auto" w:sz="2" w:space="0"/>
                    <w:bottom w:val="single" w:color="auto" w:sz="2" w:space="0"/>
                    <w:right w:val="single" w:color="auto" w:sz="2" w:space="0"/>
                  </w:tcBorders>
                  <w:shd w:val="clear" w:color="auto" w:fill="auto"/>
                  <w:vAlign w:val="center"/>
                </w:tcPr>
                <w:p>
                  <w:pPr>
                    <w:widowControl/>
                    <w:jc w:val="center"/>
                    <w:rPr>
                      <w:rFonts w:hint="eastAsia"/>
                      <w:lang w:eastAsia="zh-CN"/>
                    </w:rPr>
                  </w:pPr>
                  <w:r>
                    <w:rPr>
                      <w:rFonts w:hint="eastAsia"/>
                      <w:lang w:eastAsia="zh-CN"/>
                    </w:rPr>
                    <w:t>绿化地坪</w:t>
                  </w:r>
                </w:p>
              </w:tc>
              <w:tc>
                <w:tcPr>
                  <w:tcW w:w="722" w:type="pct"/>
                  <w:tcBorders>
                    <w:top w:val="single" w:color="auto" w:sz="4"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26</w:t>
                  </w:r>
                </w:p>
              </w:tc>
              <w:tc>
                <w:tcPr>
                  <w:tcW w:w="525" w:type="pct"/>
                  <w:tcBorders>
                    <w:top w:val="single" w:color="auto" w:sz="4" w:space="0"/>
                    <w:left w:val="single" w:color="auto" w:sz="2" w:space="0"/>
                    <w:bottom w:val="single" w:color="auto" w:sz="2" w:space="0"/>
                    <w:right w:val="single" w:color="auto" w:sz="2" w:space="0"/>
                  </w:tcBorders>
                  <w:shd w:val="clear" w:color="auto" w:fill="auto"/>
                  <w:vAlign w:val="center"/>
                </w:tcPr>
                <w:p>
                  <w:pPr>
                    <w:widowControl/>
                    <w:jc w:val="center"/>
                    <w:rPr>
                      <w:rFonts w:hint="eastAsia" w:eastAsia="宋体"/>
                      <w:lang w:val="en-US" w:eastAsia="zh-CN"/>
                    </w:rPr>
                  </w:pPr>
                  <w:r>
                    <w:rPr>
                      <w:rFonts w:hint="eastAsia"/>
                      <w:lang w:val="en-US" w:eastAsia="zh-CN"/>
                    </w:rPr>
                    <w:t>/</w:t>
                  </w:r>
                </w:p>
              </w:tc>
            </w:tr>
            <w:tr>
              <w:tblPrEx>
                <w:tblCellMar>
                  <w:top w:w="0" w:type="dxa"/>
                  <w:left w:w="108" w:type="dxa"/>
                  <w:bottom w:w="0" w:type="dxa"/>
                  <w:right w:w="108" w:type="dxa"/>
                </w:tblCellMar>
              </w:tblPrEx>
              <w:trPr>
                <w:trHeight w:val="215" w:hRule="atLeast"/>
              </w:trPr>
              <w:tc>
                <w:tcPr>
                  <w:tcW w:w="936" w:type="pct"/>
                  <w:gridSpan w:val="2"/>
                  <w:tcBorders>
                    <w:top w:val="single" w:color="auto" w:sz="4" w:space="0"/>
                    <w:left w:val="single" w:color="auto" w:sz="2" w:space="0"/>
                    <w:right w:val="single" w:color="auto" w:sz="2" w:space="0"/>
                  </w:tcBorders>
                  <w:shd w:val="clear" w:color="auto" w:fill="auto"/>
                  <w:vAlign w:val="center"/>
                </w:tcPr>
                <w:p>
                  <w:pPr>
                    <w:widowControl/>
                    <w:jc w:val="center"/>
                    <w:rPr>
                      <w:rFonts w:hint="eastAsia" w:eastAsia="宋体"/>
                      <w:lang w:eastAsia="zh-CN"/>
                    </w:rPr>
                  </w:pPr>
                  <w:r>
                    <w:rPr>
                      <w:rFonts w:hint="eastAsia"/>
                      <w:lang w:eastAsia="zh-CN"/>
                    </w:rPr>
                    <w:t>地下水防渗</w:t>
                  </w:r>
                </w:p>
              </w:tc>
              <w:tc>
                <w:tcPr>
                  <w:tcW w:w="2816"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pPr>
                  <w:r>
                    <w:rPr>
                      <w:rFonts w:hint="eastAsia"/>
                    </w:rPr>
                    <w:t>LNG 撬装基础底面防渗（一般防渗区）</w:t>
                  </w:r>
                  <w:r>
                    <w:rPr>
                      <w:rFonts w:hint="eastAsia"/>
                      <w:lang w:eastAsia="zh-CN"/>
                    </w:rPr>
                    <w:t>和化粪池防渗</w:t>
                  </w:r>
                  <w:r>
                    <w:rPr>
                      <w:rFonts w:hint="eastAsia"/>
                    </w:rPr>
                    <w:t>，防渗系数 K≤1×10 -7 cm/s</w:t>
                  </w:r>
                </w:p>
              </w:tc>
              <w:tc>
                <w:tcPr>
                  <w:tcW w:w="722"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5.0</w:t>
                  </w:r>
                </w:p>
              </w:tc>
              <w:tc>
                <w:tcPr>
                  <w:tcW w:w="525" w:type="pct"/>
                  <w:tcBorders>
                    <w:top w:val="single" w:color="auto" w:sz="2" w:space="0"/>
                    <w:left w:val="single" w:color="auto" w:sz="2" w:space="0"/>
                    <w:bottom w:val="single" w:color="auto" w:sz="4"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316" w:hRule="atLeast"/>
              </w:trPr>
              <w:tc>
                <w:tcPr>
                  <w:tcW w:w="936" w:type="pct"/>
                  <w:gridSpan w:val="2"/>
                  <w:tcBorders>
                    <w:top w:val="single" w:color="auto" w:sz="4" w:space="0"/>
                    <w:left w:val="single" w:color="auto" w:sz="2" w:space="0"/>
                    <w:bottom w:val="single" w:color="auto" w:sz="4" w:space="0"/>
                    <w:right w:val="single" w:color="auto" w:sz="2" w:space="0"/>
                  </w:tcBorders>
                  <w:shd w:val="clear" w:color="auto" w:fill="auto"/>
                  <w:vAlign w:val="center"/>
                </w:tcPr>
                <w:p>
                  <w:pPr>
                    <w:widowControl/>
                    <w:jc w:val="center"/>
                  </w:pPr>
                  <w:r>
                    <w:rPr>
                      <w:rFonts w:hint="eastAsia"/>
                    </w:rPr>
                    <w:t>风险防范</w:t>
                  </w:r>
                </w:p>
              </w:tc>
              <w:tc>
                <w:tcPr>
                  <w:tcW w:w="2816"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环保管理、安全标志、消防器材配置等</w:t>
                  </w:r>
                </w:p>
              </w:tc>
              <w:tc>
                <w:tcPr>
                  <w:tcW w:w="722" w:type="pct"/>
                  <w:tcBorders>
                    <w:top w:val="single" w:color="auto" w:sz="4"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5.0</w:t>
                  </w:r>
                </w:p>
              </w:tc>
              <w:tc>
                <w:tcPr>
                  <w:tcW w:w="525" w:type="pct"/>
                  <w:tcBorders>
                    <w:top w:val="single" w:color="auto" w:sz="4"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316" w:hRule="atLeast"/>
              </w:trPr>
              <w:tc>
                <w:tcPr>
                  <w:tcW w:w="936" w:type="pct"/>
                  <w:gridSpan w:val="2"/>
                  <w:tcBorders>
                    <w:top w:val="single" w:color="auto" w:sz="4" w:space="0"/>
                    <w:left w:val="single" w:color="auto" w:sz="2" w:space="0"/>
                    <w:bottom w:val="single" w:color="auto" w:sz="4" w:space="0"/>
                    <w:right w:val="single" w:color="auto" w:sz="2" w:space="0"/>
                  </w:tcBorders>
                  <w:shd w:val="clear" w:color="auto" w:fill="auto"/>
                  <w:vAlign w:val="center"/>
                </w:tcPr>
                <w:p>
                  <w:pPr>
                    <w:widowControl/>
                    <w:jc w:val="center"/>
                    <w:rPr>
                      <w:rFonts w:hint="eastAsia" w:eastAsia="宋体"/>
                      <w:lang w:eastAsia="zh-CN"/>
                    </w:rPr>
                  </w:pPr>
                  <w:r>
                    <w:rPr>
                      <w:rFonts w:hint="eastAsia"/>
                      <w:lang w:eastAsia="zh-CN"/>
                    </w:rPr>
                    <w:t>监测计划</w:t>
                  </w:r>
                </w:p>
              </w:tc>
              <w:tc>
                <w:tcPr>
                  <w:tcW w:w="2816"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对项目废气、噪声、废水排放情况定期监测</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2.5</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r>
              <w:tblPrEx>
                <w:tblCellMar>
                  <w:top w:w="0" w:type="dxa"/>
                  <w:left w:w="108" w:type="dxa"/>
                  <w:bottom w:w="0" w:type="dxa"/>
                  <w:right w:w="108" w:type="dxa"/>
                </w:tblCellMar>
              </w:tblPrEx>
              <w:trPr>
                <w:trHeight w:val="322" w:hRule="atLeast"/>
              </w:trPr>
              <w:tc>
                <w:tcPr>
                  <w:tcW w:w="3752" w:type="pct"/>
                  <w:gridSpan w:val="3"/>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合计</w:t>
                  </w:r>
                </w:p>
              </w:tc>
              <w:tc>
                <w:tcPr>
                  <w:tcW w:w="722"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rPr>
                      <w:rFonts w:hint="default" w:eastAsia="宋体"/>
                      <w:lang w:val="en-US" w:eastAsia="zh-CN"/>
                    </w:rPr>
                  </w:pPr>
                  <w:r>
                    <w:rPr>
                      <w:rFonts w:hint="eastAsia"/>
                      <w:lang w:val="en-US" w:eastAsia="zh-CN"/>
                    </w:rPr>
                    <w:t>70.4</w:t>
                  </w:r>
                </w:p>
              </w:tc>
              <w:tc>
                <w:tcPr>
                  <w:tcW w:w="525" w:type="pct"/>
                  <w:tcBorders>
                    <w:top w:val="single" w:color="auto" w:sz="2" w:space="0"/>
                    <w:left w:val="single" w:color="auto" w:sz="2" w:space="0"/>
                    <w:bottom w:val="single" w:color="auto" w:sz="2" w:space="0"/>
                    <w:right w:val="single" w:color="auto" w:sz="2" w:space="0"/>
                  </w:tcBorders>
                  <w:shd w:val="clear" w:color="auto" w:fill="auto"/>
                  <w:vAlign w:val="center"/>
                </w:tcPr>
                <w:p>
                  <w:pPr>
                    <w:widowControl/>
                    <w:jc w:val="center"/>
                  </w:pPr>
                  <w:r>
                    <w:rPr>
                      <w:rFonts w:hint="eastAsia"/>
                    </w:rPr>
                    <w:t>/</w:t>
                  </w:r>
                </w:p>
              </w:tc>
            </w:tr>
          </w:tbl>
          <w:p>
            <w:pPr>
              <w:rPr>
                <w:rFonts w:eastAsiaTheme="minorEastAsia"/>
                <w:sz w:val="24"/>
              </w:rPr>
            </w:pPr>
          </w:p>
        </w:tc>
      </w:tr>
    </w:tbl>
    <w:p>
      <w:pPr>
        <w:pStyle w:val="4"/>
        <w:spacing w:before="0" w:after="0" w:line="240" w:lineRule="auto"/>
        <w:rPr>
          <w:rFonts w:ascii="Times New Roman" w:hAnsi="Times New Roman" w:eastAsiaTheme="minorEastAsia"/>
        </w:rPr>
      </w:pPr>
      <w:r>
        <w:rPr>
          <w:rFonts w:ascii="Times New Roman" w:hAnsi="Times New Roman" w:eastAsiaTheme="minorEastAsia"/>
          <w:b w:val="0"/>
          <w:sz w:val="30"/>
        </w:rPr>
        <w:br w:type="page"/>
      </w:r>
      <w:r>
        <w:rPr>
          <w:rFonts w:ascii="Times New Roman" w:hAnsi="Times New Roman" w:eastAsiaTheme="minorEastAsia"/>
        </w:rPr>
        <w:t>建设项目拟采取的防治措施及预期治理效果</w:t>
      </w:r>
      <w:bookmarkEnd w:id="25"/>
      <w:r>
        <w:rPr>
          <w:rFonts w:ascii="Times New Roman" w:hAnsi="Times New Roman" w:eastAsiaTheme="minorEastAsia"/>
        </w:rPr>
        <w:t xml:space="preserve">          （表八）</w:t>
      </w:r>
    </w:p>
    <w:tbl>
      <w:tblPr>
        <w:tblStyle w:val="29"/>
        <w:tblW w:w="941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21"/>
        <w:gridCol w:w="850"/>
        <w:gridCol w:w="1985"/>
        <w:gridCol w:w="3544"/>
        <w:gridCol w:w="201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Align w:val="center"/>
          </w:tcPr>
          <w:p>
            <w:pPr>
              <w:jc w:val="center"/>
              <w:rPr>
                <w:rFonts w:eastAsiaTheme="minorEastAsia"/>
                <w:b/>
                <w:bCs/>
                <w:szCs w:val="21"/>
              </w:rPr>
            </w:pPr>
            <w:r>
              <w:rPr>
                <w:rFonts w:eastAsiaTheme="minorEastAsia"/>
                <w:b/>
                <w:bCs/>
                <w:szCs w:val="21"/>
              </w:rPr>
              <w:t>内容类型</w:t>
            </w:r>
          </w:p>
        </w:tc>
        <w:tc>
          <w:tcPr>
            <w:tcW w:w="850" w:type="dxa"/>
            <w:vAlign w:val="center"/>
          </w:tcPr>
          <w:p>
            <w:pPr>
              <w:jc w:val="center"/>
              <w:rPr>
                <w:rFonts w:eastAsiaTheme="minorEastAsia"/>
                <w:b/>
                <w:bCs/>
                <w:szCs w:val="21"/>
              </w:rPr>
            </w:pPr>
            <w:r>
              <w:rPr>
                <w:rFonts w:eastAsiaTheme="minorEastAsia"/>
                <w:b/>
                <w:bCs/>
                <w:szCs w:val="21"/>
              </w:rPr>
              <w:t>排放源</w:t>
            </w:r>
          </w:p>
        </w:tc>
        <w:tc>
          <w:tcPr>
            <w:tcW w:w="1985" w:type="dxa"/>
            <w:vAlign w:val="center"/>
          </w:tcPr>
          <w:p>
            <w:pPr>
              <w:jc w:val="center"/>
              <w:rPr>
                <w:rFonts w:eastAsiaTheme="minorEastAsia"/>
                <w:b/>
                <w:bCs/>
                <w:szCs w:val="21"/>
              </w:rPr>
            </w:pPr>
            <w:r>
              <w:rPr>
                <w:rFonts w:eastAsiaTheme="minorEastAsia"/>
                <w:b/>
                <w:bCs/>
                <w:szCs w:val="21"/>
              </w:rPr>
              <w:t>污染物名称</w:t>
            </w:r>
          </w:p>
        </w:tc>
        <w:tc>
          <w:tcPr>
            <w:tcW w:w="3544" w:type="dxa"/>
            <w:tcBorders>
              <w:bottom w:val="single" w:color="auto" w:sz="4" w:space="0"/>
            </w:tcBorders>
            <w:vAlign w:val="center"/>
          </w:tcPr>
          <w:p>
            <w:pPr>
              <w:jc w:val="center"/>
              <w:rPr>
                <w:rFonts w:eastAsiaTheme="minorEastAsia"/>
                <w:b/>
                <w:bCs/>
                <w:szCs w:val="21"/>
              </w:rPr>
            </w:pPr>
            <w:r>
              <w:rPr>
                <w:rFonts w:eastAsiaTheme="minorEastAsia"/>
                <w:b/>
                <w:bCs/>
                <w:szCs w:val="21"/>
              </w:rPr>
              <w:t>防治措施</w:t>
            </w:r>
          </w:p>
        </w:tc>
        <w:tc>
          <w:tcPr>
            <w:tcW w:w="2010" w:type="dxa"/>
            <w:tcBorders>
              <w:bottom w:val="single" w:color="auto" w:sz="4" w:space="0"/>
            </w:tcBorders>
            <w:vAlign w:val="center"/>
          </w:tcPr>
          <w:p>
            <w:pPr>
              <w:jc w:val="center"/>
              <w:rPr>
                <w:rFonts w:eastAsiaTheme="minorEastAsia"/>
                <w:b/>
                <w:bCs/>
                <w:szCs w:val="21"/>
              </w:rPr>
            </w:pPr>
            <w:r>
              <w:rPr>
                <w:rFonts w:eastAsiaTheme="minorEastAsia"/>
                <w:b/>
                <w:bCs/>
                <w:szCs w:val="21"/>
              </w:rPr>
              <w:t>预期治理效果</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restart"/>
            <w:vAlign w:val="center"/>
          </w:tcPr>
          <w:p>
            <w:pPr>
              <w:jc w:val="center"/>
              <w:rPr>
                <w:rFonts w:eastAsiaTheme="minorEastAsia"/>
                <w:szCs w:val="21"/>
              </w:rPr>
            </w:pPr>
            <w:r>
              <w:rPr>
                <w:rFonts w:eastAsiaTheme="minorEastAsia"/>
                <w:szCs w:val="21"/>
              </w:rPr>
              <w:t>大气</w:t>
            </w:r>
          </w:p>
          <w:p>
            <w:pPr>
              <w:jc w:val="center"/>
              <w:rPr>
                <w:rFonts w:eastAsiaTheme="minorEastAsia"/>
                <w:szCs w:val="21"/>
              </w:rPr>
            </w:pPr>
            <w:r>
              <w:rPr>
                <w:rFonts w:eastAsiaTheme="minorEastAsia"/>
                <w:szCs w:val="21"/>
              </w:rPr>
              <w:t>污染物</w:t>
            </w:r>
          </w:p>
        </w:tc>
        <w:tc>
          <w:tcPr>
            <w:tcW w:w="850" w:type="dxa"/>
            <w:vAlign w:val="center"/>
          </w:tcPr>
          <w:p>
            <w:pPr>
              <w:jc w:val="center"/>
              <w:rPr>
                <w:rFonts w:eastAsiaTheme="minorEastAsia"/>
                <w:szCs w:val="21"/>
              </w:rPr>
            </w:pPr>
            <w:r>
              <w:rPr>
                <w:rFonts w:eastAsiaTheme="minorEastAsia"/>
                <w:szCs w:val="21"/>
              </w:rPr>
              <w:t>施工期</w:t>
            </w:r>
          </w:p>
        </w:tc>
        <w:tc>
          <w:tcPr>
            <w:tcW w:w="1985" w:type="dxa"/>
            <w:tcBorders>
              <w:bottom w:val="single" w:color="000000" w:sz="2" w:space="0"/>
            </w:tcBorders>
            <w:vAlign w:val="center"/>
          </w:tcPr>
          <w:p>
            <w:pPr>
              <w:jc w:val="center"/>
              <w:rPr>
                <w:rFonts w:eastAsiaTheme="minorEastAsia"/>
                <w:szCs w:val="21"/>
              </w:rPr>
            </w:pPr>
            <w:r>
              <w:rPr>
                <w:rFonts w:eastAsiaTheme="minorEastAsia"/>
                <w:szCs w:val="21"/>
              </w:rPr>
              <w:t>施工扬尘</w:t>
            </w:r>
          </w:p>
        </w:tc>
        <w:tc>
          <w:tcPr>
            <w:tcW w:w="3544" w:type="dxa"/>
            <w:tcBorders>
              <w:bottom w:val="single" w:color="000000" w:sz="2" w:space="0"/>
            </w:tcBorders>
            <w:vAlign w:val="center"/>
          </w:tcPr>
          <w:p>
            <w:pPr>
              <w:jc w:val="both"/>
              <w:rPr>
                <w:rFonts w:hint="eastAsia" w:eastAsiaTheme="minorEastAsia"/>
                <w:szCs w:val="21"/>
                <w:lang w:val="en-US" w:eastAsia="zh-CN"/>
              </w:rPr>
            </w:pPr>
            <w:r>
              <w:rPr>
                <w:rFonts w:eastAsiaTheme="minorEastAsia"/>
                <w:szCs w:val="21"/>
              </w:rPr>
              <w:t>避免大风天气作业，设置扬尘防护网，采取洒水抑尘等</w:t>
            </w:r>
            <w:r>
              <w:rPr>
                <w:rFonts w:hint="eastAsia" w:eastAsiaTheme="minorEastAsia"/>
                <w:szCs w:val="21"/>
                <w:lang w:eastAsia="zh-CN"/>
              </w:rPr>
              <w:t>，且随施工期的结束而消失</w:t>
            </w:r>
          </w:p>
        </w:tc>
        <w:tc>
          <w:tcPr>
            <w:tcW w:w="2010" w:type="dxa"/>
            <w:vAlign w:val="center"/>
          </w:tcPr>
          <w:p>
            <w:pPr>
              <w:jc w:val="center"/>
              <w:rPr>
                <w:rFonts w:eastAsiaTheme="minorEastAsia"/>
                <w:szCs w:val="21"/>
              </w:rPr>
            </w:pPr>
            <w:r>
              <w:rPr>
                <w:rFonts w:eastAsiaTheme="minorEastAsia"/>
                <w:szCs w:val="21"/>
              </w:rPr>
              <w:t>对施工区域周围的大气环境影响较小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vMerge w:val="restart"/>
            <w:vAlign w:val="center"/>
          </w:tcPr>
          <w:p>
            <w:pPr>
              <w:jc w:val="center"/>
              <w:rPr>
                <w:rFonts w:eastAsiaTheme="minorEastAsia"/>
                <w:szCs w:val="21"/>
              </w:rPr>
            </w:pPr>
            <w:r>
              <w:rPr>
                <w:rFonts w:eastAsiaTheme="minorEastAsia"/>
                <w:szCs w:val="21"/>
              </w:rPr>
              <w:t>运营期</w:t>
            </w:r>
          </w:p>
        </w:tc>
        <w:tc>
          <w:tcPr>
            <w:tcW w:w="1985" w:type="dxa"/>
            <w:vAlign w:val="center"/>
          </w:tcPr>
          <w:p>
            <w:pPr>
              <w:jc w:val="center"/>
              <w:rPr>
                <w:rFonts w:hint="eastAsia" w:eastAsiaTheme="minorEastAsia"/>
                <w:szCs w:val="21"/>
                <w:lang w:eastAsia="zh-CN"/>
              </w:rPr>
            </w:pPr>
            <w:r>
              <w:rPr>
                <w:rFonts w:hint="eastAsia" w:eastAsiaTheme="minorEastAsia"/>
                <w:szCs w:val="21"/>
                <w:lang w:eastAsia="zh-CN"/>
              </w:rPr>
              <w:t>汽车尾气</w:t>
            </w:r>
          </w:p>
        </w:tc>
        <w:tc>
          <w:tcPr>
            <w:tcW w:w="3544" w:type="dxa"/>
            <w:vAlign w:val="center"/>
          </w:tcPr>
          <w:p>
            <w:pPr>
              <w:jc w:val="center"/>
              <w:rPr>
                <w:rFonts w:hint="eastAsia" w:eastAsiaTheme="minorEastAsia"/>
                <w:szCs w:val="21"/>
                <w:lang w:eastAsia="zh-CN"/>
              </w:rPr>
            </w:pPr>
            <w:r>
              <w:rPr>
                <w:rFonts w:hint="eastAsia" w:eastAsiaTheme="minorEastAsia"/>
                <w:szCs w:val="21"/>
                <w:lang w:eastAsia="zh-CN"/>
              </w:rPr>
              <w:t>尾气排放量较少</w:t>
            </w:r>
          </w:p>
        </w:tc>
        <w:tc>
          <w:tcPr>
            <w:tcW w:w="2010" w:type="dxa"/>
            <w:vMerge w:val="restart"/>
            <w:tcBorders>
              <w:top w:val="single" w:color="auto" w:sz="4" w:space="0"/>
            </w:tcBorders>
            <w:vAlign w:val="center"/>
          </w:tcPr>
          <w:p>
            <w:pPr>
              <w:jc w:val="center"/>
              <w:rPr>
                <w:rFonts w:eastAsiaTheme="minorEastAsia"/>
                <w:szCs w:val="21"/>
              </w:rPr>
            </w:pPr>
            <w:r>
              <w:rPr>
                <w:rFonts w:eastAsiaTheme="minorEastAsia"/>
                <w:szCs w:val="21"/>
              </w:rPr>
              <w:t>对周围大气环境影响较小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vMerge w:val="continue"/>
            <w:vAlign w:val="center"/>
          </w:tcPr>
          <w:p>
            <w:pPr>
              <w:jc w:val="center"/>
              <w:rPr>
                <w:rFonts w:eastAsiaTheme="minorEastAsia"/>
                <w:szCs w:val="21"/>
              </w:rPr>
            </w:pPr>
          </w:p>
        </w:tc>
        <w:tc>
          <w:tcPr>
            <w:tcW w:w="1985" w:type="dxa"/>
            <w:vAlign w:val="center"/>
          </w:tcPr>
          <w:p>
            <w:pPr>
              <w:jc w:val="center"/>
              <w:rPr>
                <w:rFonts w:hint="eastAsia" w:eastAsiaTheme="minorEastAsia"/>
                <w:szCs w:val="21"/>
                <w:lang w:eastAsia="zh-CN"/>
              </w:rPr>
            </w:pPr>
            <w:r>
              <w:rPr>
                <w:rFonts w:hint="eastAsia" w:eastAsiaTheme="minorEastAsia"/>
                <w:szCs w:val="21"/>
                <w:lang w:eastAsia="zh-CN"/>
              </w:rPr>
              <w:t>加气区、储罐区</w:t>
            </w:r>
          </w:p>
        </w:tc>
        <w:tc>
          <w:tcPr>
            <w:tcW w:w="3544" w:type="dxa"/>
            <w:vAlign w:val="center"/>
          </w:tcPr>
          <w:p>
            <w:pPr>
              <w:jc w:val="center"/>
              <w:rPr>
                <w:rFonts w:hint="eastAsia" w:eastAsiaTheme="minorEastAsia"/>
                <w:szCs w:val="21"/>
              </w:rPr>
            </w:pPr>
            <w:r>
              <w:rPr>
                <w:rFonts w:hint="eastAsia" w:eastAsiaTheme="minorEastAsia"/>
                <w:szCs w:val="21"/>
                <w:lang w:eastAsia="zh-CN"/>
              </w:rPr>
              <w:t>非甲烷总烃：</w:t>
            </w:r>
            <w:r>
              <w:rPr>
                <w:rFonts w:hint="eastAsia" w:eastAsiaTheme="minorEastAsia"/>
                <w:szCs w:val="21"/>
              </w:rPr>
              <w:t>加气系统均为封闭状态，逸漏量很少，且为无组织排放。站场异常超压及设备检修排放的天然气，送到</w:t>
            </w:r>
          </w:p>
          <w:p>
            <w:pPr>
              <w:jc w:val="center"/>
              <w:rPr>
                <w:rFonts w:eastAsiaTheme="minorEastAsia"/>
                <w:szCs w:val="21"/>
              </w:rPr>
            </w:pPr>
            <w:r>
              <w:rPr>
                <w:rFonts w:hint="eastAsia" w:eastAsiaTheme="minorEastAsia"/>
                <w:szCs w:val="21"/>
              </w:rPr>
              <w:t>站外放散管集中排放。</w:t>
            </w:r>
          </w:p>
        </w:tc>
        <w:tc>
          <w:tcPr>
            <w:tcW w:w="2010" w:type="dxa"/>
            <w:vMerge w:val="continue"/>
            <w:vAlign w:val="center"/>
          </w:tcPr>
          <w:p>
            <w:pPr>
              <w:jc w:val="center"/>
              <w:rPr>
                <w:rFonts w:eastAsiaTheme="minorEastAsia"/>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restart"/>
            <w:vAlign w:val="center"/>
          </w:tcPr>
          <w:p>
            <w:pPr>
              <w:jc w:val="center"/>
              <w:rPr>
                <w:rFonts w:eastAsiaTheme="minorEastAsia"/>
                <w:szCs w:val="21"/>
              </w:rPr>
            </w:pPr>
            <w:r>
              <w:rPr>
                <w:rFonts w:eastAsiaTheme="minorEastAsia"/>
                <w:szCs w:val="21"/>
              </w:rPr>
              <w:t>水污染物</w:t>
            </w:r>
          </w:p>
        </w:tc>
        <w:tc>
          <w:tcPr>
            <w:tcW w:w="850" w:type="dxa"/>
            <w:vAlign w:val="center"/>
          </w:tcPr>
          <w:p>
            <w:pPr>
              <w:jc w:val="center"/>
              <w:rPr>
                <w:rFonts w:eastAsiaTheme="minorEastAsia"/>
                <w:szCs w:val="21"/>
              </w:rPr>
            </w:pPr>
            <w:r>
              <w:rPr>
                <w:rFonts w:eastAsiaTheme="minorEastAsia"/>
                <w:szCs w:val="21"/>
              </w:rPr>
              <w:t>施工期</w:t>
            </w:r>
          </w:p>
        </w:tc>
        <w:tc>
          <w:tcPr>
            <w:tcW w:w="1985" w:type="dxa"/>
            <w:tcBorders>
              <w:bottom w:val="single" w:color="auto" w:sz="4" w:space="0"/>
            </w:tcBorders>
            <w:vAlign w:val="center"/>
          </w:tcPr>
          <w:p>
            <w:pPr>
              <w:jc w:val="center"/>
              <w:rPr>
                <w:rFonts w:eastAsiaTheme="minorEastAsia"/>
                <w:szCs w:val="21"/>
              </w:rPr>
            </w:pPr>
            <w:r>
              <w:rPr>
                <w:rFonts w:eastAsiaTheme="minorEastAsia"/>
                <w:szCs w:val="21"/>
              </w:rPr>
              <w:t>施工人员生活污水</w:t>
            </w:r>
          </w:p>
        </w:tc>
        <w:tc>
          <w:tcPr>
            <w:tcW w:w="3544" w:type="dxa"/>
            <w:tcBorders>
              <w:bottom w:val="single" w:color="auto" w:sz="4" w:space="0"/>
            </w:tcBorders>
            <w:vAlign w:val="center"/>
          </w:tcPr>
          <w:p>
            <w:pPr>
              <w:jc w:val="center"/>
              <w:rPr>
                <w:rFonts w:eastAsiaTheme="minorEastAsia"/>
                <w:szCs w:val="21"/>
              </w:rPr>
            </w:pPr>
            <w:r>
              <w:rPr>
                <w:rFonts w:eastAsiaTheme="minorEastAsia"/>
                <w:szCs w:val="21"/>
              </w:rPr>
              <w:t>利用周边农户旱厕收集作农肥用，不外排</w:t>
            </w:r>
          </w:p>
        </w:tc>
        <w:tc>
          <w:tcPr>
            <w:tcW w:w="2010" w:type="dxa"/>
            <w:vMerge w:val="restart"/>
            <w:vAlign w:val="center"/>
          </w:tcPr>
          <w:p>
            <w:pPr>
              <w:jc w:val="center"/>
              <w:rPr>
                <w:rFonts w:eastAsiaTheme="minorEastAsia"/>
                <w:szCs w:val="21"/>
              </w:rPr>
            </w:pPr>
            <w:r>
              <w:rPr>
                <w:rFonts w:eastAsiaTheme="minorEastAsia"/>
                <w:szCs w:val="21"/>
              </w:rPr>
              <w:t>对地表水环境影响较小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vMerge w:val="restart"/>
            <w:tcBorders>
              <w:top w:val="single" w:color="auto" w:sz="4" w:space="0"/>
            </w:tcBorders>
            <w:vAlign w:val="center"/>
          </w:tcPr>
          <w:p>
            <w:pPr>
              <w:jc w:val="center"/>
              <w:rPr>
                <w:rFonts w:eastAsiaTheme="minorEastAsia"/>
                <w:szCs w:val="21"/>
              </w:rPr>
            </w:pPr>
            <w:r>
              <w:rPr>
                <w:rFonts w:eastAsiaTheme="minorEastAsia"/>
                <w:szCs w:val="21"/>
              </w:rPr>
              <w:t>运营期</w:t>
            </w:r>
          </w:p>
        </w:tc>
        <w:tc>
          <w:tcPr>
            <w:tcW w:w="1985" w:type="dxa"/>
            <w:tcBorders>
              <w:top w:val="single" w:color="auto" w:sz="4" w:space="0"/>
              <w:bottom w:val="single" w:color="000000" w:sz="2" w:space="0"/>
            </w:tcBorders>
            <w:vAlign w:val="center"/>
          </w:tcPr>
          <w:p>
            <w:pPr>
              <w:jc w:val="center"/>
              <w:rPr>
                <w:rFonts w:eastAsiaTheme="minorEastAsia"/>
                <w:szCs w:val="21"/>
              </w:rPr>
            </w:pPr>
            <w:r>
              <w:rPr>
                <w:rFonts w:hint="eastAsia" w:eastAsiaTheme="minorEastAsia"/>
                <w:szCs w:val="21"/>
              </w:rPr>
              <w:t>生活废水</w:t>
            </w:r>
          </w:p>
        </w:tc>
        <w:tc>
          <w:tcPr>
            <w:tcW w:w="3544" w:type="dxa"/>
            <w:tcBorders>
              <w:top w:val="single" w:color="auto" w:sz="4" w:space="0"/>
              <w:bottom w:val="single" w:color="000000" w:sz="2" w:space="0"/>
            </w:tcBorders>
            <w:vAlign w:val="center"/>
          </w:tcPr>
          <w:p>
            <w:pPr>
              <w:jc w:val="center"/>
              <w:rPr>
                <w:rFonts w:eastAsiaTheme="minorEastAsia"/>
                <w:szCs w:val="21"/>
              </w:rPr>
            </w:pPr>
            <w:r>
              <w:rPr>
                <w:rFonts w:hint="eastAsia" w:eastAsiaTheme="minorEastAsia"/>
                <w:szCs w:val="21"/>
                <w:lang w:eastAsia="zh-CN"/>
              </w:rPr>
              <w:t>修建化粪池，经</w:t>
            </w:r>
            <w:r>
              <w:rPr>
                <w:rFonts w:hint="eastAsia" w:eastAsiaTheme="minorEastAsia"/>
                <w:szCs w:val="21"/>
              </w:rPr>
              <w:t>化粪池处理后用作周边农肥不外排</w:t>
            </w:r>
          </w:p>
        </w:tc>
        <w:tc>
          <w:tcPr>
            <w:tcW w:w="2010" w:type="dxa"/>
            <w:vMerge w:val="continue"/>
            <w:vAlign w:val="center"/>
          </w:tcPr>
          <w:p>
            <w:pPr>
              <w:jc w:val="center"/>
              <w:rPr>
                <w:rFonts w:eastAsiaTheme="minorEastAsia"/>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vMerge w:val="continue"/>
            <w:vAlign w:val="center"/>
          </w:tcPr>
          <w:p>
            <w:pPr>
              <w:jc w:val="center"/>
              <w:rPr>
                <w:rFonts w:eastAsiaTheme="minorEastAsia"/>
                <w:szCs w:val="21"/>
              </w:rPr>
            </w:pPr>
          </w:p>
        </w:tc>
        <w:tc>
          <w:tcPr>
            <w:tcW w:w="1985" w:type="dxa"/>
            <w:tcBorders>
              <w:top w:val="single" w:color="auto" w:sz="4" w:space="0"/>
              <w:bottom w:val="single" w:color="000000" w:sz="2" w:space="0"/>
            </w:tcBorders>
            <w:vAlign w:val="center"/>
          </w:tcPr>
          <w:p>
            <w:pPr>
              <w:jc w:val="center"/>
              <w:rPr>
                <w:rFonts w:eastAsiaTheme="minorEastAsia"/>
                <w:szCs w:val="21"/>
              </w:rPr>
            </w:pPr>
            <w:r>
              <w:rPr>
                <w:rFonts w:hint="eastAsia" w:eastAsiaTheme="minorEastAsia"/>
                <w:szCs w:val="21"/>
                <w:lang w:eastAsia="zh-CN"/>
              </w:rPr>
              <w:t>地面</w:t>
            </w:r>
            <w:r>
              <w:rPr>
                <w:rFonts w:hint="eastAsia" w:eastAsiaTheme="minorEastAsia"/>
                <w:szCs w:val="21"/>
              </w:rPr>
              <w:t>冲洗废水</w:t>
            </w:r>
          </w:p>
        </w:tc>
        <w:tc>
          <w:tcPr>
            <w:tcW w:w="3544" w:type="dxa"/>
            <w:tcBorders>
              <w:top w:val="single" w:color="auto" w:sz="4" w:space="0"/>
              <w:bottom w:val="single" w:color="000000" w:sz="2" w:space="0"/>
            </w:tcBorders>
            <w:vAlign w:val="center"/>
          </w:tcPr>
          <w:p>
            <w:pPr>
              <w:jc w:val="center"/>
              <w:rPr>
                <w:rFonts w:eastAsiaTheme="minorEastAsia"/>
                <w:szCs w:val="21"/>
              </w:rPr>
            </w:pPr>
            <w:r>
              <w:rPr>
                <w:rFonts w:hint="eastAsia" w:eastAsiaTheme="minorEastAsia"/>
                <w:szCs w:val="21"/>
                <w:lang w:eastAsia="zh-CN"/>
              </w:rPr>
              <w:t>站区设置沉淀池，</w:t>
            </w:r>
            <w:r>
              <w:rPr>
                <w:rFonts w:hint="eastAsia" w:eastAsiaTheme="minorEastAsia"/>
                <w:szCs w:val="21"/>
              </w:rPr>
              <w:t>经沉淀池处理后循环使用不外排</w:t>
            </w:r>
          </w:p>
        </w:tc>
        <w:tc>
          <w:tcPr>
            <w:tcW w:w="2010" w:type="dxa"/>
            <w:vMerge w:val="continue"/>
            <w:vAlign w:val="center"/>
          </w:tcPr>
          <w:p>
            <w:pPr>
              <w:jc w:val="center"/>
              <w:rPr>
                <w:rFonts w:eastAsiaTheme="minorEastAsia"/>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restart"/>
            <w:vAlign w:val="center"/>
          </w:tcPr>
          <w:p>
            <w:pPr>
              <w:jc w:val="center"/>
              <w:rPr>
                <w:rFonts w:eastAsiaTheme="minorEastAsia"/>
                <w:szCs w:val="21"/>
              </w:rPr>
            </w:pPr>
            <w:r>
              <w:rPr>
                <w:rFonts w:eastAsiaTheme="minorEastAsia"/>
                <w:szCs w:val="21"/>
              </w:rPr>
              <w:t>噪声</w:t>
            </w:r>
          </w:p>
        </w:tc>
        <w:tc>
          <w:tcPr>
            <w:tcW w:w="850" w:type="dxa"/>
            <w:tcBorders>
              <w:bottom w:val="single" w:color="auto" w:sz="4" w:space="0"/>
            </w:tcBorders>
            <w:vAlign w:val="center"/>
          </w:tcPr>
          <w:p>
            <w:pPr>
              <w:jc w:val="center"/>
              <w:rPr>
                <w:rFonts w:eastAsiaTheme="minorEastAsia"/>
                <w:szCs w:val="21"/>
              </w:rPr>
            </w:pPr>
            <w:r>
              <w:rPr>
                <w:rFonts w:eastAsiaTheme="minorEastAsia"/>
                <w:szCs w:val="21"/>
              </w:rPr>
              <w:t>施工期</w:t>
            </w:r>
          </w:p>
        </w:tc>
        <w:tc>
          <w:tcPr>
            <w:tcW w:w="1985" w:type="dxa"/>
            <w:tcBorders>
              <w:bottom w:val="single" w:color="auto" w:sz="4" w:space="0"/>
            </w:tcBorders>
            <w:vAlign w:val="center"/>
          </w:tcPr>
          <w:p>
            <w:pPr>
              <w:jc w:val="center"/>
              <w:rPr>
                <w:rFonts w:eastAsiaTheme="minorEastAsia"/>
                <w:szCs w:val="21"/>
              </w:rPr>
            </w:pPr>
            <w:r>
              <w:rPr>
                <w:rFonts w:eastAsiaTheme="minorEastAsia"/>
                <w:szCs w:val="21"/>
              </w:rPr>
              <w:t>机械设备、车辆</w:t>
            </w:r>
          </w:p>
        </w:tc>
        <w:tc>
          <w:tcPr>
            <w:tcW w:w="3544" w:type="dxa"/>
            <w:tcBorders>
              <w:bottom w:val="single" w:color="auto" w:sz="4" w:space="0"/>
            </w:tcBorders>
            <w:vAlign w:val="center"/>
          </w:tcPr>
          <w:p>
            <w:pPr>
              <w:jc w:val="center"/>
              <w:rPr>
                <w:rFonts w:eastAsiaTheme="minorEastAsia"/>
                <w:szCs w:val="21"/>
              </w:rPr>
            </w:pPr>
            <w:r>
              <w:rPr>
                <w:rFonts w:eastAsiaTheme="minorEastAsia"/>
                <w:szCs w:val="21"/>
              </w:rPr>
              <w:t>合理安排施工时间，避免夜间施工，选用低噪声的设备；合理安排噪声设备位置；同时做好与受影响的居民的协调工作</w:t>
            </w:r>
          </w:p>
        </w:tc>
        <w:tc>
          <w:tcPr>
            <w:tcW w:w="2010" w:type="dxa"/>
            <w:tcBorders>
              <w:bottom w:val="single" w:color="auto" w:sz="4" w:space="0"/>
            </w:tcBorders>
            <w:vAlign w:val="center"/>
          </w:tcPr>
          <w:p>
            <w:pPr>
              <w:jc w:val="center"/>
              <w:rPr>
                <w:rFonts w:hint="eastAsia" w:eastAsiaTheme="minorEastAsia"/>
                <w:szCs w:val="21"/>
              </w:rPr>
            </w:pPr>
            <w:r>
              <w:rPr>
                <w:rFonts w:hint="eastAsia" w:eastAsiaTheme="minorEastAsia"/>
                <w:szCs w:val="21"/>
              </w:rPr>
              <w:t>满足《建筑施工场</w:t>
            </w:r>
          </w:p>
          <w:p>
            <w:pPr>
              <w:jc w:val="center"/>
              <w:rPr>
                <w:rFonts w:hint="eastAsia" w:eastAsiaTheme="minorEastAsia"/>
                <w:szCs w:val="21"/>
              </w:rPr>
            </w:pPr>
            <w:r>
              <w:rPr>
                <w:rFonts w:hint="eastAsia" w:eastAsiaTheme="minorEastAsia"/>
                <w:szCs w:val="21"/>
              </w:rPr>
              <w:t>界 噪 声 限 值 》</w:t>
            </w:r>
          </w:p>
          <w:p>
            <w:pPr>
              <w:jc w:val="center"/>
              <w:rPr>
                <w:rFonts w:eastAsiaTheme="minorEastAsia"/>
                <w:szCs w:val="21"/>
              </w:rPr>
            </w:pPr>
            <w:r>
              <w:rPr>
                <w:rFonts w:hint="eastAsia" w:eastAsiaTheme="minorEastAsia"/>
                <w:szCs w:val="21"/>
              </w:rPr>
              <w:t>GB12523-2011 标准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tcBorders>
              <w:top w:val="single" w:color="auto" w:sz="4" w:space="0"/>
              <w:bottom w:val="single" w:color="000000" w:sz="2" w:space="0"/>
            </w:tcBorders>
            <w:vAlign w:val="center"/>
          </w:tcPr>
          <w:p>
            <w:pPr>
              <w:jc w:val="center"/>
              <w:rPr>
                <w:rFonts w:eastAsiaTheme="minorEastAsia"/>
                <w:szCs w:val="21"/>
              </w:rPr>
            </w:pPr>
            <w:r>
              <w:rPr>
                <w:rFonts w:eastAsiaTheme="minorEastAsia"/>
                <w:szCs w:val="21"/>
              </w:rPr>
              <w:t>运营期</w:t>
            </w:r>
          </w:p>
        </w:tc>
        <w:tc>
          <w:tcPr>
            <w:tcW w:w="1985" w:type="dxa"/>
            <w:tcBorders>
              <w:top w:val="single" w:color="auto" w:sz="4" w:space="0"/>
              <w:bottom w:val="single" w:color="000000" w:sz="2" w:space="0"/>
            </w:tcBorders>
            <w:vAlign w:val="center"/>
          </w:tcPr>
          <w:p>
            <w:pPr>
              <w:jc w:val="center"/>
              <w:rPr>
                <w:rFonts w:hint="eastAsia" w:eastAsiaTheme="minorEastAsia"/>
                <w:szCs w:val="21"/>
                <w:lang w:eastAsia="zh-CN"/>
              </w:rPr>
            </w:pPr>
            <w:r>
              <w:rPr>
                <w:rFonts w:hint="eastAsia" w:eastAsiaTheme="minorEastAsia"/>
                <w:szCs w:val="21"/>
                <w:lang w:eastAsia="zh-CN"/>
              </w:rPr>
              <w:t>设备及车辆噪声</w:t>
            </w:r>
          </w:p>
        </w:tc>
        <w:tc>
          <w:tcPr>
            <w:tcW w:w="3544" w:type="dxa"/>
            <w:tcBorders>
              <w:top w:val="single" w:color="auto" w:sz="4" w:space="0"/>
              <w:bottom w:val="single" w:color="auto" w:sz="4" w:space="0"/>
            </w:tcBorders>
            <w:vAlign w:val="center"/>
          </w:tcPr>
          <w:p>
            <w:pPr>
              <w:jc w:val="center"/>
              <w:rPr>
                <w:rFonts w:hint="eastAsia" w:eastAsiaTheme="minorEastAsia"/>
                <w:szCs w:val="21"/>
                <w:lang w:eastAsia="zh-CN"/>
              </w:rPr>
            </w:pPr>
            <w:r>
              <w:rPr>
                <w:rFonts w:hint="eastAsia" w:eastAsiaTheme="minorEastAsia"/>
                <w:szCs w:val="21"/>
                <w:lang w:eastAsia="zh-CN"/>
              </w:rPr>
              <w:t>进行厂房隔声、吸声、减震、绿化、距离衰减等措施处理。</w:t>
            </w:r>
          </w:p>
        </w:tc>
        <w:tc>
          <w:tcPr>
            <w:tcW w:w="2010" w:type="dxa"/>
            <w:tcBorders>
              <w:top w:val="single" w:color="auto" w:sz="4" w:space="0"/>
              <w:bottom w:val="single" w:color="auto" w:sz="4" w:space="0"/>
            </w:tcBorders>
            <w:vAlign w:val="center"/>
          </w:tcPr>
          <w:p>
            <w:pPr>
              <w:jc w:val="center"/>
              <w:rPr>
                <w:rFonts w:eastAsiaTheme="minorEastAsia"/>
                <w:szCs w:val="21"/>
              </w:rPr>
            </w:pPr>
            <w:r>
              <w:rPr>
                <w:rFonts w:eastAsiaTheme="minorEastAsia"/>
                <w:szCs w:val="21"/>
              </w:rPr>
              <w:t>不会对区域声环境产生明显不利影响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restart"/>
            <w:vAlign w:val="center"/>
          </w:tcPr>
          <w:p>
            <w:pPr>
              <w:jc w:val="center"/>
              <w:rPr>
                <w:rFonts w:eastAsiaTheme="minorEastAsia"/>
                <w:szCs w:val="21"/>
              </w:rPr>
            </w:pPr>
            <w:r>
              <w:rPr>
                <w:rFonts w:eastAsiaTheme="minorEastAsia"/>
                <w:szCs w:val="21"/>
              </w:rPr>
              <w:t>固体废物</w:t>
            </w:r>
          </w:p>
        </w:tc>
        <w:tc>
          <w:tcPr>
            <w:tcW w:w="850" w:type="dxa"/>
            <w:vMerge w:val="restart"/>
            <w:tcBorders>
              <w:top w:val="single" w:color="auto" w:sz="4" w:space="0"/>
            </w:tcBorders>
            <w:vAlign w:val="center"/>
          </w:tcPr>
          <w:p>
            <w:pPr>
              <w:jc w:val="center"/>
              <w:rPr>
                <w:rFonts w:eastAsiaTheme="minorEastAsia"/>
                <w:szCs w:val="21"/>
              </w:rPr>
            </w:pPr>
            <w:r>
              <w:rPr>
                <w:rFonts w:eastAsiaTheme="minorEastAsia"/>
                <w:szCs w:val="21"/>
              </w:rPr>
              <w:t>施工期</w:t>
            </w:r>
          </w:p>
        </w:tc>
        <w:tc>
          <w:tcPr>
            <w:tcW w:w="1985" w:type="dxa"/>
            <w:tcBorders>
              <w:top w:val="single" w:color="auto" w:sz="4" w:space="0"/>
              <w:bottom w:val="single" w:color="auto" w:sz="4" w:space="0"/>
            </w:tcBorders>
            <w:vAlign w:val="center"/>
          </w:tcPr>
          <w:p>
            <w:pPr>
              <w:jc w:val="center"/>
              <w:rPr>
                <w:rFonts w:hint="eastAsia" w:eastAsiaTheme="minorEastAsia"/>
                <w:szCs w:val="21"/>
                <w:lang w:eastAsia="zh-CN"/>
              </w:rPr>
            </w:pPr>
            <w:r>
              <w:rPr>
                <w:rFonts w:hint="eastAsia" w:eastAsiaTheme="minorEastAsia"/>
                <w:szCs w:val="21"/>
                <w:lang w:eastAsia="zh-CN"/>
              </w:rPr>
              <w:t>建筑垃圾</w:t>
            </w:r>
          </w:p>
        </w:tc>
        <w:tc>
          <w:tcPr>
            <w:tcW w:w="3544" w:type="dxa"/>
            <w:tcBorders>
              <w:top w:val="single" w:color="auto" w:sz="4" w:space="0"/>
              <w:bottom w:val="single" w:color="auto" w:sz="4" w:space="0"/>
            </w:tcBorders>
            <w:vAlign w:val="center"/>
          </w:tcPr>
          <w:p>
            <w:pPr>
              <w:jc w:val="center"/>
              <w:rPr>
                <w:rFonts w:hint="eastAsia" w:eastAsiaTheme="minorEastAsia"/>
                <w:szCs w:val="21"/>
                <w:lang w:eastAsia="zh-CN"/>
              </w:rPr>
            </w:pPr>
            <w:r>
              <w:rPr>
                <w:rFonts w:hint="eastAsia" w:eastAsiaTheme="minorEastAsia"/>
                <w:szCs w:val="21"/>
                <w:lang w:eastAsia="zh-CN"/>
              </w:rPr>
              <w:t>除可回收利用部分，其余剩余部分堆放达一定量时应及时清运到指定的建筑垃圾场处理</w:t>
            </w:r>
          </w:p>
        </w:tc>
        <w:tc>
          <w:tcPr>
            <w:tcW w:w="2010" w:type="dxa"/>
            <w:vMerge w:val="restart"/>
            <w:tcBorders>
              <w:top w:val="single" w:color="auto" w:sz="4" w:space="0"/>
            </w:tcBorders>
            <w:vAlign w:val="center"/>
          </w:tcPr>
          <w:p>
            <w:pPr>
              <w:jc w:val="center"/>
              <w:rPr>
                <w:rFonts w:eastAsiaTheme="minorEastAsia"/>
                <w:szCs w:val="21"/>
              </w:rPr>
            </w:pPr>
            <w:r>
              <w:rPr>
                <w:rFonts w:eastAsiaTheme="minorEastAsia"/>
                <w:szCs w:val="21"/>
              </w:rPr>
              <w:t>妥善处置，不对环境</w:t>
            </w:r>
          </w:p>
          <w:p>
            <w:pPr>
              <w:jc w:val="center"/>
              <w:rPr>
                <w:rFonts w:eastAsiaTheme="minorEastAsia"/>
                <w:szCs w:val="21"/>
              </w:rPr>
            </w:pPr>
            <w:r>
              <w:rPr>
                <w:rFonts w:eastAsiaTheme="minorEastAsia"/>
                <w:szCs w:val="21"/>
              </w:rPr>
              <w:t>造成二次污染</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vMerge w:val="continue"/>
            <w:vAlign w:val="center"/>
          </w:tcPr>
          <w:p>
            <w:pPr>
              <w:pStyle w:val="22"/>
              <w:ind w:firstLine="0"/>
              <w:jc w:val="center"/>
              <w:rPr>
                <w:rFonts w:eastAsiaTheme="minorEastAsia"/>
                <w:color w:val="000000"/>
                <w:sz w:val="21"/>
                <w:szCs w:val="21"/>
                <w:lang w:val="en-US" w:eastAsia="zh-CN"/>
              </w:rPr>
            </w:pPr>
          </w:p>
        </w:tc>
        <w:tc>
          <w:tcPr>
            <w:tcW w:w="1985" w:type="dxa"/>
            <w:tcBorders>
              <w:top w:val="single" w:color="auto" w:sz="4" w:space="0"/>
            </w:tcBorders>
            <w:vAlign w:val="center"/>
          </w:tcPr>
          <w:p>
            <w:pPr>
              <w:jc w:val="center"/>
              <w:rPr>
                <w:rFonts w:eastAsiaTheme="minorEastAsia"/>
                <w:szCs w:val="21"/>
              </w:rPr>
            </w:pPr>
            <w:r>
              <w:rPr>
                <w:rFonts w:eastAsiaTheme="minorEastAsia"/>
                <w:szCs w:val="21"/>
              </w:rPr>
              <w:t>生活垃圾</w:t>
            </w:r>
          </w:p>
        </w:tc>
        <w:tc>
          <w:tcPr>
            <w:tcW w:w="3544" w:type="dxa"/>
            <w:tcBorders>
              <w:top w:val="single" w:color="auto" w:sz="4" w:space="0"/>
            </w:tcBorders>
            <w:vAlign w:val="center"/>
          </w:tcPr>
          <w:p>
            <w:pPr>
              <w:jc w:val="center"/>
              <w:rPr>
                <w:rFonts w:eastAsiaTheme="minorEastAsia"/>
              </w:rPr>
            </w:pPr>
            <w:r>
              <w:rPr>
                <w:rFonts w:eastAsiaTheme="minorEastAsia"/>
              </w:rPr>
              <w:t>集中收集后交由当地环卫部门处理，不外排</w:t>
            </w:r>
          </w:p>
        </w:tc>
        <w:tc>
          <w:tcPr>
            <w:tcW w:w="2010" w:type="dxa"/>
            <w:vMerge w:val="continue"/>
            <w:vAlign w:val="center"/>
          </w:tcPr>
          <w:p>
            <w:pPr>
              <w:jc w:val="center"/>
              <w:rPr>
                <w:rFonts w:eastAsiaTheme="minorEastAsia"/>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vMerge w:val="restart"/>
            <w:tcBorders>
              <w:top w:val="single" w:color="auto" w:sz="4" w:space="0"/>
            </w:tcBorders>
            <w:vAlign w:val="center"/>
          </w:tcPr>
          <w:p>
            <w:pPr>
              <w:pStyle w:val="22"/>
              <w:ind w:firstLine="0"/>
              <w:rPr>
                <w:rFonts w:eastAsiaTheme="minorEastAsia"/>
                <w:bCs/>
                <w:color w:val="000000"/>
                <w:sz w:val="21"/>
                <w:szCs w:val="21"/>
                <w:lang w:val="en-US" w:eastAsia="zh-CN"/>
              </w:rPr>
            </w:pPr>
            <w:r>
              <w:rPr>
                <w:rFonts w:eastAsiaTheme="minorEastAsia"/>
                <w:bCs/>
                <w:color w:val="000000"/>
                <w:sz w:val="21"/>
                <w:szCs w:val="21"/>
                <w:lang w:val="en-US" w:eastAsia="zh-CN"/>
              </w:rPr>
              <w:t>运营期</w:t>
            </w:r>
          </w:p>
        </w:tc>
        <w:tc>
          <w:tcPr>
            <w:tcW w:w="1985" w:type="dxa"/>
            <w:tcBorders>
              <w:top w:val="single" w:color="auto" w:sz="4" w:space="0"/>
              <w:bottom w:val="single" w:color="auto" w:sz="4" w:space="0"/>
            </w:tcBorders>
            <w:vAlign w:val="center"/>
          </w:tcPr>
          <w:p>
            <w:pPr>
              <w:jc w:val="center"/>
              <w:rPr>
                <w:rFonts w:eastAsiaTheme="minorEastAsia"/>
                <w:szCs w:val="21"/>
              </w:rPr>
            </w:pPr>
            <w:r>
              <w:rPr>
                <w:rFonts w:hint="eastAsia" w:eastAsiaTheme="minorEastAsia"/>
                <w:szCs w:val="21"/>
              </w:rPr>
              <w:t>生活垃圾</w:t>
            </w:r>
          </w:p>
        </w:tc>
        <w:tc>
          <w:tcPr>
            <w:tcW w:w="3544" w:type="dxa"/>
            <w:tcBorders>
              <w:top w:val="single" w:color="auto" w:sz="4" w:space="0"/>
              <w:bottom w:val="single" w:color="auto" w:sz="4" w:space="0"/>
            </w:tcBorders>
            <w:vAlign w:val="center"/>
          </w:tcPr>
          <w:p>
            <w:pPr>
              <w:jc w:val="center"/>
              <w:rPr>
                <w:rFonts w:eastAsiaTheme="minorEastAsia"/>
                <w:szCs w:val="21"/>
              </w:rPr>
            </w:pPr>
            <w:r>
              <w:rPr>
                <w:rFonts w:eastAsiaTheme="minorEastAsia"/>
                <w:bCs/>
              </w:rPr>
              <w:t>统一收集交由当地环卫部门处理</w:t>
            </w:r>
          </w:p>
        </w:tc>
        <w:tc>
          <w:tcPr>
            <w:tcW w:w="2010" w:type="dxa"/>
            <w:vMerge w:val="continue"/>
            <w:vAlign w:val="center"/>
          </w:tcPr>
          <w:p>
            <w:pPr>
              <w:jc w:val="center"/>
              <w:rPr>
                <w:rFonts w:eastAsiaTheme="minorEastAsia"/>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1021" w:type="dxa"/>
            <w:vMerge w:val="continue"/>
            <w:vAlign w:val="center"/>
          </w:tcPr>
          <w:p>
            <w:pPr>
              <w:jc w:val="center"/>
              <w:rPr>
                <w:rFonts w:eastAsiaTheme="minorEastAsia"/>
                <w:szCs w:val="21"/>
              </w:rPr>
            </w:pPr>
          </w:p>
        </w:tc>
        <w:tc>
          <w:tcPr>
            <w:tcW w:w="850" w:type="dxa"/>
            <w:vMerge w:val="continue"/>
            <w:vAlign w:val="center"/>
          </w:tcPr>
          <w:p>
            <w:pPr>
              <w:pStyle w:val="22"/>
              <w:ind w:firstLine="0"/>
              <w:jc w:val="center"/>
              <w:rPr>
                <w:rFonts w:eastAsiaTheme="minorEastAsia"/>
                <w:bCs/>
                <w:color w:val="000000"/>
                <w:sz w:val="21"/>
                <w:szCs w:val="21"/>
                <w:lang w:val="en-US" w:eastAsia="zh-CN"/>
              </w:rPr>
            </w:pPr>
          </w:p>
        </w:tc>
        <w:tc>
          <w:tcPr>
            <w:tcW w:w="1985" w:type="dxa"/>
            <w:tcBorders>
              <w:top w:val="single" w:color="auto" w:sz="4" w:space="0"/>
              <w:bottom w:val="single" w:color="auto" w:sz="4" w:space="0"/>
            </w:tcBorders>
            <w:vAlign w:val="center"/>
          </w:tcPr>
          <w:p>
            <w:pPr>
              <w:jc w:val="center"/>
              <w:rPr>
                <w:rFonts w:eastAsiaTheme="minorEastAsia"/>
                <w:szCs w:val="21"/>
              </w:rPr>
            </w:pPr>
            <w:r>
              <w:rPr>
                <w:rFonts w:hint="eastAsia" w:eastAsiaTheme="minorEastAsia"/>
                <w:szCs w:val="21"/>
                <w:lang w:eastAsia="zh-CN"/>
              </w:rPr>
              <w:t>沉淀</w:t>
            </w:r>
            <w:r>
              <w:rPr>
                <w:rFonts w:hint="eastAsia" w:eastAsiaTheme="minorEastAsia"/>
                <w:szCs w:val="21"/>
              </w:rPr>
              <w:t>池泥沙</w:t>
            </w:r>
          </w:p>
        </w:tc>
        <w:tc>
          <w:tcPr>
            <w:tcW w:w="3544" w:type="dxa"/>
            <w:tcBorders>
              <w:top w:val="single" w:color="auto" w:sz="4" w:space="0"/>
              <w:bottom w:val="single" w:color="auto" w:sz="4" w:space="0"/>
            </w:tcBorders>
            <w:vAlign w:val="center"/>
          </w:tcPr>
          <w:p>
            <w:pPr>
              <w:jc w:val="center"/>
              <w:rPr>
                <w:rFonts w:hint="eastAsia" w:eastAsiaTheme="minorEastAsia"/>
                <w:bCs/>
                <w:lang w:eastAsia="zh-CN"/>
              </w:rPr>
            </w:pPr>
            <w:r>
              <w:rPr>
                <w:rFonts w:hint="eastAsia" w:eastAsiaTheme="minorEastAsia"/>
                <w:bCs/>
                <w:lang w:eastAsia="zh-CN"/>
              </w:rPr>
              <w:t>定期清掏，并适时合理利用</w:t>
            </w:r>
          </w:p>
        </w:tc>
        <w:tc>
          <w:tcPr>
            <w:tcW w:w="2010" w:type="dxa"/>
            <w:vMerge w:val="continue"/>
            <w:vAlign w:val="center"/>
          </w:tcPr>
          <w:p>
            <w:pPr>
              <w:jc w:val="center"/>
              <w:rPr>
                <w:rFonts w:eastAsiaTheme="minorEastAsia"/>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9410" w:type="dxa"/>
            <w:gridSpan w:val="5"/>
            <w:vAlign w:val="center"/>
          </w:tcPr>
          <w:p>
            <w:pPr>
              <w:snapToGrid w:val="0"/>
              <w:spacing w:line="360" w:lineRule="auto"/>
              <w:jc w:val="left"/>
              <w:rPr>
                <w:rFonts w:eastAsiaTheme="minorEastAsia"/>
                <w:b/>
                <w:sz w:val="24"/>
              </w:rPr>
            </w:pPr>
            <w:r>
              <w:rPr>
                <w:rFonts w:eastAsiaTheme="minorEastAsia"/>
                <w:b/>
                <w:sz w:val="24"/>
              </w:rPr>
              <w:t>生态具体保护措施及预期效果：</w:t>
            </w:r>
          </w:p>
          <w:p>
            <w:pPr>
              <w:pStyle w:val="97"/>
              <w:bidi w:val="0"/>
              <w:rPr>
                <w:rFonts w:hint="eastAsia"/>
              </w:rPr>
            </w:pPr>
            <w:r>
              <w:rPr>
                <w:rFonts w:hint="eastAsia"/>
              </w:rPr>
              <w:t>本项目生态影响主要集中在施工期，项目施工期过程对生态环境造成的影响主要体现在土地占用、生态干扰及不良地质条件下的水土流失。</w:t>
            </w:r>
          </w:p>
          <w:p>
            <w:pPr>
              <w:pStyle w:val="97"/>
              <w:bidi w:val="0"/>
              <w:rPr>
                <w:rFonts w:hint="eastAsia" w:eastAsia="宋体"/>
                <w:lang w:eastAsia="zh-CN"/>
              </w:rPr>
            </w:pPr>
            <w:r>
              <w:rPr>
                <w:rFonts w:hint="eastAsia"/>
              </w:rPr>
              <w:t>在采取一定的水土保持措施和生态缓减措施，如此可很大程度地减少对当地生态环境的影响。本项目施工只占用站区内的土地，且做好地面硬化措施，不占用站区以外的土地，对周围生态无影响。</w:t>
            </w:r>
            <w:r>
              <w:rPr>
                <w:rFonts w:hint="eastAsia"/>
                <w:lang w:eastAsia="zh-CN"/>
              </w:rPr>
              <w:t>并且本项目评价区域内没有需要特殊保护的生态环境，不会对周围生态环境造成影响。</w:t>
            </w:r>
          </w:p>
          <w:p>
            <w:pPr>
              <w:pStyle w:val="97"/>
              <w:bidi w:val="0"/>
            </w:pPr>
          </w:p>
        </w:tc>
      </w:tr>
    </w:tbl>
    <w:p>
      <w:pPr>
        <w:pStyle w:val="4"/>
        <w:spacing w:before="0" w:after="0" w:line="240" w:lineRule="auto"/>
        <w:rPr>
          <w:rFonts w:ascii="Times New Roman" w:hAnsi="Times New Roman" w:eastAsiaTheme="minorEastAsia"/>
        </w:rPr>
      </w:pPr>
      <w:bookmarkStart w:id="27" w:name="_Toc165893220"/>
      <w:r>
        <w:rPr>
          <w:rFonts w:ascii="Times New Roman" w:hAnsi="Times New Roman" w:eastAsiaTheme="minorEastAsia"/>
        </w:rPr>
        <w:t>结论与建议</w:t>
      </w:r>
      <w:bookmarkEnd w:id="27"/>
      <w:r>
        <w:rPr>
          <w:rFonts w:ascii="Times New Roman" w:hAnsi="Times New Roman" w:eastAsiaTheme="minorEastAsia"/>
        </w:rPr>
        <w:t xml:space="preserve">                                      （表九）</w:t>
      </w:r>
    </w:p>
    <w:tbl>
      <w:tblPr>
        <w:tblStyle w:val="29"/>
        <w:tblW w:w="9356" w:type="dxa"/>
        <w:tblInd w:w="-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35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168" w:hRule="atLeast"/>
        </w:trPr>
        <w:tc>
          <w:tcPr>
            <w:tcW w:w="9356" w:type="dxa"/>
          </w:tcPr>
          <w:p>
            <w:pPr>
              <w:pStyle w:val="11"/>
              <w:snapToGrid w:val="0"/>
              <w:spacing w:after="0" w:line="360" w:lineRule="auto"/>
              <w:rPr>
                <w:rFonts w:eastAsiaTheme="minorEastAsia"/>
                <w:bCs/>
                <w:sz w:val="28"/>
                <w:szCs w:val="28"/>
                <w:lang w:val="en-US" w:eastAsia="zh-CN"/>
              </w:rPr>
            </w:pPr>
            <w:r>
              <w:rPr>
                <w:rFonts w:eastAsiaTheme="minorEastAsia"/>
                <w:bCs/>
                <w:sz w:val="28"/>
                <w:szCs w:val="28"/>
                <w:lang w:val="en-US" w:eastAsia="zh-CN"/>
              </w:rPr>
              <w:t>一、结论</w:t>
            </w:r>
          </w:p>
          <w:p>
            <w:pPr>
              <w:spacing w:line="360" w:lineRule="auto"/>
              <w:ind w:firstLine="472" w:firstLineChars="196"/>
              <w:jc w:val="left"/>
              <w:rPr>
                <w:rFonts w:eastAsiaTheme="minorEastAsia"/>
                <w:b/>
                <w:sz w:val="24"/>
              </w:rPr>
            </w:pPr>
            <w:r>
              <w:rPr>
                <w:rFonts w:eastAsiaTheme="minorEastAsia"/>
                <w:b/>
                <w:sz w:val="24"/>
              </w:rPr>
              <w:t>1、项目概况</w:t>
            </w:r>
          </w:p>
          <w:p>
            <w:pPr>
              <w:keepLines/>
              <w:spacing w:line="360" w:lineRule="auto"/>
              <w:ind w:firstLine="470" w:firstLineChars="196"/>
              <w:rPr>
                <w:rFonts w:hint="eastAsia" w:eastAsiaTheme="minorEastAsia"/>
                <w:kern w:val="0"/>
                <w:sz w:val="24"/>
              </w:rPr>
            </w:pPr>
            <w:r>
              <w:rPr>
                <w:rFonts w:hint="eastAsia" w:eastAsiaTheme="minorEastAsia"/>
                <w:kern w:val="0"/>
                <w:sz w:val="24"/>
                <w:lang w:eastAsia="zh-CN"/>
              </w:rPr>
              <w:t>乐山市美凯来商贸有限公司峨边分公司乐山市美凯来商贸有限公司峨边新场LNG加气站新建项目</w:t>
            </w:r>
            <w:r>
              <w:rPr>
                <w:rFonts w:hint="eastAsia" w:eastAsiaTheme="minorEastAsia"/>
                <w:kern w:val="0"/>
                <w:sz w:val="24"/>
              </w:rPr>
              <w:t>拟建址位于四川省</w:t>
            </w:r>
            <w:r>
              <w:rPr>
                <w:rFonts w:hint="eastAsia" w:eastAsiaTheme="minorEastAsia"/>
                <w:kern w:val="0"/>
                <w:sz w:val="24"/>
                <w:lang w:eastAsia="zh-CN"/>
              </w:rPr>
              <w:t>乐山市峨边彝族自治县新场乡长虹村2组</w:t>
            </w:r>
            <w:r>
              <w:rPr>
                <w:rFonts w:hint="eastAsia" w:eastAsiaTheme="minorEastAsia"/>
                <w:kern w:val="0"/>
                <w:sz w:val="24"/>
              </w:rPr>
              <w:t>，</w:t>
            </w:r>
            <w:r>
              <w:rPr>
                <w:rFonts w:hint="eastAsia" w:eastAsiaTheme="minorEastAsia"/>
                <w:kern w:val="0"/>
                <w:sz w:val="24"/>
                <w:lang w:eastAsia="zh-CN"/>
              </w:rPr>
              <w:t>本项目为一期建设，该项目占地面积为</w:t>
            </w:r>
            <w:r>
              <w:rPr>
                <w:rFonts w:hint="eastAsia" w:eastAsiaTheme="minorEastAsia"/>
                <w:kern w:val="0"/>
                <w:sz w:val="24"/>
                <w:lang w:val="en-US" w:eastAsia="zh-CN"/>
              </w:rPr>
              <w:t>6666.04m²，主要服务对象为大型载重货车，设计规模为15×10</w:t>
            </w:r>
            <w:r>
              <w:rPr>
                <w:rFonts w:hint="eastAsia" w:eastAsiaTheme="minorEastAsia"/>
                <w:kern w:val="0"/>
                <w:sz w:val="24"/>
                <w:vertAlign w:val="superscript"/>
                <w:lang w:val="en-US" w:eastAsia="zh-CN"/>
              </w:rPr>
              <w:t>4</w:t>
            </w:r>
            <w:r>
              <w:rPr>
                <w:rFonts w:hint="eastAsia" w:eastAsiaTheme="minorEastAsia"/>
                <w:kern w:val="0"/>
                <w:sz w:val="24"/>
                <w:lang w:val="en-US" w:eastAsia="zh-CN"/>
              </w:rPr>
              <w:t>Nm</w:t>
            </w:r>
            <w:r>
              <w:rPr>
                <w:rFonts w:hint="eastAsia" w:eastAsiaTheme="minorEastAsia"/>
                <w:kern w:val="0"/>
                <w:sz w:val="24"/>
                <w:vertAlign w:val="superscript"/>
                <w:lang w:val="en-US" w:eastAsia="zh-CN"/>
              </w:rPr>
              <w:t>3</w:t>
            </w:r>
            <w:r>
              <w:rPr>
                <w:rFonts w:hint="eastAsia" w:eastAsiaTheme="minorEastAsia"/>
                <w:kern w:val="0"/>
                <w:sz w:val="24"/>
                <w:lang w:val="en-US" w:eastAsia="zh-CN"/>
              </w:rPr>
              <w:t>/d，</w:t>
            </w:r>
            <w:r>
              <w:rPr>
                <w:rFonts w:hint="eastAsia" w:eastAsiaTheme="minorEastAsia"/>
                <w:kern w:val="0"/>
                <w:sz w:val="24"/>
              </w:rPr>
              <w:t>建设内容包括：</w:t>
            </w:r>
            <w:r>
              <w:rPr>
                <w:rFonts w:hint="eastAsia" w:eastAsiaTheme="minorEastAsia"/>
                <w:kern w:val="0"/>
                <w:sz w:val="24"/>
                <w:lang w:val="en-US" w:eastAsia="zh-CN"/>
              </w:rPr>
              <w:t>站内设置1座60m</w:t>
            </w:r>
            <w:r>
              <w:rPr>
                <w:rFonts w:hint="eastAsia" w:eastAsiaTheme="minorEastAsia"/>
                <w:kern w:val="0"/>
                <w:sz w:val="24"/>
                <w:vertAlign w:val="superscript"/>
                <w:lang w:val="en-US" w:eastAsia="zh-CN"/>
              </w:rPr>
              <w:t>3</w:t>
            </w:r>
            <w:r>
              <w:rPr>
                <w:rFonts w:hint="eastAsia" w:eastAsiaTheme="minorEastAsia"/>
                <w:kern w:val="0"/>
                <w:sz w:val="24"/>
                <w:lang w:val="en-US" w:eastAsia="zh-CN"/>
              </w:rPr>
              <w:t>LNG低温储罐，3台LNG双枪加气机，站内设置1处通过式加气罩棚建筑投影面积为528m²、1处地下式LNG工艺装置区、2层框架结构站房。根据《汽车加油加气站设计与施工规范》（GB50156-2012），项目属三级LNG加气站。</w:t>
            </w:r>
            <w:r>
              <w:rPr>
                <w:rFonts w:hint="eastAsia" w:eastAsiaTheme="minorEastAsia"/>
                <w:kern w:val="0"/>
                <w:sz w:val="24"/>
              </w:rPr>
              <w:t>项目已取得</w:t>
            </w:r>
            <w:r>
              <w:rPr>
                <w:rFonts w:hint="eastAsia" w:eastAsiaTheme="minorEastAsia"/>
                <w:kern w:val="0"/>
                <w:sz w:val="24"/>
                <w:lang w:eastAsia="zh-CN"/>
              </w:rPr>
              <w:t>峨边彝族自治县</w:t>
            </w:r>
            <w:r>
              <w:rPr>
                <w:rFonts w:hint="eastAsia" w:eastAsiaTheme="minorEastAsia"/>
                <w:kern w:val="0"/>
                <w:sz w:val="24"/>
              </w:rPr>
              <w:t>发展和改革局《四川省固定资产投资项目备案表》，备案号：川投资备</w:t>
            </w:r>
            <w:r>
              <w:rPr>
                <w:rFonts w:hint="eastAsia" w:eastAsiaTheme="minorEastAsia"/>
                <w:kern w:val="0"/>
                <w:sz w:val="24"/>
                <w:lang w:val="en-US" w:eastAsia="zh-CN"/>
              </w:rPr>
              <w:t>川投资备【2020-511132-45-03-478575】FGQB-0082号</w:t>
            </w:r>
            <w:r>
              <w:rPr>
                <w:rFonts w:hint="eastAsia" w:eastAsiaTheme="minorEastAsia"/>
                <w:kern w:val="0"/>
                <w:sz w:val="24"/>
              </w:rPr>
              <w:t>。项目建设符合《乐山市打赢蓝天保卫战实施方案》要求。</w:t>
            </w:r>
          </w:p>
          <w:p>
            <w:pPr>
              <w:spacing w:line="360" w:lineRule="auto"/>
              <w:ind w:firstLine="472" w:firstLineChars="196"/>
              <w:jc w:val="left"/>
              <w:rPr>
                <w:rFonts w:eastAsiaTheme="minorEastAsia"/>
                <w:b/>
                <w:sz w:val="24"/>
              </w:rPr>
            </w:pPr>
            <w:r>
              <w:rPr>
                <w:rFonts w:eastAsiaTheme="minorEastAsia"/>
                <w:b/>
                <w:sz w:val="24"/>
              </w:rPr>
              <w:t>2、产业政策符合性结论</w:t>
            </w:r>
          </w:p>
          <w:p>
            <w:pPr>
              <w:autoSpaceDE w:val="0"/>
              <w:autoSpaceDN w:val="0"/>
              <w:adjustRightInd w:val="0"/>
              <w:spacing w:line="360" w:lineRule="auto"/>
              <w:ind w:firstLine="480" w:firstLineChars="200"/>
              <w:rPr>
                <w:rFonts w:hint="eastAsia" w:eastAsiaTheme="minorEastAsia"/>
                <w:color w:val="000000"/>
                <w:sz w:val="24"/>
              </w:rPr>
            </w:pPr>
            <w:r>
              <w:rPr>
                <w:rFonts w:eastAsiaTheme="minorEastAsia"/>
                <w:sz w:val="24"/>
              </w:rPr>
              <w:t>根据《国民经济行业分类与代码》（GB/T4754-2017），本项目属于</w:t>
            </w:r>
            <w:r>
              <w:rPr>
                <w:rFonts w:hint="eastAsia" w:eastAsiaTheme="minorEastAsia"/>
                <w:sz w:val="24"/>
                <w:lang w:eastAsia="zh-CN"/>
              </w:rPr>
              <w:t>“</w:t>
            </w:r>
            <w:r>
              <w:rPr>
                <w:rFonts w:hint="eastAsia" w:eastAsiaTheme="minorEastAsia"/>
                <w:sz w:val="24"/>
              </w:rPr>
              <w:t>机动车燃气零售（F5266）</w:t>
            </w:r>
            <w:r>
              <w:rPr>
                <w:rFonts w:ascii="宋体" w:hAnsi="宋体" w:eastAsiaTheme="minorEastAsia"/>
                <w:color w:val="000000"/>
                <w:sz w:val="24"/>
              </w:rPr>
              <w:t>”</w:t>
            </w:r>
            <w:r>
              <w:rPr>
                <w:rFonts w:eastAsiaTheme="minorEastAsia"/>
                <w:color w:val="000000"/>
                <w:sz w:val="24"/>
              </w:rPr>
              <w:t>；</w:t>
            </w:r>
            <w:r>
              <w:rPr>
                <w:rFonts w:hint="eastAsia" w:eastAsiaTheme="minorEastAsia"/>
                <w:color w:val="000000"/>
                <w:sz w:val="24"/>
              </w:rPr>
              <w:t>根据国家发展改革委令2019年第29号《产业结构调整指导目录（2019年本）》，本项目不属于其中的鼓励类、限制类、淘汰类，且符合国家有关法律、法规和政策规定</w:t>
            </w:r>
            <w:r>
              <w:rPr>
                <w:rFonts w:hint="eastAsia" w:eastAsiaTheme="minorEastAsia"/>
                <w:color w:val="000000"/>
                <w:sz w:val="24"/>
                <w:lang w:eastAsia="zh-CN"/>
              </w:rPr>
              <w:t>，</w:t>
            </w:r>
            <w:r>
              <w:rPr>
                <w:rFonts w:hint="eastAsia" w:eastAsiaTheme="minorEastAsia"/>
                <w:color w:val="000000"/>
                <w:sz w:val="24"/>
              </w:rPr>
              <w:t>属于允许类。同时，本项目拟采用的生产设备不属于淘汰类、限制类设备。</w:t>
            </w:r>
          </w:p>
          <w:p>
            <w:pPr>
              <w:autoSpaceDE w:val="0"/>
              <w:autoSpaceDN w:val="0"/>
              <w:adjustRightInd w:val="0"/>
              <w:spacing w:line="360" w:lineRule="auto"/>
              <w:ind w:firstLine="480" w:firstLineChars="200"/>
              <w:rPr>
                <w:rFonts w:hint="eastAsia" w:eastAsiaTheme="minorEastAsia"/>
                <w:color w:val="000000"/>
                <w:sz w:val="24"/>
              </w:rPr>
            </w:pPr>
            <w:r>
              <w:rPr>
                <w:rFonts w:hint="eastAsia" w:eastAsiaTheme="minorEastAsia"/>
                <w:color w:val="000000"/>
                <w:sz w:val="24"/>
              </w:rPr>
              <w:t>因此，本项目符合国家当前的产业政策，为允许类。</w:t>
            </w:r>
          </w:p>
          <w:p>
            <w:pPr>
              <w:autoSpaceDE w:val="0"/>
              <w:autoSpaceDN w:val="0"/>
              <w:adjustRightInd w:val="0"/>
              <w:spacing w:line="360" w:lineRule="auto"/>
              <w:ind w:firstLine="480" w:firstLineChars="200"/>
              <w:rPr>
                <w:rFonts w:hint="eastAsia" w:eastAsiaTheme="minorEastAsia"/>
                <w:color w:val="000000"/>
                <w:sz w:val="24"/>
              </w:rPr>
            </w:pPr>
            <w:r>
              <w:rPr>
                <w:rFonts w:hint="eastAsia" w:eastAsiaTheme="minorEastAsia"/>
                <w:color w:val="000000"/>
                <w:sz w:val="24"/>
              </w:rPr>
              <w:t>根据中华人民共和国国家发展和改革委员会令第 15 号，《西部地区鼓励类产业目录》已经国务院批准，自 2014 年 10 月 1 日起实施。本项目符合《西部地区鼓励类产业目录》</w:t>
            </w:r>
            <w:r>
              <w:rPr>
                <w:rFonts w:hint="eastAsia" w:eastAsiaTheme="minorEastAsia"/>
                <w:color w:val="000000"/>
                <w:sz w:val="24"/>
                <w:lang w:eastAsia="zh-CN"/>
              </w:rPr>
              <w:t>西部地区新增鼓励类产业中“</w:t>
            </w:r>
            <w:r>
              <w:rPr>
                <w:rFonts w:hint="eastAsia" w:eastAsiaTheme="minorEastAsia"/>
                <w:color w:val="000000"/>
                <w:sz w:val="24"/>
              </w:rPr>
              <w:t>（二）四川省 1</w:t>
            </w:r>
            <w:r>
              <w:rPr>
                <w:rFonts w:hint="eastAsia" w:eastAsiaTheme="minorEastAsia"/>
                <w:color w:val="000000"/>
                <w:sz w:val="24"/>
                <w:lang w:val="en-US" w:eastAsia="zh-CN"/>
              </w:rPr>
              <w:t>3</w:t>
            </w:r>
            <w:r>
              <w:rPr>
                <w:rFonts w:hint="eastAsia" w:eastAsiaTheme="minorEastAsia"/>
                <w:color w:val="000000"/>
                <w:sz w:val="24"/>
              </w:rPr>
              <w:t xml:space="preserve"> 液化天然气（LNG）汽车加气站成套设备及装置制造与应用</w:t>
            </w:r>
            <w:r>
              <w:rPr>
                <w:rFonts w:hint="eastAsia" w:eastAsiaTheme="minorEastAsia"/>
                <w:color w:val="000000"/>
                <w:sz w:val="24"/>
                <w:lang w:eastAsia="zh-CN"/>
              </w:rPr>
              <w:t>”</w:t>
            </w:r>
            <w:r>
              <w:rPr>
                <w:rFonts w:hint="eastAsia" w:eastAsiaTheme="minorEastAsia"/>
                <w:color w:val="000000"/>
                <w:sz w:val="24"/>
              </w:rPr>
              <w:t>。</w:t>
            </w:r>
          </w:p>
          <w:p>
            <w:pPr>
              <w:autoSpaceDE w:val="0"/>
              <w:autoSpaceDN w:val="0"/>
              <w:adjustRightInd w:val="0"/>
              <w:spacing w:line="360" w:lineRule="auto"/>
              <w:ind w:firstLine="482" w:firstLineChars="200"/>
              <w:rPr>
                <w:rFonts w:eastAsiaTheme="minorEastAsia"/>
                <w:sz w:val="24"/>
              </w:rPr>
            </w:pPr>
            <w:r>
              <w:rPr>
                <w:rFonts w:eastAsiaTheme="minorEastAsia"/>
                <w:b/>
                <w:kern w:val="0"/>
                <w:sz w:val="24"/>
              </w:rPr>
              <w:t>因此，本项目建设符合国家</w:t>
            </w:r>
            <w:r>
              <w:rPr>
                <w:rFonts w:hint="eastAsia" w:eastAsiaTheme="minorEastAsia"/>
                <w:b/>
                <w:kern w:val="0"/>
                <w:sz w:val="24"/>
              </w:rPr>
              <w:t>和</w:t>
            </w:r>
            <w:r>
              <w:rPr>
                <w:rFonts w:eastAsiaTheme="minorEastAsia"/>
                <w:b/>
                <w:kern w:val="0"/>
                <w:sz w:val="24"/>
              </w:rPr>
              <w:t>地方现行的产业政策。</w:t>
            </w:r>
          </w:p>
          <w:p>
            <w:pPr>
              <w:spacing w:line="360" w:lineRule="auto"/>
              <w:ind w:firstLine="482" w:firstLineChars="200"/>
              <w:rPr>
                <w:rFonts w:eastAsiaTheme="minorEastAsia"/>
                <w:b/>
                <w:color w:val="000000" w:themeColor="text1"/>
                <w:sz w:val="24"/>
                <w14:textFill>
                  <w14:solidFill>
                    <w14:schemeClr w14:val="tx1"/>
                  </w14:solidFill>
                </w14:textFill>
              </w:rPr>
            </w:pPr>
            <w:r>
              <w:rPr>
                <w:rFonts w:eastAsiaTheme="minorEastAsia"/>
                <w:b/>
                <w:color w:val="000000" w:themeColor="text1"/>
                <w:sz w:val="24"/>
                <w14:textFill>
                  <w14:solidFill>
                    <w14:schemeClr w14:val="tx1"/>
                  </w14:solidFill>
                </w14:textFill>
              </w:rPr>
              <w:t>3、规划符合性结论</w:t>
            </w:r>
          </w:p>
          <w:p>
            <w:pPr>
              <w:widowControl/>
              <w:shd w:val="clear" w:color="auto" w:fill="FFFFFF"/>
              <w:spacing w:line="360" w:lineRule="auto"/>
              <w:ind w:firstLine="480" w:firstLineChars="200"/>
              <w:rPr>
                <w:rFonts w:hint="eastAsia" w:eastAsiaTheme="minorEastAsia"/>
                <w:b w:val="0"/>
                <w:bCs/>
                <w:sz w:val="24"/>
              </w:rPr>
            </w:pPr>
            <w:r>
              <w:rPr>
                <w:rFonts w:hint="eastAsia" w:eastAsiaTheme="minorEastAsia"/>
                <w:b w:val="0"/>
                <w:bCs/>
                <w:sz w:val="24"/>
                <w:lang w:val="en-US" w:eastAsia="zh-CN"/>
              </w:rPr>
              <w:t>（1）与《乐山市城市总体规划（2011-2030）》符合性分析</w:t>
            </w:r>
          </w:p>
          <w:p>
            <w:pPr>
              <w:keepLines/>
              <w:spacing w:line="360" w:lineRule="auto"/>
              <w:ind w:firstLine="480" w:firstLineChars="200"/>
              <w:rPr>
                <w:rFonts w:hint="eastAsia" w:eastAsiaTheme="minorEastAsia"/>
                <w:sz w:val="24"/>
                <w:lang w:val="en-US" w:eastAsia="zh-CN"/>
              </w:rPr>
            </w:pPr>
            <w:r>
              <w:rPr>
                <w:rFonts w:hint="eastAsia" w:eastAsiaTheme="minorEastAsia"/>
                <w:sz w:val="24"/>
                <w:lang w:val="en-US" w:eastAsia="zh-CN"/>
              </w:rPr>
              <w:t>2012年3月乐山市被四川省发展与改革委员会确定为LNG汽车试点试点城市之一，倡导使用低污染的LNG燃料。在《乐山市城市总体规划（2011-2030）》中，强调突出资源节约利用及环境保护，努力发展节能及新能源汽车，降低污染物排放，降低温室气体排放，积极推广低碳技术，发展循环经济，增强可持续发展能力，走绿色发展之路。</w:t>
            </w:r>
          </w:p>
          <w:p>
            <w:pPr>
              <w:keepLines/>
              <w:spacing w:line="360" w:lineRule="auto"/>
              <w:ind w:firstLine="480" w:firstLineChars="200"/>
              <w:rPr>
                <w:rFonts w:hint="eastAsia" w:eastAsiaTheme="minorEastAsia"/>
                <w:b/>
                <w:bCs/>
                <w:sz w:val="24"/>
                <w:lang w:val="en-US" w:eastAsia="zh-CN"/>
              </w:rPr>
            </w:pPr>
            <w:r>
              <w:rPr>
                <w:rFonts w:hint="eastAsia" w:eastAsiaTheme="minorEastAsia"/>
                <w:sz w:val="24"/>
                <w:lang w:val="en-US" w:eastAsia="zh-CN"/>
              </w:rPr>
              <w:t>根据《乐山市城市总体规划（2011-2030）》，总体布局为：形成“一心五带两片”的产业空间布局。其中“一心”指主城区产业服务中心。“五带”指乐峨产业带、乐沙产业带、乐犍产业带、乐夹产业带和乐井产业带，其中乐峨产业带以培育休闲游憩产业功能为主；乐沙产业带以培育文旅融合绿色生态产业功能为主；乐犍产业带以培育综合产业功能为主；乐夹产业带以培育军民融合产业功能为主；乐井产业带以培育现代农业和轻工业为主。“两片”指西南绿色生态产业发展片和东北现代产业与服务业发展片。本项目为加油站新增 LNG 项目，属于《国民经济行业》中机动车燃料零售类，</w:t>
            </w:r>
            <w:r>
              <w:rPr>
                <w:rFonts w:hint="eastAsia" w:eastAsiaTheme="minorEastAsia"/>
                <w:b/>
                <w:bCs/>
                <w:sz w:val="24"/>
                <w:lang w:val="en-US" w:eastAsia="zh-CN"/>
              </w:rPr>
              <w:t>因此符合乐山市城市总体规划。</w:t>
            </w:r>
          </w:p>
          <w:p>
            <w:pPr>
              <w:keepLines/>
              <w:spacing w:line="360" w:lineRule="auto"/>
              <w:ind w:firstLine="480" w:firstLineChars="200"/>
              <w:rPr>
                <w:rFonts w:hint="eastAsia" w:eastAsiaTheme="minorEastAsia"/>
                <w:b w:val="0"/>
                <w:bCs w:val="0"/>
                <w:sz w:val="24"/>
                <w:lang w:val="en-US" w:eastAsia="zh-CN"/>
              </w:rPr>
            </w:pPr>
            <w:r>
              <w:rPr>
                <w:rFonts w:hint="eastAsia" w:eastAsiaTheme="minorEastAsia"/>
                <w:b w:val="0"/>
                <w:bCs w:val="0"/>
                <w:sz w:val="24"/>
                <w:lang w:val="en-US" w:eastAsia="zh-CN"/>
              </w:rPr>
              <w:t>（2）用地规划符合性分析</w:t>
            </w:r>
          </w:p>
          <w:p>
            <w:pPr>
              <w:pStyle w:val="97"/>
              <w:bidi w:val="0"/>
              <w:rPr>
                <w:rFonts w:hint="eastAsia" w:eastAsiaTheme="minorEastAsia"/>
                <w:b/>
                <w:kern w:val="0"/>
                <w:sz w:val="24"/>
                <w:lang w:val="en-US" w:eastAsia="zh-CN"/>
              </w:rPr>
            </w:pPr>
            <w:r>
              <w:rPr>
                <w:rFonts w:hint="eastAsia"/>
                <w:lang w:val="en-US" w:eastAsia="zh-CN"/>
              </w:rPr>
              <w:t>拟建项目选址于乐山市峨边彝族自治县新场乡长虹村2组，2020年10月30日，项目取得峨边彝族自治县自然资源局下发的关于该项目的建设用地规划许可证，项目用地性质为商业服务业设施用地，使用面积约为6666.04m²。本项目为加气站新建项目，依据《建设项目环境影响评价分类管理名录》(环境保护部 44 号令)及关于修改《建设项目环境影响评价分类管理名录》部分内容的决定（生态环境部令第 1 号）的规定，项目属于“四十、社会事业与服务业，因此，土地利用性质合理。同时于2020年10月31日，取得峨边彝族自治县自然资源局下发的关于该项目的建设工程规划许可证，因此本建设工程符合城乡规划要求。并且本项目属于乐山市十三五加油加气站布点规划中的站点，项目站址交通便利，供水、供电、供气可依托城市基础配套设施。</w:t>
            </w:r>
          </w:p>
          <w:p>
            <w:pPr>
              <w:pStyle w:val="11"/>
              <w:spacing w:after="0" w:line="360" w:lineRule="auto"/>
              <w:ind w:firstLine="482" w:firstLineChars="200"/>
              <w:contextualSpacing/>
              <w:rPr>
                <w:rFonts w:eastAsiaTheme="minorEastAsia"/>
                <w:b/>
                <w:kern w:val="0"/>
                <w:sz w:val="24"/>
                <w:lang w:val="en-US" w:eastAsia="zh-CN"/>
              </w:rPr>
            </w:pPr>
            <w:r>
              <w:rPr>
                <w:rFonts w:hint="eastAsia" w:eastAsiaTheme="minorEastAsia"/>
                <w:b/>
                <w:kern w:val="0"/>
                <w:sz w:val="24"/>
                <w:lang w:val="en-US" w:eastAsia="zh-CN"/>
              </w:rPr>
              <w:t>因此，本项目建设符合当地相关规划要求。</w:t>
            </w:r>
          </w:p>
          <w:p>
            <w:pPr>
              <w:spacing w:line="360" w:lineRule="auto"/>
              <w:ind w:firstLine="482" w:firstLineChars="200"/>
              <w:rPr>
                <w:rFonts w:eastAsiaTheme="minorEastAsia"/>
                <w:b/>
                <w:color w:val="000000" w:themeColor="text1"/>
                <w:sz w:val="24"/>
                <w14:textFill>
                  <w14:solidFill>
                    <w14:schemeClr w14:val="tx1"/>
                  </w14:solidFill>
                </w14:textFill>
              </w:rPr>
            </w:pPr>
            <w:r>
              <w:rPr>
                <w:rFonts w:eastAsiaTheme="minorEastAsia"/>
                <w:b/>
                <w:color w:val="000000" w:themeColor="text1"/>
                <w:sz w:val="24"/>
                <w14:textFill>
                  <w14:solidFill>
                    <w14:schemeClr w14:val="tx1"/>
                  </w14:solidFill>
                </w14:textFill>
              </w:rPr>
              <w:t>4、</w:t>
            </w:r>
            <w:r>
              <w:rPr>
                <w:rFonts w:hint="eastAsia" w:eastAsiaTheme="minorEastAsia"/>
                <w:b/>
                <w:color w:val="000000" w:themeColor="text1"/>
                <w:sz w:val="24"/>
                <w14:textFill>
                  <w14:solidFill>
                    <w14:schemeClr w14:val="tx1"/>
                  </w14:solidFill>
                </w14:textFill>
              </w:rPr>
              <w:t>选址合理性</w:t>
            </w:r>
            <w:r>
              <w:rPr>
                <w:rFonts w:eastAsiaTheme="minorEastAsia"/>
                <w:b/>
                <w:color w:val="000000" w:themeColor="text1"/>
                <w:sz w:val="24"/>
                <w14:textFill>
                  <w14:solidFill>
                    <w14:schemeClr w14:val="tx1"/>
                  </w14:solidFill>
                </w14:textFill>
              </w:rPr>
              <w:t>结论</w:t>
            </w:r>
          </w:p>
          <w:p>
            <w:pPr>
              <w:pStyle w:val="11"/>
              <w:spacing w:line="360" w:lineRule="auto"/>
              <w:ind w:firstLine="480" w:firstLineChars="200"/>
              <w:contextualSpacing/>
              <w:rPr>
                <w:rFonts w:eastAsiaTheme="minorEastAsia"/>
                <w:kern w:val="0"/>
                <w:sz w:val="24"/>
                <w:lang w:val="en-US" w:eastAsia="zh-CN"/>
              </w:rPr>
            </w:pPr>
            <w:r>
              <w:rPr>
                <w:rFonts w:hint="eastAsia" w:eastAsiaTheme="minorEastAsia"/>
                <w:kern w:val="0"/>
                <w:sz w:val="24"/>
                <w:lang w:val="en-US" w:eastAsia="zh-CN"/>
              </w:rPr>
              <w:t>拟建项目选址于乐山市峨边彝族自治县新场乡长虹村2组，该项目选址合理性主要体现在以下方面：</w:t>
            </w:r>
          </w:p>
          <w:p>
            <w:pPr>
              <w:pStyle w:val="195"/>
              <w:bidi w:val="0"/>
              <w:rPr>
                <w:rFonts w:hint="eastAsia"/>
                <w:lang w:val="en-US" w:eastAsia="zh-CN"/>
              </w:rPr>
            </w:pPr>
            <w:r>
              <w:rPr>
                <w:rFonts w:hint="eastAsia"/>
                <w:lang w:val="en-US" w:eastAsia="zh-CN"/>
              </w:rPr>
              <w:t>表 9-1 本项目选址与《液化天然气（LNG）汽车加气站技术规范》对比表</w:t>
            </w:r>
          </w:p>
          <w:tbl>
            <w:tblPr>
              <w:tblStyle w:val="29"/>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1"/>
              <w:gridCol w:w="3369"/>
              <w:gridCol w:w="3645"/>
              <w:gridCol w:w="10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2440" w:type="pct"/>
                  <w:gridSpan w:val="2"/>
                  <w:tcBorders>
                    <w:top w:val="single" w:color="000000" w:sz="4" w:space="0"/>
                    <w:left w:val="single" w:color="000000" w:sz="4" w:space="0"/>
                    <w:bottom w:val="single" w:color="000000" w:sz="6" w:space="0"/>
                    <w:right w:val="single" w:color="000000" w:sz="6" w:space="0"/>
                    <w:tl2br w:val="nil"/>
                    <w:tr2bl w:val="nil"/>
                  </w:tcBorders>
                  <w:noWrap w:val="0"/>
                  <w:vAlign w:val="center"/>
                </w:tcPr>
                <w:p>
                  <w:pPr>
                    <w:pStyle w:val="203"/>
                    <w:bidi w:val="0"/>
                    <w:rPr>
                      <w:rFonts w:hint="eastAsia"/>
                      <w:color w:val="000000"/>
                    </w:rPr>
                  </w:pPr>
                  <w:r>
                    <w:rPr>
                      <w:rFonts w:hint="eastAsia"/>
                      <w:color w:val="000000"/>
                      <w:lang w:val="en-US" w:eastAsia="zh-CN"/>
                    </w:rPr>
                    <w:t>《液化天然气（LNG）汽车加气站技术规范》（NB/T1001-2011）规定 4.3“站址选择”</w:t>
                  </w:r>
                </w:p>
              </w:tc>
              <w:tc>
                <w:tcPr>
                  <w:tcW w:w="1994" w:type="pct"/>
                  <w:tcBorders>
                    <w:top w:val="single" w:color="000000" w:sz="4"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color w:val="000000"/>
                    </w:rPr>
                  </w:pPr>
                  <w:r>
                    <w:rPr>
                      <w:rFonts w:hint="eastAsia"/>
                      <w:color w:val="000000"/>
                    </w:rPr>
                    <w:t>本项目</w:t>
                  </w:r>
                </w:p>
                <w:p>
                  <w:pPr>
                    <w:pStyle w:val="203"/>
                    <w:bidi w:val="0"/>
                    <w:rPr>
                      <w:rFonts w:hint="eastAsia"/>
                      <w:color w:val="000000"/>
                    </w:rPr>
                  </w:pPr>
                  <w:r>
                    <w:rPr>
                      <w:rFonts w:hint="eastAsia"/>
                      <w:color w:val="000000"/>
                    </w:rPr>
                    <w:t>情况</w:t>
                  </w:r>
                </w:p>
              </w:tc>
              <w:tc>
                <w:tcPr>
                  <w:tcW w:w="565" w:type="pct"/>
                  <w:tcBorders>
                    <w:top w:val="single" w:color="000000" w:sz="4"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r>
                    <w:rPr>
                      <w:rFonts w:hint="eastAsia"/>
                      <w:color w:val="000000"/>
                    </w:rPr>
                    <w:t>符合</w:t>
                  </w:r>
                </w:p>
                <w:p>
                  <w:pPr>
                    <w:pStyle w:val="203"/>
                    <w:bidi w:val="0"/>
                    <w:rPr>
                      <w:rFonts w:hint="eastAsia"/>
                      <w:color w:val="000000"/>
                    </w:rPr>
                  </w:pPr>
                  <w:r>
                    <w:rPr>
                      <w:rFonts w:hint="eastAsia"/>
                      <w:color w:val="000000"/>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597" w:type="pct"/>
                  <w:tcBorders>
                    <w:top w:val="single" w:color="000000" w:sz="6" w:space="0"/>
                    <w:left w:val="single" w:color="000000" w:sz="4" w:space="0"/>
                    <w:bottom w:val="single" w:color="000000" w:sz="6" w:space="0"/>
                    <w:right w:val="single" w:color="000000" w:sz="6" w:space="0"/>
                    <w:tl2br w:val="nil"/>
                    <w:tr2bl w:val="nil"/>
                  </w:tcBorders>
                  <w:noWrap w:val="0"/>
                  <w:vAlign w:val="center"/>
                </w:tcPr>
                <w:p>
                  <w:pPr>
                    <w:pStyle w:val="203"/>
                    <w:bidi w:val="0"/>
                    <w:rPr>
                      <w:rFonts w:hint="default"/>
                      <w:color w:val="000000"/>
                    </w:rPr>
                  </w:pPr>
                  <w:r>
                    <w:rPr>
                      <w:rFonts w:hint="default"/>
                      <w:color w:val="000000"/>
                    </w:rPr>
                    <w:t>4.</w:t>
                  </w:r>
                  <w:r>
                    <w:rPr>
                      <w:rFonts w:hint="eastAsia"/>
                      <w:color w:val="000000"/>
                      <w:lang w:val="en-US" w:eastAsia="zh-CN"/>
                    </w:rPr>
                    <w:t>3</w:t>
                  </w:r>
                  <w:r>
                    <w:rPr>
                      <w:rFonts w:hint="default"/>
                      <w:color w:val="000000"/>
                    </w:rPr>
                    <w:t>.1</w:t>
                  </w:r>
                </w:p>
              </w:tc>
              <w:tc>
                <w:tcPr>
                  <w:tcW w:w="184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eastAsia="宋体"/>
                      <w:color w:val="000000"/>
                      <w:lang w:eastAsia="zh-CN"/>
                    </w:rPr>
                  </w:pPr>
                  <w:r>
                    <w:rPr>
                      <w:rFonts w:hint="eastAsia"/>
                      <w:color w:val="000000"/>
                      <w:lang w:eastAsia="zh-CN"/>
                    </w:rPr>
                    <w:t>站址选择应符合城市规划、交通规划、环境保护和消防安全要求，并应选在交通便利的地方</w:t>
                  </w:r>
                </w:p>
              </w:tc>
              <w:tc>
                <w:tcPr>
                  <w:tcW w:w="19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color w:val="000000"/>
                    </w:rPr>
                  </w:pPr>
                  <w:r>
                    <w:rPr>
                      <w:rFonts w:hint="eastAsia"/>
                      <w:color w:val="000000"/>
                      <w:lang w:val="en-US" w:eastAsia="zh-CN"/>
                    </w:rPr>
                    <w:t>本项目已取得峨边彝族自治县自然资源局下发的关于该项目的建设工程规划许可证，因此</w:t>
                  </w:r>
                  <w:r>
                    <w:rPr>
                      <w:rFonts w:hint="eastAsia"/>
                      <w:color w:val="000000"/>
                    </w:rPr>
                    <w:t>本项目选址符合当地</w:t>
                  </w:r>
                  <w:r>
                    <w:rPr>
                      <w:rFonts w:hint="eastAsia"/>
                      <w:color w:val="000000"/>
                      <w:lang w:eastAsia="zh-CN"/>
                    </w:rPr>
                    <w:t>城市</w:t>
                  </w:r>
                  <w:r>
                    <w:rPr>
                      <w:rFonts w:hint="eastAsia"/>
                      <w:color w:val="000000"/>
                    </w:rPr>
                    <w:t>规划，</w:t>
                  </w:r>
                  <w:r>
                    <w:rPr>
                      <w:rFonts w:hint="eastAsia"/>
                      <w:color w:val="000000"/>
                      <w:lang w:eastAsia="zh-CN"/>
                    </w:rPr>
                    <w:t>项目设计</w:t>
                  </w:r>
                  <w:r>
                    <w:rPr>
                      <w:rFonts w:hint="eastAsia"/>
                      <w:color w:val="000000"/>
                    </w:rPr>
                    <w:t>满足环境保护和防火安全要求，</w:t>
                  </w:r>
                  <w:r>
                    <w:rPr>
                      <w:rFonts w:hint="eastAsia"/>
                      <w:color w:val="000000"/>
                      <w:lang w:eastAsia="zh-CN"/>
                    </w:rPr>
                    <w:t>紧邻</w:t>
                  </w:r>
                  <w:r>
                    <w:rPr>
                      <w:rFonts w:hint="eastAsia"/>
                      <w:color w:val="000000"/>
                      <w:lang w:val="en-US" w:eastAsia="zh-CN"/>
                    </w:rPr>
                    <w:t>在建的国道245高速工程，因此</w:t>
                  </w:r>
                  <w:r>
                    <w:rPr>
                      <w:rFonts w:hint="eastAsia"/>
                      <w:color w:val="000000"/>
                    </w:rPr>
                    <w:t>交通便利</w:t>
                  </w:r>
                </w:p>
              </w:tc>
              <w:tc>
                <w:tcPr>
                  <w:tcW w:w="565" w:type="pct"/>
                  <w:tcBorders>
                    <w:top w:val="single" w:color="000000" w:sz="6"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p>
                <w:p>
                  <w:pPr>
                    <w:pStyle w:val="203"/>
                    <w:bidi w:val="0"/>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7" w:hRule="atLeast"/>
                <w:jc w:val="center"/>
              </w:trPr>
              <w:tc>
                <w:tcPr>
                  <w:tcW w:w="597" w:type="pct"/>
                  <w:tcBorders>
                    <w:top w:val="single" w:color="000000" w:sz="6" w:space="0"/>
                    <w:left w:val="single" w:color="000000" w:sz="4" w:space="0"/>
                    <w:bottom w:val="single" w:color="000000" w:sz="6" w:space="0"/>
                    <w:right w:val="single" w:color="000000" w:sz="6" w:space="0"/>
                    <w:tl2br w:val="nil"/>
                    <w:tr2bl w:val="nil"/>
                  </w:tcBorders>
                  <w:noWrap w:val="0"/>
                  <w:vAlign w:val="center"/>
                </w:tcPr>
                <w:p>
                  <w:pPr>
                    <w:pStyle w:val="203"/>
                    <w:bidi w:val="0"/>
                    <w:rPr>
                      <w:rFonts w:hint="default"/>
                      <w:color w:val="000000"/>
                    </w:rPr>
                  </w:pPr>
                  <w:r>
                    <w:rPr>
                      <w:rFonts w:hint="default"/>
                      <w:color w:val="000000"/>
                    </w:rPr>
                    <w:t>4.</w:t>
                  </w:r>
                  <w:r>
                    <w:rPr>
                      <w:rFonts w:hint="eastAsia"/>
                      <w:color w:val="000000"/>
                      <w:lang w:val="en-US" w:eastAsia="zh-CN"/>
                    </w:rPr>
                    <w:t>3</w:t>
                  </w:r>
                  <w:r>
                    <w:rPr>
                      <w:rFonts w:hint="default"/>
                      <w:color w:val="000000"/>
                    </w:rPr>
                    <w:t>.2</w:t>
                  </w:r>
                </w:p>
              </w:tc>
              <w:tc>
                <w:tcPr>
                  <w:tcW w:w="184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eastAsia" w:eastAsia="宋体"/>
                      <w:color w:val="000000"/>
                      <w:lang w:eastAsia="zh-CN"/>
                    </w:rPr>
                  </w:pPr>
                  <w:r>
                    <w:rPr>
                      <w:rFonts w:hint="eastAsia"/>
                      <w:color w:val="000000"/>
                      <w:lang w:eastAsia="zh-CN"/>
                    </w:rPr>
                    <w:t>城市建成区内的加气站，宜靠近城市道路，与道路交叉路口的距离应符合交通主管部门的要求</w:t>
                  </w:r>
                </w:p>
              </w:tc>
              <w:tc>
                <w:tcPr>
                  <w:tcW w:w="19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default" w:eastAsia="宋体"/>
                      <w:color w:val="000000"/>
                      <w:lang w:val="en-US" w:eastAsia="zh-CN"/>
                    </w:rPr>
                  </w:pPr>
                  <w:r>
                    <w:rPr>
                      <w:rFonts w:hint="eastAsia"/>
                      <w:color w:val="000000"/>
                    </w:rPr>
                    <w:t>项目位于</w:t>
                  </w:r>
                  <w:r>
                    <w:rPr>
                      <w:rFonts w:hint="eastAsia"/>
                      <w:color w:val="000000"/>
                      <w:lang w:eastAsia="zh-CN"/>
                    </w:rPr>
                    <w:t>乐山市峨边新场乡长虹村2组</w:t>
                  </w:r>
                  <w:r>
                    <w:rPr>
                      <w:rFonts w:hint="eastAsia"/>
                      <w:color w:val="000000"/>
                    </w:rPr>
                    <w:t>，</w:t>
                  </w:r>
                  <w:r>
                    <w:rPr>
                      <w:rFonts w:hint="eastAsia"/>
                      <w:color w:val="000000"/>
                      <w:lang w:eastAsia="zh-CN"/>
                    </w:rPr>
                    <w:t>距峨边县城约</w:t>
                  </w:r>
                  <w:r>
                    <w:rPr>
                      <w:rFonts w:hint="eastAsia"/>
                      <w:color w:val="000000"/>
                      <w:lang w:val="en-US" w:eastAsia="zh-CN"/>
                    </w:rPr>
                    <w:t>4km，</w:t>
                  </w:r>
                  <w:r>
                    <w:rPr>
                      <w:rFonts w:hint="eastAsia"/>
                      <w:color w:val="000000"/>
                    </w:rPr>
                    <w:t>为城市建成区边缘，</w:t>
                  </w:r>
                  <w:r>
                    <w:rPr>
                      <w:rFonts w:hint="eastAsia"/>
                      <w:color w:val="000000"/>
                      <w:lang w:eastAsia="zh-CN"/>
                    </w:rPr>
                    <w:t>且项目建址紧挨</w:t>
                  </w:r>
                  <w:r>
                    <w:rPr>
                      <w:rFonts w:hint="eastAsia"/>
                      <w:color w:val="000000"/>
                      <w:lang w:val="en-US" w:eastAsia="zh-CN"/>
                    </w:rPr>
                    <w:t>S306，不在道路交叉路口，能方便过往车辆加气所需</w:t>
                  </w:r>
                </w:p>
              </w:tc>
              <w:tc>
                <w:tcPr>
                  <w:tcW w:w="565" w:type="pct"/>
                  <w:tcBorders>
                    <w:top w:val="single" w:color="000000" w:sz="6"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p>
                <w:p>
                  <w:pPr>
                    <w:pStyle w:val="203"/>
                    <w:bidi w:val="0"/>
                    <w:rPr>
                      <w:rFonts w:hint="eastAsia"/>
                      <w:color w:val="000000"/>
                    </w:rPr>
                  </w:pPr>
                </w:p>
                <w:p>
                  <w:pPr>
                    <w:pStyle w:val="203"/>
                    <w:bidi w:val="0"/>
                    <w:rPr>
                      <w:rFonts w:hint="eastAsia"/>
                      <w:color w:val="000000"/>
                    </w:rPr>
                  </w:pPr>
                  <w:r>
                    <w:rPr>
                      <w:rFonts w:hint="eastAsia"/>
                      <w:color w:val="000000"/>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97" w:type="pct"/>
                  <w:tcBorders>
                    <w:top w:val="single" w:color="000000" w:sz="6" w:space="0"/>
                    <w:left w:val="single" w:color="000000" w:sz="4" w:space="0"/>
                    <w:bottom w:val="single" w:color="000000" w:sz="6" w:space="0"/>
                    <w:right w:val="single" w:color="000000" w:sz="6" w:space="0"/>
                    <w:tl2br w:val="nil"/>
                    <w:tr2bl w:val="nil"/>
                  </w:tcBorders>
                  <w:noWrap w:val="0"/>
                  <w:vAlign w:val="center"/>
                </w:tcPr>
                <w:p>
                  <w:pPr>
                    <w:pStyle w:val="203"/>
                    <w:bidi w:val="0"/>
                    <w:rPr>
                      <w:rFonts w:hint="default"/>
                      <w:color w:val="000000"/>
                    </w:rPr>
                  </w:pPr>
                  <w:r>
                    <w:rPr>
                      <w:rFonts w:hint="default"/>
                      <w:color w:val="000000"/>
                    </w:rPr>
                    <w:t>4.</w:t>
                  </w:r>
                  <w:r>
                    <w:rPr>
                      <w:rFonts w:hint="eastAsia"/>
                      <w:color w:val="000000"/>
                      <w:lang w:val="en-US" w:eastAsia="zh-CN"/>
                    </w:rPr>
                    <w:t>3</w:t>
                  </w:r>
                  <w:r>
                    <w:rPr>
                      <w:rFonts w:hint="default"/>
                      <w:color w:val="000000"/>
                    </w:rPr>
                    <w:t>.3</w:t>
                  </w:r>
                </w:p>
              </w:tc>
              <w:tc>
                <w:tcPr>
                  <w:tcW w:w="1843"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default" w:eastAsia="宋体"/>
                      <w:color w:val="000000"/>
                      <w:lang w:val="en-US" w:eastAsia="zh-CN"/>
                    </w:rPr>
                  </w:pPr>
                  <w:r>
                    <w:rPr>
                      <w:rFonts w:hint="eastAsia"/>
                      <w:color w:val="000000"/>
                      <w:lang w:eastAsia="zh-CN"/>
                    </w:rPr>
                    <w:t>加气站的</w:t>
                  </w:r>
                  <w:r>
                    <w:rPr>
                      <w:rFonts w:hint="eastAsia"/>
                      <w:color w:val="000000"/>
                      <w:lang w:val="en-US" w:eastAsia="zh-CN"/>
                    </w:rPr>
                    <w:t>LNG储罐、放散管管口、LNG卸车口与站外建、构筑物的防火间距，不应小于《液化天然气（LNG）汽车加气站技术规范》（NB/T1001-2011）中表4.3的规定</w:t>
                  </w:r>
                </w:p>
              </w:tc>
              <w:tc>
                <w:tcPr>
                  <w:tcW w:w="1994" w:type="pct"/>
                  <w:tcBorders>
                    <w:top w:val="single" w:color="000000" w:sz="6" w:space="0"/>
                    <w:left w:val="single" w:color="000000" w:sz="6" w:space="0"/>
                    <w:bottom w:val="single" w:color="000000" w:sz="6" w:space="0"/>
                    <w:right w:val="single" w:color="000000" w:sz="6" w:space="0"/>
                    <w:tl2br w:val="nil"/>
                    <w:tr2bl w:val="nil"/>
                  </w:tcBorders>
                  <w:noWrap w:val="0"/>
                  <w:vAlign w:val="center"/>
                </w:tcPr>
                <w:p>
                  <w:pPr>
                    <w:pStyle w:val="203"/>
                    <w:bidi w:val="0"/>
                    <w:rPr>
                      <w:rFonts w:hint="default" w:eastAsia="宋体"/>
                      <w:color w:val="000000"/>
                      <w:lang w:val="en-US" w:eastAsia="zh-CN"/>
                    </w:rPr>
                  </w:pPr>
                  <w:r>
                    <w:rPr>
                      <w:rFonts w:hint="eastAsia"/>
                      <w:color w:val="000000"/>
                      <w:lang w:eastAsia="zh-CN"/>
                    </w:rPr>
                    <w:t>详见下表</w:t>
                  </w:r>
                  <w:r>
                    <w:rPr>
                      <w:rFonts w:hint="eastAsia"/>
                      <w:color w:val="000000"/>
                      <w:lang w:val="en-US" w:eastAsia="zh-CN"/>
                    </w:rPr>
                    <w:t>1-2</w:t>
                  </w:r>
                </w:p>
              </w:tc>
              <w:tc>
                <w:tcPr>
                  <w:tcW w:w="565" w:type="pct"/>
                  <w:tcBorders>
                    <w:top w:val="single" w:color="000000" w:sz="6" w:space="0"/>
                    <w:left w:val="single" w:color="000000" w:sz="6" w:space="0"/>
                    <w:bottom w:val="single" w:color="000000" w:sz="6" w:space="0"/>
                    <w:right w:val="single" w:color="000000" w:sz="4" w:space="0"/>
                    <w:tl2br w:val="nil"/>
                    <w:tr2bl w:val="nil"/>
                  </w:tcBorders>
                  <w:noWrap w:val="0"/>
                  <w:vAlign w:val="center"/>
                </w:tcPr>
                <w:p>
                  <w:pPr>
                    <w:pStyle w:val="203"/>
                    <w:bidi w:val="0"/>
                    <w:rPr>
                      <w:rFonts w:hint="eastAsia"/>
                      <w:color w:val="000000"/>
                    </w:rPr>
                  </w:pPr>
                  <w:r>
                    <w:rPr>
                      <w:rFonts w:hint="eastAsia"/>
                      <w:color w:val="000000"/>
                    </w:rPr>
                    <w:t>符合</w:t>
                  </w:r>
                </w:p>
              </w:tc>
            </w:tr>
          </w:tbl>
          <w:p>
            <w:pPr>
              <w:pStyle w:val="97"/>
              <w:bidi w:val="0"/>
            </w:pPr>
            <w:r>
              <w:rPr>
                <w:rFonts w:hint="eastAsia"/>
              </w:rPr>
              <w:t>本项目拟建址周围不涉及自然保护区、风景名胜区、世界文化和自然遗产地、海洋特别保护区、饮用水水源保护区；不涉及基本农田保护区、基本草原、森林公园、地质公园、重要湿地、天然林、野生动物重要栖息地、重点保护野生植物生长繁殖地、重要水生生物的自然产卵场、索饵场、越冬场和洄游通道、天然渔场、水土流失重点防治区、沙化土地封禁保护区、封闭及半封闭海域、生态脆弱敏感区等敏感区域，不在划定的生态红线区内。</w:t>
            </w:r>
          </w:p>
          <w:p>
            <w:pPr>
              <w:widowControl/>
              <w:shd w:val="clear" w:color="auto" w:fill="FFFFFF"/>
              <w:spacing w:line="360" w:lineRule="auto"/>
              <w:ind w:firstLine="482" w:firstLineChars="200"/>
              <w:rPr>
                <w:rFonts w:eastAsiaTheme="minorEastAsia"/>
                <w:b/>
                <w:sz w:val="24"/>
              </w:rPr>
            </w:pPr>
            <w:r>
              <w:rPr>
                <w:rFonts w:hint="eastAsia" w:eastAsiaTheme="minorEastAsia"/>
                <w:b/>
                <w:sz w:val="24"/>
              </w:rPr>
              <w:t>综上所述，评价认为本项目选址具有合理性。</w:t>
            </w:r>
          </w:p>
          <w:p>
            <w:pPr>
              <w:spacing w:line="360" w:lineRule="auto"/>
              <w:ind w:firstLine="482"/>
              <w:rPr>
                <w:rFonts w:eastAsiaTheme="minorEastAsia"/>
                <w:b/>
                <w:color w:val="000000" w:themeColor="text1"/>
                <w:sz w:val="24"/>
                <w14:textFill>
                  <w14:solidFill>
                    <w14:schemeClr w14:val="tx1"/>
                  </w14:solidFill>
                </w14:textFill>
              </w:rPr>
            </w:pPr>
            <w:r>
              <w:rPr>
                <w:rFonts w:eastAsiaTheme="minorEastAsia"/>
                <w:b/>
                <w:color w:val="000000" w:themeColor="text1"/>
                <w:sz w:val="24"/>
                <w14:textFill>
                  <w14:solidFill>
                    <w14:schemeClr w14:val="tx1"/>
                  </w14:solidFill>
                </w14:textFill>
              </w:rPr>
              <w:t>5、区域环境质量现状分析结论</w:t>
            </w:r>
          </w:p>
          <w:p>
            <w:pPr>
              <w:spacing w:line="360" w:lineRule="auto"/>
              <w:ind w:firstLine="482" w:firstLineChars="200"/>
              <w:rPr>
                <w:rFonts w:eastAsiaTheme="minorEastAsia"/>
                <w:b/>
                <w:color w:val="FF0000"/>
                <w:sz w:val="24"/>
              </w:rPr>
            </w:pPr>
            <w:r>
              <w:rPr>
                <w:rFonts w:eastAsiaTheme="minorEastAsia"/>
                <w:b/>
                <w:color w:val="000000" w:themeColor="text1"/>
                <w:sz w:val="24"/>
                <w14:textFill>
                  <w14:solidFill>
                    <w14:schemeClr w14:val="tx1"/>
                  </w14:solidFill>
                </w14:textFill>
              </w:rPr>
              <w:t>地表水环境质量现状：</w:t>
            </w:r>
            <w:r>
              <w:rPr>
                <w:rFonts w:hint="eastAsia" w:eastAsiaTheme="minorEastAsia"/>
                <w:color w:val="000000" w:themeColor="text1"/>
                <w:sz w:val="24"/>
                <w14:textFill>
                  <w14:solidFill>
                    <w14:schemeClr w14:val="tx1"/>
                  </w14:solidFill>
                </w14:textFill>
              </w:rPr>
              <w:t>根据峨边</w:t>
            </w:r>
            <w:r>
              <w:rPr>
                <w:rFonts w:eastAsiaTheme="minorEastAsia"/>
                <w:color w:val="000000" w:themeColor="text1"/>
                <w:sz w:val="24"/>
                <w14:textFill>
                  <w14:solidFill>
                    <w14:schemeClr w14:val="tx1"/>
                  </w14:solidFill>
                </w14:textFill>
              </w:rPr>
              <w:t>彝族自治县人民政府</w:t>
            </w:r>
            <w:r>
              <w:rPr>
                <w:rFonts w:hint="eastAsia" w:eastAsiaTheme="minorEastAsia"/>
                <w:color w:val="000000" w:themeColor="text1"/>
                <w:sz w:val="24"/>
                <w14:textFill>
                  <w14:solidFill>
                    <w14:schemeClr w14:val="tx1"/>
                  </w14:solidFill>
                </w14:textFill>
              </w:rPr>
              <w:t>2020年第</w:t>
            </w:r>
            <w:r>
              <w:rPr>
                <w:rFonts w:hint="eastAsia" w:eastAsiaTheme="minorEastAsia"/>
                <w:color w:val="000000" w:themeColor="text1"/>
                <w:sz w:val="24"/>
                <w:lang w:eastAsia="zh-CN"/>
                <w14:textFill>
                  <w14:solidFill>
                    <w14:schemeClr w14:val="tx1"/>
                  </w14:solidFill>
                </w14:textFill>
              </w:rPr>
              <w:t>三</w:t>
            </w:r>
            <w:r>
              <w:rPr>
                <w:rFonts w:hint="eastAsia" w:eastAsiaTheme="minorEastAsia"/>
                <w:color w:val="000000" w:themeColor="text1"/>
                <w:sz w:val="24"/>
                <w14:textFill>
                  <w14:solidFill>
                    <w14:schemeClr w14:val="tx1"/>
                  </w14:solidFill>
                </w14:textFill>
              </w:rPr>
              <w:t>季度水环境质量信息公开：根据2020年</w:t>
            </w:r>
            <w:r>
              <w:rPr>
                <w:rFonts w:hint="eastAsia" w:eastAsiaTheme="minorEastAsia"/>
                <w:color w:val="000000" w:themeColor="text1"/>
                <w:sz w:val="24"/>
                <w:lang w:val="en-US" w:eastAsia="zh-CN"/>
                <w14:textFill>
                  <w14:solidFill>
                    <w14:schemeClr w14:val="tx1"/>
                  </w14:solidFill>
                </w14:textFill>
              </w:rPr>
              <w:t>7-9</w:t>
            </w:r>
            <w:r>
              <w:rPr>
                <w:rFonts w:hint="eastAsia" w:eastAsiaTheme="minorEastAsia"/>
                <w:color w:val="000000" w:themeColor="text1"/>
                <w:sz w:val="24"/>
                <w14:textFill>
                  <w14:solidFill>
                    <w14:schemeClr w14:val="tx1"/>
                  </w14:solidFill>
                </w14:textFill>
              </w:rPr>
              <w:t>月监测报告显示，大渡河峨边段出入境断面地表水环境质量均达到《地表水环境质量标准》（GB3838-2002）表I中</w:t>
            </w:r>
            <w:r>
              <w:rPr>
                <w:rFonts w:hint="eastAsia" w:eastAsiaTheme="minorEastAsia"/>
                <w:color w:val="000000" w:themeColor="text1"/>
                <w:sz w:val="24"/>
                <w:lang w:val="en-US" w:eastAsia="zh-CN"/>
                <w14:textFill>
                  <w14:solidFill>
                    <w14:schemeClr w14:val="tx1"/>
                  </w14:solidFill>
                </w14:textFill>
              </w:rPr>
              <w:t>III</w:t>
            </w:r>
            <w:r>
              <w:rPr>
                <w:rFonts w:hint="eastAsia" w:eastAsiaTheme="minorEastAsia"/>
                <w:color w:val="000000" w:themeColor="text1"/>
                <w:sz w:val="24"/>
                <w14:textFill>
                  <w14:solidFill>
                    <w14:schemeClr w14:val="tx1"/>
                  </w14:solidFill>
                </w14:textFill>
              </w:rPr>
              <w:t>类水质。</w:t>
            </w:r>
          </w:p>
          <w:p>
            <w:pPr>
              <w:pStyle w:val="97"/>
              <w:ind w:left="0" w:leftChars="0" w:firstLine="480"/>
              <w:jc w:val="both"/>
              <w:rPr>
                <w:rFonts w:cs="宋体"/>
                <w:color w:val="auto"/>
                <w:szCs w:val="20"/>
              </w:rPr>
            </w:pPr>
            <w:r>
              <w:rPr>
                <w:rFonts w:eastAsiaTheme="minorEastAsia"/>
                <w:b/>
                <w:color w:val="000000"/>
                <w:sz w:val="24"/>
              </w:rPr>
              <w:t>大气环境质量现状：</w:t>
            </w:r>
            <w:r>
              <w:rPr>
                <w:rFonts w:hint="eastAsia" w:cs="宋体"/>
                <w:color w:val="auto"/>
                <w:szCs w:val="20"/>
                <w:lang w:eastAsia="zh-CN"/>
              </w:rPr>
              <w:t>根据乐山市</w:t>
            </w:r>
            <w:r>
              <w:rPr>
                <w:rFonts w:hint="eastAsia" w:cs="宋体"/>
                <w:color w:val="auto"/>
                <w:szCs w:val="20"/>
                <w:lang w:val="en-US" w:eastAsia="zh-CN"/>
              </w:rPr>
              <w:t>2019年环境</w:t>
            </w:r>
            <w:r>
              <w:rPr>
                <w:rFonts w:cs="宋体"/>
                <w:color w:val="auto"/>
                <w:szCs w:val="20"/>
              </w:rPr>
              <w:t xml:space="preserve">质量公报（数据来源： </w:t>
            </w:r>
            <w:r>
              <w:rPr>
                <w:rFonts w:hint="eastAsia" w:cs="宋体"/>
                <w:color w:val="auto"/>
                <w:szCs w:val="20"/>
              </w:rPr>
              <w:t>http://shbj.leshan.gov.cn/shbj/hjzlgb/202006/b222880ee0af4a9d9c25fbdad921bc41.shtml</w:t>
            </w:r>
            <w:r>
              <w:rPr>
                <w:rFonts w:cs="宋体"/>
                <w:color w:val="auto"/>
                <w:szCs w:val="20"/>
              </w:rPr>
              <w:t>）可知，区内首要污染物为PM</w:t>
            </w:r>
            <w:r>
              <w:rPr>
                <w:rFonts w:cs="宋体"/>
                <w:color w:val="auto"/>
                <w:szCs w:val="20"/>
                <w:vertAlign w:val="subscript"/>
              </w:rPr>
              <w:t>10</w:t>
            </w:r>
            <w:r>
              <w:rPr>
                <w:rFonts w:cs="宋体"/>
                <w:color w:val="auto"/>
                <w:szCs w:val="20"/>
              </w:rPr>
              <w:t>、PM</w:t>
            </w:r>
            <w:r>
              <w:rPr>
                <w:rFonts w:cs="宋体"/>
                <w:color w:val="auto"/>
                <w:szCs w:val="20"/>
                <w:vertAlign w:val="subscript"/>
              </w:rPr>
              <w:t>2.5</w:t>
            </w:r>
            <w:r>
              <w:rPr>
                <w:rFonts w:cs="宋体"/>
                <w:color w:val="auto"/>
                <w:szCs w:val="20"/>
              </w:rPr>
              <w:t>，其中PM</w:t>
            </w:r>
            <w:r>
              <w:rPr>
                <w:rFonts w:cs="宋体"/>
                <w:color w:val="auto"/>
                <w:szCs w:val="20"/>
                <w:vertAlign w:val="subscript"/>
              </w:rPr>
              <w:t>2.5</w:t>
            </w:r>
            <w:r>
              <w:rPr>
                <w:rFonts w:cs="宋体"/>
                <w:color w:val="auto"/>
                <w:szCs w:val="20"/>
              </w:rPr>
              <w:t>年均浓度值为</w:t>
            </w:r>
            <w:r>
              <w:rPr>
                <w:rFonts w:hint="eastAsia" w:cs="宋体"/>
                <w:color w:val="auto"/>
                <w:szCs w:val="20"/>
                <w:lang w:val="en-US" w:eastAsia="zh-CN"/>
              </w:rPr>
              <w:t>39.1</w:t>
            </w:r>
            <w:r>
              <w:rPr>
                <w:rFonts w:cs="宋体"/>
                <w:color w:val="auto"/>
                <w:szCs w:val="20"/>
              </w:rPr>
              <w:t>μg/m</w:t>
            </w:r>
            <w:r>
              <w:rPr>
                <w:rFonts w:cs="宋体"/>
                <w:color w:val="auto"/>
                <w:szCs w:val="20"/>
                <w:vertAlign w:val="superscript"/>
              </w:rPr>
              <w:t>3</w:t>
            </w:r>
            <w:r>
              <w:rPr>
                <w:rFonts w:cs="宋体"/>
                <w:color w:val="auto"/>
                <w:szCs w:val="20"/>
              </w:rPr>
              <w:t>，超过了《环境空气质量标准》（GB3095-2012）</w:t>
            </w:r>
            <w:r>
              <w:rPr>
                <w:rFonts w:hint="eastAsia" w:cs="宋体"/>
                <w:color w:val="auto"/>
                <w:szCs w:val="20"/>
                <w:lang w:eastAsia="zh-CN"/>
              </w:rPr>
              <w:t>二级标准限值</w:t>
            </w:r>
            <w:r>
              <w:rPr>
                <w:rFonts w:cs="宋体"/>
                <w:color w:val="auto"/>
                <w:szCs w:val="20"/>
              </w:rPr>
              <w:t>，属于不达标区域。乐山市于2017年发布了《乐山市大气环境质量限期达标规划（2016年-2025年）》，规划到2020年PM</w:t>
            </w:r>
            <w:r>
              <w:rPr>
                <w:rFonts w:cs="宋体"/>
                <w:color w:val="auto"/>
                <w:szCs w:val="20"/>
                <w:vertAlign w:val="subscript"/>
              </w:rPr>
              <w:t>10</w:t>
            </w:r>
            <w:r>
              <w:rPr>
                <w:rFonts w:cs="宋体"/>
                <w:color w:val="auto"/>
                <w:szCs w:val="20"/>
              </w:rPr>
              <w:t>年均浓度达到《环境空气质量标准》（GB3095-2012）二级标准限值，到2025年PM</w:t>
            </w:r>
            <w:r>
              <w:rPr>
                <w:rFonts w:cs="宋体"/>
                <w:color w:val="auto"/>
                <w:szCs w:val="20"/>
                <w:vertAlign w:val="subscript"/>
              </w:rPr>
              <w:t>2.5</w:t>
            </w:r>
            <w:r>
              <w:rPr>
                <w:rFonts w:cs="宋体"/>
                <w:color w:val="auto"/>
                <w:szCs w:val="20"/>
              </w:rPr>
              <w:t>年均浓度达到《环境空气质量标准》（GB3095-2012）二级标准限值。</w:t>
            </w:r>
          </w:p>
          <w:p>
            <w:pPr>
              <w:spacing w:line="360" w:lineRule="auto"/>
              <w:ind w:firstLine="482" w:firstLineChars="200"/>
              <w:rPr>
                <w:rFonts w:eastAsiaTheme="minorEastAsia"/>
                <w:color w:val="000000" w:themeColor="text1"/>
                <w:kern w:val="0"/>
                <w:sz w:val="24"/>
                <w14:textFill>
                  <w14:solidFill>
                    <w14:schemeClr w14:val="tx1"/>
                  </w14:solidFill>
                </w14:textFill>
              </w:rPr>
            </w:pPr>
            <w:r>
              <w:rPr>
                <w:rFonts w:eastAsiaTheme="minorEastAsia"/>
                <w:b/>
                <w:color w:val="000000" w:themeColor="text1"/>
                <w:kern w:val="0"/>
                <w:sz w:val="24"/>
                <w14:textFill>
                  <w14:solidFill>
                    <w14:schemeClr w14:val="tx1"/>
                  </w14:solidFill>
                </w14:textFill>
              </w:rPr>
              <w:t>声环境质量现状：</w:t>
            </w:r>
            <w:r>
              <w:rPr>
                <w:rFonts w:eastAsiaTheme="minorEastAsia"/>
                <w:color w:val="000000" w:themeColor="text1"/>
                <w:kern w:val="0"/>
                <w:sz w:val="24"/>
                <w14:textFill>
                  <w14:solidFill>
                    <w14:schemeClr w14:val="tx1"/>
                  </w14:solidFill>
                </w14:textFill>
              </w:rPr>
              <w:t>在监测的数据中，各监测点位均能满足《声环境质量标准》（GB3096-2008）中2类</w:t>
            </w:r>
            <w:r>
              <w:rPr>
                <w:rFonts w:hint="eastAsia" w:eastAsiaTheme="minorEastAsia"/>
                <w:color w:val="000000" w:themeColor="text1"/>
                <w:kern w:val="0"/>
                <w:sz w:val="24"/>
                <w:lang w:eastAsia="zh-CN"/>
                <w14:textFill>
                  <w14:solidFill>
                    <w14:schemeClr w14:val="tx1"/>
                  </w14:solidFill>
                </w14:textFill>
              </w:rPr>
              <w:t>和</w:t>
            </w:r>
            <w:r>
              <w:rPr>
                <w:rFonts w:hint="eastAsia" w:eastAsiaTheme="minorEastAsia"/>
                <w:color w:val="000000" w:themeColor="text1"/>
                <w:kern w:val="0"/>
                <w:sz w:val="24"/>
                <w:lang w:val="en-US" w:eastAsia="zh-CN"/>
                <w14:textFill>
                  <w14:solidFill>
                    <w14:schemeClr w14:val="tx1"/>
                  </w14:solidFill>
                </w14:textFill>
              </w:rPr>
              <w:t>4a类</w:t>
            </w:r>
            <w:r>
              <w:rPr>
                <w:rFonts w:eastAsiaTheme="minorEastAsia"/>
                <w:color w:val="000000" w:themeColor="text1"/>
                <w:kern w:val="0"/>
                <w:sz w:val="24"/>
                <w14:textFill>
                  <w14:solidFill>
                    <w14:schemeClr w14:val="tx1"/>
                  </w14:solidFill>
                </w14:textFill>
              </w:rPr>
              <w:t>功能区标准，沿线各噪声敏感点没有超标现象，项目区域声环境质量良好。</w:t>
            </w:r>
          </w:p>
          <w:p>
            <w:pPr>
              <w:spacing w:line="360" w:lineRule="auto"/>
              <w:ind w:firstLine="482" w:firstLineChars="200"/>
              <w:rPr>
                <w:rFonts w:eastAsiaTheme="minorEastAsia"/>
                <w:color w:val="FF0000"/>
                <w:sz w:val="24"/>
              </w:rPr>
            </w:pPr>
            <w:r>
              <w:rPr>
                <w:rFonts w:eastAsiaTheme="minorEastAsia"/>
                <w:b/>
                <w:color w:val="000000"/>
                <w:sz w:val="24"/>
              </w:rPr>
              <w:t>6、运营期环境影响结论</w:t>
            </w:r>
          </w:p>
          <w:p>
            <w:pPr>
              <w:spacing w:line="360" w:lineRule="auto"/>
              <w:ind w:firstLine="482" w:firstLineChars="200"/>
              <w:jc w:val="left"/>
              <w:rPr>
                <w:rFonts w:eastAsiaTheme="minorEastAsia"/>
                <w:b/>
                <w:bCs/>
                <w:color w:val="000000"/>
                <w:sz w:val="24"/>
              </w:rPr>
            </w:pPr>
            <w:r>
              <w:rPr>
                <w:rFonts w:eastAsiaTheme="minorEastAsia"/>
                <w:b/>
                <w:bCs/>
                <w:color w:val="000000"/>
                <w:sz w:val="24"/>
              </w:rPr>
              <w:t>（1）大气环境影响</w:t>
            </w:r>
          </w:p>
          <w:p>
            <w:pPr>
              <w:spacing w:line="360" w:lineRule="auto"/>
              <w:ind w:firstLine="480" w:firstLineChars="200"/>
              <w:jc w:val="left"/>
              <w:rPr>
                <w:rFonts w:hint="eastAsia" w:eastAsiaTheme="minorEastAsia"/>
                <w:bCs/>
                <w:color w:val="000000"/>
                <w:sz w:val="24"/>
                <w:lang w:eastAsia="zh-CN"/>
              </w:rPr>
            </w:pPr>
            <w:r>
              <w:rPr>
                <w:rFonts w:hint="eastAsia" w:eastAsiaTheme="minorEastAsia"/>
                <w:bCs/>
                <w:color w:val="000000"/>
                <w:sz w:val="24"/>
              </w:rPr>
              <w:t>本项目为</w:t>
            </w:r>
            <w:r>
              <w:rPr>
                <w:rFonts w:hint="eastAsia" w:eastAsiaTheme="minorEastAsia"/>
                <w:bCs/>
                <w:color w:val="000000"/>
                <w:sz w:val="24"/>
                <w:lang w:eastAsia="zh-CN"/>
              </w:rPr>
              <w:t>机动车燃气零售行业</w:t>
            </w:r>
            <w:r>
              <w:rPr>
                <w:rFonts w:hint="eastAsia" w:eastAsiaTheme="minorEastAsia"/>
                <w:bCs/>
                <w:color w:val="000000"/>
                <w:sz w:val="24"/>
              </w:rPr>
              <w:t>，运营期</w:t>
            </w:r>
            <w:r>
              <w:rPr>
                <w:rFonts w:hint="eastAsia" w:eastAsiaTheme="minorEastAsia"/>
                <w:bCs/>
                <w:color w:val="000000"/>
                <w:sz w:val="24"/>
                <w:lang w:eastAsia="zh-CN"/>
              </w:rPr>
              <w:t>废气主要为加气站各设备的无组织废气、放散管废气和汽车尾气。加气系统均为封闭状态，逸漏量很少，且为无组织排放。站场异常超压及设备检修排放的天然气，送到站外放散管集中排放。</w:t>
            </w:r>
          </w:p>
          <w:p>
            <w:pPr>
              <w:spacing w:line="360" w:lineRule="auto"/>
              <w:ind w:firstLine="480" w:firstLineChars="200"/>
              <w:jc w:val="left"/>
              <w:rPr>
                <w:rFonts w:hint="eastAsia" w:eastAsiaTheme="minorEastAsia"/>
                <w:bCs/>
                <w:color w:val="000000"/>
                <w:sz w:val="24"/>
                <w:lang w:val="en-US" w:eastAsia="zh-CN"/>
              </w:rPr>
            </w:pPr>
            <w:r>
              <w:rPr>
                <w:rFonts w:hint="eastAsia" w:eastAsiaTheme="minorEastAsia"/>
                <w:bCs/>
                <w:color w:val="000000"/>
                <w:sz w:val="24"/>
                <w:lang w:val="en-US" w:eastAsia="zh-CN"/>
              </w:rPr>
              <w:t>本项目拟设置一套 EAG 放散系统，放散经 LNG 卸压时产生的废气。放散天然气经过 EAG 系统加热后，使比空气更重的天然气比重变低，密度低于空气，再由放散管排放。由于放散量小，天然气相对空气的比重较低，放散天然气会迅速进入大气层而不会聚集。由于天然气基本不含有毒物质，比重轻， 其泄漏的少量天然气很快扩散，对环境空气质量影响甚微。</w:t>
            </w:r>
          </w:p>
          <w:p>
            <w:pPr>
              <w:spacing w:line="360" w:lineRule="auto"/>
              <w:ind w:firstLine="480" w:firstLineChars="200"/>
              <w:jc w:val="left"/>
              <w:rPr>
                <w:rFonts w:hint="eastAsia" w:eastAsiaTheme="minorEastAsia"/>
                <w:bCs/>
                <w:color w:val="000000"/>
                <w:sz w:val="24"/>
                <w:lang w:eastAsia="zh-CN"/>
              </w:rPr>
            </w:pPr>
            <w:r>
              <w:rPr>
                <w:rFonts w:hint="eastAsia" w:eastAsiaTheme="minorEastAsia"/>
                <w:bCs/>
                <w:color w:val="000000"/>
                <w:sz w:val="24"/>
                <w:lang w:val="en-US" w:eastAsia="zh-CN"/>
              </w:rPr>
              <w:t>进出加气站的车辆会产生少量汽车尾气，其特点是排放量小，且属间断性无组织排放，由于这一特点，应通过控制车辆行驶速度降低影响，通过大气的自净作用可以得到净化，鉴于项目场地开阔，扩散条件良好，因此对大气环境的影响甚微。</w:t>
            </w:r>
          </w:p>
          <w:p>
            <w:pPr>
              <w:spacing w:line="360" w:lineRule="auto"/>
              <w:ind w:firstLine="482" w:firstLineChars="200"/>
              <w:jc w:val="left"/>
              <w:rPr>
                <w:rFonts w:eastAsiaTheme="minorEastAsia"/>
                <w:b/>
                <w:bCs/>
                <w:color w:val="000000"/>
                <w:sz w:val="24"/>
              </w:rPr>
            </w:pPr>
            <w:r>
              <w:rPr>
                <w:rFonts w:eastAsiaTheme="minorEastAsia"/>
                <w:b/>
                <w:bCs/>
                <w:color w:val="000000"/>
                <w:sz w:val="24"/>
              </w:rPr>
              <w:t>（2）水环境影响</w:t>
            </w:r>
          </w:p>
          <w:p>
            <w:pPr>
              <w:pStyle w:val="182"/>
              <w:ind w:firstLine="480" w:firstLineChars="200"/>
              <w:rPr>
                <w:rFonts w:hint="eastAsia" w:ascii="Times New Roman" w:hAnsi="Times New Roman" w:eastAsiaTheme="minorEastAsia"/>
                <w:b w:val="0"/>
                <w:lang w:eastAsia="zh-CN"/>
              </w:rPr>
            </w:pPr>
            <w:r>
              <w:rPr>
                <w:rFonts w:hint="eastAsia" w:ascii="Times New Roman" w:hAnsi="Times New Roman" w:eastAsiaTheme="minorEastAsia"/>
                <w:b w:val="0"/>
              </w:rPr>
              <w:t>本项目运营期间废水主要是</w:t>
            </w:r>
            <w:r>
              <w:rPr>
                <w:rFonts w:hint="eastAsia" w:ascii="Times New Roman" w:hAnsi="Times New Roman" w:eastAsiaTheme="minorEastAsia"/>
                <w:b w:val="0"/>
                <w:lang w:eastAsia="zh-CN"/>
              </w:rPr>
              <w:t>生活污水和地面冲洗废水。</w:t>
            </w:r>
            <w:r>
              <w:rPr>
                <w:rFonts w:hint="eastAsia" w:ascii="Times New Roman" w:hAnsi="Times New Roman" w:eastAsiaTheme="minorEastAsia"/>
                <w:b w:val="0"/>
              </w:rPr>
              <w:t>生活废水</w:t>
            </w:r>
            <w:r>
              <w:rPr>
                <w:rFonts w:hint="eastAsia" w:ascii="Times New Roman" w:hAnsi="Times New Roman" w:eastAsiaTheme="minorEastAsia"/>
                <w:b w:val="0"/>
                <w:lang w:eastAsia="zh-CN"/>
              </w:rPr>
              <w:t>经化粪池</w:t>
            </w:r>
            <w:r>
              <w:rPr>
                <w:rFonts w:hint="eastAsia" w:ascii="Times New Roman" w:hAnsi="Times New Roman" w:eastAsiaTheme="minorEastAsia"/>
                <w:b w:val="0"/>
              </w:rPr>
              <w:t>处理后用作当地农田、林地农肥使用，不外排，不会对周围环境造成较大影响。</w:t>
            </w:r>
            <w:r>
              <w:rPr>
                <w:rFonts w:hint="eastAsia" w:ascii="Times New Roman" w:hAnsi="Times New Roman" w:eastAsiaTheme="minorEastAsia"/>
                <w:b w:val="0"/>
                <w:lang w:eastAsia="zh-CN"/>
              </w:rPr>
              <w:t>站区地面冲洗废水仅含少量的泥沙，不含有毒有害物质，该废水经导流沟排至站外低洼处。项目运营期废水均得到合理处置，不会对周边环境产生明显影响。</w:t>
            </w:r>
          </w:p>
          <w:p>
            <w:pPr>
              <w:widowControl/>
              <w:spacing w:line="360" w:lineRule="auto"/>
              <w:ind w:firstLine="482" w:firstLineChars="200"/>
              <w:jc w:val="left"/>
              <w:rPr>
                <w:rFonts w:eastAsiaTheme="minorEastAsia"/>
                <w:b/>
                <w:bCs/>
                <w:sz w:val="24"/>
              </w:rPr>
            </w:pPr>
            <w:r>
              <w:rPr>
                <w:rFonts w:eastAsiaTheme="minorEastAsia"/>
                <w:b/>
                <w:bCs/>
                <w:sz w:val="24"/>
              </w:rPr>
              <w:t>（3）声环境影响</w:t>
            </w:r>
          </w:p>
          <w:p>
            <w:pPr>
              <w:spacing w:line="360" w:lineRule="auto"/>
              <w:ind w:firstLine="480" w:firstLineChars="200"/>
              <w:jc w:val="left"/>
              <w:rPr>
                <w:rFonts w:hint="eastAsia" w:eastAsiaTheme="minorEastAsia"/>
                <w:bCs/>
                <w:color w:val="000000" w:themeColor="text1"/>
                <w:sz w:val="24"/>
                <w14:textFill>
                  <w14:solidFill>
                    <w14:schemeClr w14:val="tx1"/>
                  </w14:solidFill>
                </w14:textFill>
              </w:rPr>
            </w:pPr>
            <w:r>
              <w:rPr>
                <w:rFonts w:hint="eastAsia" w:eastAsiaTheme="minorEastAsia"/>
                <w:bCs/>
                <w:color w:val="000000" w:themeColor="text1"/>
                <w:sz w:val="24"/>
                <w14:textFill>
                  <w14:solidFill>
                    <w14:schemeClr w14:val="tx1"/>
                  </w14:solidFill>
                </w14:textFill>
              </w:rPr>
              <w:t>项目噪声主要来自设备噪声（潜液泵、加液机、仪表风系统的小型空压机等）、进出车辆噪声，源强约为 60~80dB（A）。</w:t>
            </w:r>
          </w:p>
          <w:p>
            <w:pPr>
              <w:pStyle w:val="97"/>
              <w:bidi w:val="0"/>
              <w:rPr>
                <w:rFonts w:hint="eastAsia"/>
              </w:rPr>
            </w:pPr>
            <w:r>
              <w:rPr>
                <w:rFonts w:hint="eastAsia"/>
              </w:rPr>
              <w:t>经预测分析，机械设备在采取隔声、吸声、减震等措施下，项目昼间产生噪声能够达到《工业企业厂界环境噪声排放标准》（GB12348-2008）中</w:t>
            </w:r>
            <w:r>
              <w:rPr>
                <w:rFonts w:hint="default"/>
              </w:rPr>
              <w:t>2</w:t>
            </w:r>
            <w:r>
              <w:rPr>
                <w:rFonts w:hint="eastAsia"/>
              </w:rPr>
              <w:t>类标准，周边声环境质量现状能够满足《声环境质量标准》（GB3096-2008）中2类</w:t>
            </w:r>
            <w:r>
              <w:rPr>
                <w:rFonts w:hint="eastAsia"/>
                <w:lang w:eastAsia="zh-CN"/>
              </w:rPr>
              <w:t>和</w:t>
            </w:r>
            <w:r>
              <w:rPr>
                <w:rFonts w:hint="eastAsia"/>
                <w:lang w:val="en-US" w:eastAsia="zh-CN"/>
              </w:rPr>
              <w:t>4a</w:t>
            </w:r>
            <w:r>
              <w:rPr>
                <w:rFonts w:hint="eastAsia"/>
              </w:rPr>
              <w:t>标准要求，不会对当地声环境质量现状造成明显影响，不会产生扰民影响。</w:t>
            </w:r>
          </w:p>
          <w:p>
            <w:pPr>
              <w:pStyle w:val="20"/>
              <w:ind w:firstLine="482"/>
              <w:rPr>
                <w:rFonts w:ascii="Times New Roman" w:hAnsi="Times New Roman" w:eastAsiaTheme="minorEastAsia"/>
                <w:b/>
                <w:color w:val="000000" w:themeColor="text1"/>
                <w:lang w:eastAsia="zh-CN"/>
                <w14:textFill>
                  <w14:solidFill>
                    <w14:schemeClr w14:val="tx1"/>
                  </w14:solidFill>
                </w14:textFill>
              </w:rPr>
            </w:pPr>
            <w:r>
              <w:rPr>
                <w:rFonts w:ascii="Times New Roman" w:hAnsi="Times New Roman" w:eastAsiaTheme="minorEastAsia"/>
                <w:b/>
                <w:bCs/>
                <w:color w:val="000000" w:themeColor="text1"/>
                <w14:textFill>
                  <w14:solidFill>
                    <w14:schemeClr w14:val="tx1"/>
                  </w14:solidFill>
                </w14:textFill>
              </w:rPr>
              <w:t>因此，本项目营运期噪声不会对声环境产生明显影响</w:t>
            </w:r>
            <w:r>
              <w:rPr>
                <w:rFonts w:hint="eastAsia" w:ascii="Times New Roman" w:hAnsi="Times New Roman" w:eastAsiaTheme="minorEastAsia"/>
                <w:b/>
                <w:bCs/>
                <w:color w:val="000000" w:themeColor="text1"/>
                <w:lang w:eastAsia="zh-CN"/>
                <w14:textFill>
                  <w14:solidFill>
                    <w14:schemeClr w14:val="tx1"/>
                  </w14:solidFill>
                </w14:textFill>
              </w:rPr>
              <w:t>，</w:t>
            </w:r>
            <w:r>
              <w:rPr>
                <w:rFonts w:ascii="Times New Roman" w:hAnsi="Times New Roman" w:eastAsiaTheme="minorEastAsia"/>
                <w:b/>
                <w:bCs/>
                <w:color w:val="000000" w:themeColor="text1"/>
                <w:lang w:eastAsia="zh-CN"/>
                <w14:textFill>
                  <w14:solidFill>
                    <w14:schemeClr w14:val="tx1"/>
                  </w14:solidFill>
                </w14:textFill>
              </w:rPr>
              <w:t>不会出现扰民现象</w:t>
            </w:r>
            <w:r>
              <w:rPr>
                <w:rFonts w:ascii="Times New Roman" w:hAnsi="Times New Roman" w:eastAsiaTheme="minorEastAsia"/>
                <w:b/>
                <w:bCs/>
                <w:color w:val="000000" w:themeColor="text1"/>
                <w14:textFill>
                  <w14:solidFill>
                    <w14:schemeClr w14:val="tx1"/>
                  </w14:solidFill>
                </w14:textFill>
              </w:rPr>
              <w:t>。</w:t>
            </w:r>
          </w:p>
          <w:p>
            <w:pPr>
              <w:widowControl/>
              <w:spacing w:line="360" w:lineRule="auto"/>
              <w:ind w:firstLine="482" w:firstLineChars="200"/>
              <w:jc w:val="left"/>
              <w:rPr>
                <w:rFonts w:eastAsiaTheme="minorEastAsia"/>
                <w:b/>
                <w:bCs/>
                <w:sz w:val="24"/>
              </w:rPr>
            </w:pPr>
            <w:r>
              <w:rPr>
                <w:rFonts w:eastAsiaTheme="minorEastAsia"/>
                <w:b/>
                <w:bCs/>
                <w:color w:val="000000"/>
                <w:sz w:val="24"/>
              </w:rPr>
              <w:t>（4）固体废物环境影响</w:t>
            </w:r>
          </w:p>
          <w:p>
            <w:pPr>
              <w:spacing w:line="360" w:lineRule="auto"/>
              <w:ind w:firstLine="480" w:firstLineChars="200"/>
              <w:rPr>
                <w:rFonts w:hint="eastAsia" w:eastAsiaTheme="minorEastAsia"/>
                <w:sz w:val="24"/>
                <w:lang w:eastAsia="zh-CN"/>
              </w:rPr>
            </w:pPr>
            <w:r>
              <w:rPr>
                <w:rFonts w:hint="eastAsia" w:eastAsiaTheme="minorEastAsia"/>
                <w:sz w:val="24"/>
              </w:rPr>
              <w:t>项目产生的固体废弃物主要</w:t>
            </w:r>
            <w:r>
              <w:rPr>
                <w:rFonts w:hint="eastAsia" w:eastAsiaTheme="minorEastAsia"/>
                <w:sz w:val="24"/>
                <w:lang w:eastAsia="zh-CN"/>
              </w:rPr>
              <w:t>为生活垃圾和沉淀泥沙，</w:t>
            </w:r>
            <w:r>
              <w:rPr>
                <w:rFonts w:hint="eastAsia" w:eastAsiaTheme="minorEastAsia"/>
                <w:sz w:val="24"/>
              </w:rPr>
              <w:t>项目产生的生活垃圾统一收集后，交由环卫部门定期收运处置，不会对当地自然环境造成影响</w:t>
            </w:r>
            <w:r>
              <w:rPr>
                <w:rFonts w:hint="eastAsia" w:eastAsiaTheme="minorEastAsia"/>
                <w:sz w:val="24"/>
                <w:lang w:eastAsia="zh-CN"/>
              </w:rPr>
              <w:t>；沉淀池泥沙定期清掏，并适时合理利用。</w:t>
            </w:r>
          </w:p>
          <w:p>
            <w:pPr>
              <w:pStyle w:val="171"/>
              <w:ind w:firstLine="482"/>
              <w:rPr>
                <w:rFonts w:eastAsiaTheme="minorEastAsia"/>
                <w:b/>
                <w:color w:val="000000" w:themeColor="text1"/>
                <w:szCs w:val="24"/>
                <w14:textFill>
                  <w14:solidFill>
                    <w14:schemeClr w14:val="tx1"/>
                  </w14:solidFill>
                </w14:textFill>
              </w:rPr>
            </w:pPr>
            <w:r>
              <w:rPr>
                <w:rFonts w:hint="eastAsia" w:eastAsiaTheme="minorEastAsia"/>
                <w:b/>
                <w:color w:val="000000" w:themeColor="text1"/>
                <w14:textFill>
                  <w14:solidFill>
                    <w14:schemeClr w14:val="tx1"/>
                  </w14:solidFill>
                </w14:textFill>
              </w:rPr>
              <w:t>综上所述，本项目营运期产生的固体废弃物均得到合理的处理、处置，不会对当地环境造成明显影响。</w:t>
            </w:r>
          </w:p>
          <w:p>
            <w:pPr>
              <w:spacing w:line="360" w:lineRule="auto"/>
              <w:ind w:firstLine="482" w:firstLineChars="200"/>
              <w:rPr>
                <w:rFonts w:eastAsiaTheme="minorEastAsia"/>
                <w:b/>
                <w:kern w:val="0"/>
                <w:sz w:val="24"/>
              </w:rPr>
            </w:pPr>
            <w:r>
              <w:rPr>
                <w:rFonts w:eastAsiaTheme="minorEastAsia"/>
                <w:b/>
                <w:kern w:val="0"/>
                <w:sz w:val="24"/>
              </w:rPr>
              <w:t>7、</w:t>
            </w:r>
            <w:r>
              <w:rPr>
                <w:rFonts w:hint="eastAsia" w:eastAsiaTheme="minorEastAsia"/>
                <w:b/>
                <w:kern w:val="0"/>
                <w:sz w:val="24"/>
              </w:rPr>
              <w:t>总量控制</w:t>
            </w:r>
          </w:p>
          <w:p>
            <w:pPr>
              <w:spacing w:line="360" w:lineRule="auto"/>
              <w:ind w:firstLine="480" w:firstLineChars="200"/>
              <w:rPr>
                <w:rFonts w:hint="eastAsia" w:eastAsiaTheme="minorEastAsia"/>
                <w:color w:val="000000"/>
                <w:sz w:val="24"/>
                <w:szCs w:val="28"/>
              </w:rPr>
            </w:pPr>
            <w:bookmarkStart w:id="28" w:name="OLE_LINK11"/>
            <w:r>
              <w:rPr>
                <w:rFonts w:hint="eastAsia" w:eastAsiaTheme="minorEastAsia"/>
                <w:color w:val="000000"/>
                <w:sz w:val="24"/>
                <w:szCs w:val="28"/>
              </w:rPr>
              <w:t>废气：项目 LNG 卸车、加注工艺均在密闭的管道中进行，并加装 BOG 回收系统，泄露的闪蒸气经</w:t>
            </w:r>
            <w:r>
              <w:rPr>
                <w:rFonts w:hint="eastAsia" w:eastAsiaTheme="minorEastAsia"/>
                <w:color w:val="000000"/>
                <w:sz w:val="24"/>
                <w:szCs w:val="28"/>
                <w:lang w:eastAsia="zh-CN"/>
              </w:rPr>
              <w:t>放</w:t>
            </w:r>
            <w:r>
              <w:rPr>
                <w:rFonts w:hint="eastAsia" w:eastAsiaTheme="minorEastAsia"/>
                <w:color w:val="000000"/>
                <w:sz w:val="24"/>
                <w:szCs w:val="28"/>
              </w:rPr>
              <w:t>散后无组织排放，不设置总量指标。</w:t>
            </w:r>
          </w:p>
          <w:p>
            <w:pPr>
              <w:spacing w:line="360" w:lineRule="auto"/>
              <w:ind w:firstLine="480" w:firstLineChars="200"/>
              <w:rPr>
                <w:rFonts w:hint="eastAsia" w:eastAsiaTheme="minorEastAsia"/>
                <w:color w:val="000000"/>
                <w:sz w:val="24"/>
                <w:szCs w:val="28"/>
              </w:rPr>
            </w:pPr>
            <w:r>
              <w:rPr>
                <w:rFonts w:hint="eastAsia" w:eastAsiaTheme="minorEastAsia"/>
                <w:color w:val="000000"/>
                <w:sz w:val="24"/>
                <w:szCs w:val="28"/>
              </w:rPr>
              <w:t>废水：项目</w:t>
            </w:r>
            <w:r>
              <w:rPr>
                <w:rFonts w:hint="eastAsia" w:eastAsiaTheme="minorEastAsia"/>
                <w:color w:val="000000"/>
                <w:sz w:val="24"/>
                <w:szCs w:val="28"/>
                <w:lang w:eastAsia="zh-CN"/>
              </w:rPr>
              <w:t>生活污水经化粪池处理之后用作农肥，不外排，地面冲洗废水经沉淀池沉淀之后回用或者外排</w:t>
            </w:r>
            <w:r>
              <w:rPr>
                <w:rFonts w:hint="eastAsia" w:eastAsiaTheme="minorEastAsia"/>
                <w:color w:val="000000"/>
                <w:sz w:val="24"/>
                <w:szCs w:val="28"/>
              </w:rPr>
              <w:t>，不设置总量指标。</w:t>
            </w:r>
          </w:p>
          <w:p>
            <w:pPr>
              <w:spacing w:line="360" w:lineRule="auto"/>
              <w:ind w:firstLine="480" w:firstLineChars="200"/>
              <w:rPr>
                <w:rFonts w:hint="eastAsia" w:eastAsiaTheme="minorEastAsia"/>
                <w:color w:val="000000"/>
                <w:sz w:val="24"/>
                <w:szCs w:val="28"/>
              </w:rPr>
            </w:pPr>
            <w:r>
              <w:rPr>
                <w:rFonts w:hint="eastAsia" w:eastAsiaTheme="minorEastAsia"/>
                <w:color w:val="000000"/>
                <w:sz w:val="24"/>
                <w:szCs w:val="28"/>
              </w:rPr>
              <w:t>综上，本项目不设置总量指标。</w:t>
            </w:r>
          </w:p>
          <w:p>
            <w:pPr>
              <w:spacing w:line="360" w:lineRule="auto"/>
              <w:ind w:firstLine="482" w:firstLineChars="200"/>
              <w:rPr>
                <w:rFonts w:eastAsiaTheme="minorEastAsia"/>
                <w:b/>
                <w:kern w:val="0"/>
                <w:sz w:val="24"/>
              </w:rPr>
            </w:pPr>
            <w:r>
              <w:rPr>
                <w:rFonts w:eastAsiaTheme="minorEastAsia"/>
                <w:b/>
                <w:kern w:val="0"/>
                <w:sz w:val="24"/>
              </w:rPr>
              <w:t>8、环境风险分析结论</w:t>
            </w:r>
          </w:p>
          <w:p>
            <w:pPr>
              <w:spacing w:line="360" w:lineRule="auto"/>
              <w:ind w:firstLine="480" w:firstLineChars="200"/>
              <w:contextualSpacing/>
              <w:rPr>
                <w:rFonts w:eastAsiaTheme="minorEastAsia"/>
                <w:sz w:val="24"/>
                <w:szCs w:val="28"/>
              </w:rPr>
            </w:pPr>
            <w:r>
              <w:rPr>
                <w:rFonts w:hint="eastAsia" w:eastAsiaTheme="minorEastAsia"/>
                <w:sz w:val="24"/>
                <w:szCs w:val="28"/>
              </w:rPr>
              <w:t>经分析，项目营运过程中存在着一定的环境风险，但通过加强管理，建立健全相应的风险防范措施、应急措施，并在管理及运行中认真落实相关规定，确保安全生产，制定相应的事故企业应急预案，并在得到管理部门验收后再营运，则营运期的环境风险可以接受，并且其环境风险事故隐患可降至最低水平。</w:t>
            </w:r>
          </w:p>
          <w:bookmarkEnd w:id="28"/>
          <w:p>
            <w:pPr>
              <w:tabs>
                <w:tab w:val="left" w:pos="3255"/>
              </w:tabs>
              <w:spacing w:line="360" w:lineRule="auto"/>
              <w:ind w:firstLine="472" w:firstLineChars="196"/>
              <w:rPr>
                <w:rFonts w:eastAsiaTheme="minorEastAsia"/>
                <w:b/>
                <w:bCs/>
                <w:color w:val="000000"/>
                <w:sz w:val="24"/>
              </w:rPr>
            </w:pPr>
            <w:r>
              <w:rPr>
                <w:rFonts w:eastAsiaTheme="minorEastAsia"/>
                <w:b/>
                <w:bCs/>
                <w:color w:val="000000"/>
                <w:sz w:val="24"/>
              </w:rPr>
              <w:t>9、项目可行性结论</w:t>
            </w:r>
          </w:p>
          <w:p>
            <w:pPr>
              <w:widowControl/>
              <w:spacing w:line="360" w:lineRule="auto"/>
              <w:ind w:firstLine="482" w:firstLineChars="200"/>
              <w:rPr>
                <w:rFonts w:eastAsiaTheme="minorEastAsia"/>
                <w:b/>
                <w:sz w:val="24"/>
              </w:rPr>
            </w:pPr>
            <w:r>
              <w:rPr>
                <w:rFonts w:hint="eastAsia" w:ascii="宋体" w:hAnsi="宋体" w:eastAsiaTheme="minorEastAsia"/>
                <w:b/>
                <w:sz w:val="24"/>
              </w:rPr>
              <w:t>本项目符合国家产业政策，符合当地发展规划，拟建址周边不存在重大环境制约因素，环境风险可控，拟采取的污染防治措施能够满足长期稳定达标排放，拟采取的生态保护措施能够满足生态环境保护要求。在落实本报告提出的环境保护措施后，对区域环境影响可接受，不会对当地环境质量现状产生明显影响。从环境影响的角度分析，本项目在峨边彝族自治县新场乡</w:t>
            </w:r>
            <w:r>
              <w:rPr>
                <w:rFonts w:hint="eastAsia" w:ascii="宋体" w:hAnsi="宋体" w:eastAsiaTheme="minorEastAsia"/>
                <w:b/>
                <w:sz w:val="24"/>
                <w:lang w:eastAsia="zh-CN"/>
              </w:rPr>
              <w:t>长虹村</w:t>
            </w:r>
            <w:r>
              <w:rPr>
                <w:rFonts w:hint="eastAsia" w:ascii="宋体" w:hAnsi="宋体" w:eastAsiaTheme="minorEastAsia"/>
                <w:b/>
                <w:sz w:val="24"/>
              </w:rPr>
              <w:t>建设是可行的。</w:t>
            </w:r>
          </w:p>
          <w:p>
            <w:pPr>
              <w:tabs>
                <w:tab w:val="left" w:pos="3255"/>
              </w:tabs>
              <w:spacing w:line="360" w:lineRule="auto"/>
              <w:rPr>
                <w:rFonts w:hint="eastAsia" w:eastAsiaTheme="minorEastAsia"/>
                <w:b/>
                <w:sz w:val="28"/>
                <w:szCs w:val="28"/>
                <w:lang w:eastAsia="zh-CN"/>
              </w:rPr>
            </w:pPr>
            <w:r>
              <w:rPr>
                <w:rFonts w:eastAsiaTheme="minorEastAsia"/>
                <w:b/>
                <w:bCs/>
                <w:sz w:val="28"/>
                <w:szCs w:val="28"/>
              </w:rPr>
              <w:t>二、</w:t>
            </w:r>
            <w:r>
              <w:rPr>
                <w:rFonts w:hint="eastAsia" w:eastAsiaTheme="minorEastAsia"/>
                <w:b/>
                <w:sz w:val="28"/>
                <w:szCs w:val="28"/>
                <w:lang w:eastAsia="zh-CN"/>
              </w:rPr>
              <w:t>环保对策和建议</w:t>
            </w:r>
          </w:p>
          <w:p>
            <w:pPr>
              <w:widowControl/>
              <w:spacing w:line="360" w:lineRule="auto"/>
              <w:ind w:firstLine="480" w:firstLineChars="200"/>
              <w:rPr>
                <w:rFonts w:hint="eastAsia" w:eastAsiaTheme="minorEastAsia"/>
                <w:sz w:val="24"/>
              </w:rPr>
            </w:pPr>
            <w:r>
              <w:rPr>
                <w:rFonts w:hint="eastAsia" w:eastAsiaTheme="minorEastAsia"/>
                <w:sz w:val="24"/>
              </w:rPr>
              <w:t>1、认真落实报告表中提出的各项环保措施。</w:t>
            </w:r>
          </w:p>
          <w:p>
            <w:pPr>
              <w:widowControl/>
              <w:spacing w:line="360" w:lineRule="auto"/>
              <w:ind w:firstLine="480" w:firstLineChars="200"/>
              <w:rPr>
                <w:rFonts w:hint="eastAsia" w:eastAsiaTheme="minorEastAsia"/>
                <w:sz w:val="24"/>
              </w:rPr>
            </w:pPr>
            <w:r>
              <w:rPr>
                <w:rFonts w:hint="eastAsia" w:eastAsiaTheme="minorEastAsia"/>
                <w:sz w:val="24"/>
              </w:rPr>
              <w:t>2、项目必须严格按照安全评价的要求进行安全建设和运营，落实单位安全生产制度和责任，建立健全安全、环境管理体系及高效的安全生产机构，一旦发生事故，要做到快速、高效、安全处置。</w:t>
            </w:r>
          </w:p>
          <w:p>
            <w:pPr>
              <w:widowControl/>
              <w:spacing w:line="360" w:lineRule="auto"/>
              <w:ind w:firstLine="480" w:firstLineChars="200"/>
              <w:rPr>
                <w:rFonts w:hint="eastAsia" w:eastAsiaTheme="minorEastAsia"/>
                <w:sz w:val="24"/>
              </w:rPr>
            </w:pPr>
            <w:r>
              <w:rPr>
                <w:rFonts w:hint="eastAsia" w:eastAsiaTheme="minorEastAsia"/>
                <w:sz w:val="24"/>
              </w:rPr>
              <w:t>3、落实环保资金，以实施治污措施，实现污染物达标排放。</w:t>
            </w:r>
          </w:p>
          <w:p>
            <w:pPr>
              <w:widowControl/>
              <w:spacing w:line="360" w:lineRule="auto"/>
              <w:ind w:firstLine="480" w:firstLineChars="200"/>
              <w:rPr>
                <w:rFonts w:hint="eastAsia" w:eastAsiaTheme="minorEastAsia"/>
                <w:sz w:val="24"/>
              </w:rPr>
            </w:pPr>
            <w:r>
              <w:rPr>
                <w:rFonts w:hint="eastAsia" w:eastAsiaTheme="minorEastAsia"/>
                <w:sz w:val="24"/>
              </w:rPr>
              <w:t>4、企业应认真执行国家和地方的各项环保法规和要求，明确厂内环保机构的主要职责，建立健全各项规章制度。</w:t>
            </w:r>
          </w:p>
          <w:p>
            <w:pPr>
              <w:widowControl/>
              <w:spacing w:line="360" w:lineRule="auto"/>
              <w:ind w:firstLine="480" w:firstLineChars="200"/>
              <w:rPr>
                <w:rFonts w:hint="eastAsia" w:eastAsiaTheme="minorEastAsia"/>
                <w:sz w:val="24"/>
              </w:rPr>
            </w:pPr>
            <w:r>
              <w:rPr>
                <w:rFonts w:hint="eastAsia" w:eastAsiaTheme="minorEastAsia"/>
                <w:sz w:val="24"/>
              </w:rPr>
              <w:t>5、项目应进一步完善风险应急预案，在发生火灾事故时，应迅速撤离项目周边人群。</w:t>
            </w:r>
          </w:p>
          <w:p>
            <w:pPr>
              <w:widowControl/>
              <w:spacing w:line="360" w:lineRule="auto"/>
              <w:ind w:firstLine="480" w:firstLineChars="200"/>
              <w:rPr>
                <w:rFonts w:hint="eastAsia" w:eastAsiaTheme="minorEastAsia"/>
                <w:sz w:val="24"/>
              </w:rPr>
            </w:pPr>
            <w:r>
              <w:rPr>
                <w:rFonts w:hint="eastAsia" w:eastAsiaTheme="minorEastAsia"/>
                <w:sz w:val="24"/>
              </w:rPr>
              <w:t>6、对储气系统及管道定期进行检查和维护，定期检查是否有渗漏情况发生，</w:t>
            </w:r>
          </w:p>
          <w:p>
            <w:pPr>
              <w:widowControl/>
              <w:spacing w:line="360" w:lineRule="auto"/>
              <w:ind w:firstLine="480" w:firstLineChars="200"/>
              <w:rPr>
                <w:rFonts w:hint="eastAsia" w:eastAsiaTheme="minorEastAsia"/>
                <w:sz w:val="24"/>
              </w:rPr>
            </w:pPr>
            <w:r>
              <w:rPr>
                <w:rFonts w:hint="eastAsia" w:eastAsiaTheme="minorEastAsia"/>
                <w:sz w:val="24"/>
              </w:rPr>
              <w:t>并在火灾危险场所设置报警装置。</w:t>
            </w:r>
          </w:p>
          <w:p>
            <w:pPr>
              <w:widowControl/>
              <w:spacing w:line="360" w:lineRule="auto"/>
              <w:ind w:firstLine="480" w:firstLineChars="200"/>
              <w:rPr>
                <w:rFonts w:hint="eastAsia" w:eastAsiaTheme="minorEastAsia"/>
                <w:sz w:val="24"/>
              </w:rPr>
            </w:pPr>
            <w:r>
              <w:rPr>
                <w:rFonts w:hint="eastAsia" w:eastAsiaTheme="minorEastAsia"/>
                <w:sz w:val="24"/>
              </w:rPr>
              <w:t>7、企业应强化管理，树立环保意识，并由专人通过培训负责环保工作。</w:t>
            </w:r>
          </w:p>
          <w:p>
            <w:pPr>
              <w:widowControl/>
              <w:spacing w:line="360" w:lineRule="auto"/>
              <w:ind w:firstLine="480" w:firstLineChars="200"/>
              <w:rPr>
                <w:rFonts w:hint="eastAsia" w:eastAsiaTheme="minorEastAsia"/>
                <w:sz w:val="24"/>
              </w:rPr>
            </w:pPr>
            <w:r>
              <w:rPr>
                <w:rFonts w:hint="eastAsia" w:eastAsiaTheme="minorEastAsia"/>
                <w:sz w:val="24"/>
              </w:rPr>
              <w:t>8、定期委托当地环境监测站进行污染源监测，同时建立污染源档案。</w:t>
            </w:r>
          </w:p>
          <w:p>
            <w:pPr>
              <w:widowControl/>
              <w:spacing w:line="360" w:lineRule="auto"/>
              <w:ind w:firstLine="480" w:firstLineChars="200"/>
              <w:rPr>
                <w:rFonts w:hint="eastAsia" w:eastAsiaTheme="minorEastAsia"/>
                <w:sz w:val="24"/>
              </w:rPr>
            </w:pPr>
            <w:r>
              <w:rPr>
                <w:rFonts w:hint="eastAsia" w:eastAsiaTheme="minorEastAsia"/>
                <w:sz w:val="24"/>
              </w:rPr>
              <w:t>9、尽可能地多种植树、草；合理调配乔木、灌木、草坪之间的比例；在邻近声学敏感区，应种植树冠高大、枝叶茂盛的树木。这些措施既美化了环境、净化了空气，又达到了降低噪声的目的。</w:t>
            </w:r>
          </w:p>
          <w:p>
            <w:pPr>
              <w:widowControl/>
              <w:spacing w:line="360" w:lineRule="auto"/>
              <w:ind w:firstLine="480" w:firstLineChars="200"/>
              <w:rPr>
                <w:rFonts w:eastAsiaTheme="minorEastAsia"/>
                <w:sz w:val="24"/>
              </w:rPr>
            </w:pPr>
          </w:p>
        </w:tc>
      </w:tr>
    </w:tbl>
    <w:p>
      <w:pPr>
        <w:spacing w:line="40" w:lineRule="exact"/>
        <w:rPr>
          <w:rFonts w:eastAsiaTheme="minorEastAsia"/>
        </w:rPr>
      </w:pPr>
    </w:p>
    <w:sectPr>
      <w:pgSz w:w="11906" w:h="16838"/>
      <w:pgMar w:top="1588" w:right="1418" w:bottom="1418"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font-weight : 400">
    <w:altName w:val="AMGDT"/>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Cambria Math">
    <w:panose1 w:val="02040503050406030204"/>
    <w:charset w:val="00"/>
    <w:family w:val="roman"/>
    <w:pitch w:val="default"/>
    <w:sig w:usb0="E00002FF" w:usb1="42002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rPr>
        <w:rFonts w:hint="eastAsia"/>
      </w:rPr>
    </w:pPr>
    <w:r>
      <w:t xml:space="preserve">- </w:t>
    </w:r>
    <w:r>
      <w:fldChar w:fldCharType="begin"/>
    </w:r>
    <w:r>
      <w:instrText xml:space="preserve"> PAGE </w:instrText>
    </w:r>
    <w:r>
      <w:fldChar w:fldCharType="separate"/>
    </w:r>
    <w:r>
      <w:t>22</w:t>
    </w:r>
    <w:r>
      <w:fldChar w:fldCharType="end"/>
    </w:r>
    <w:r>
      <w:t xml:space="preserve"> -</w: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5"/>
      </w:rPr>
    </w:pPr>
    <w:r>
      <w:fldChar w:fldCharType="begin"/>
    </w:r>
    <w:r>
      <w:rPr>
        <w:rStyle w:val="35"/>
      </w:rPr>
      <w:instrText xml:space="preserve">PAGE  </w:instrText>
    </w:r>
    <w:r>
      <w:fldChar w:fldCharType="end"/>
    </w:r>
  </w:p>
  <w:p>
    <w:pPr>
      <w:pStyle w:val="18"/>
      <w:ind w:right="360"/>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3877877"/>
      <w:docPartObj>
        <w:docPartGallery w:val="autotext"/>
      </w:docPartObj>
    </w:sdtPr>
    <w:sdtContent>
      <w:p>
        <w:pPr>
          <w:pStyle w:val="18"/>
          <w:jc w:val="center"/>
        </w:pPr>
        <w:r>
          <w:fldChar w:fldCharType="begin"/>
        </w:r>
        <w:r>
          <w:instrText xml:space="preserve">PAGE   \* MERGEFORMAT</w:instrText>
        </w:r>
        <w:r>
          <w:fldChar w:fldCharType="separate"/>
        </w:r>
        <w:r>
          <w:rPr>
            <w:lang w:val="zh-CN" w:eastAsia="zh-CN"/>
          </w:rPr>
          <w:t>1</w:t>
        </w:r>
        <w:r>
          <w:fldChar w:fldCharType="end"/>
        </w:r>
      </w:p>
    </w:sdtContent>
  </w:sdt>
  <w:p>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lang w:eastAsia="zh-CN"/>
      </w:rPr>
    </w:pPr>
    <w:r>
      <w:fldChar w:fldCharType="begin"/>
    </w:r>
    <w:r>
      <w:instrText xml:space="preserve"> PAGE   \* MERGEFORMAT </w:instrText>
    </w:r>
    <w:r>
      <w:fldChar w:fldCharType="separate"/>
    </w:r>
    <w:r>
      <w:rPr>
        <w:lang w:val="zh-CN" w:eastAsia="zh-CN"/>
      </w:rPr>
      <w:t>-</w:t>
    </w:r>
    <w:r>
      <w:t xml:space="preserve"> 31 -</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3877877"/>
      <w:docPartObj>
        <w:docPartGallery w:val="autotext"/>
      </w:docPartObj>
    </w:sdtPr>
    <w:sdtContent>
      <w:p>
        <w:pPr>
          <w:pStyle w:val="18"/>
          <w:jc w:val="center"/>
        </w:pPr>
        <w:r>
          <w:fldChar w:fldCharType="begin"/>
        </w:r>
        <w:r>
          <w:instrText xml:space="preserve">PAGE   \* MERGEFORMAT</w:instrText>
        </w:r>
        <w:r>
          <w:fldChar w:fldCharType="separate"/>
        </w:r>
        <w:r>
          <w:rPr>
            <w:lang w:val="zh-CN" w:eastAsia="zh-CN"/>
          </w:rPr>
          <w:t>1</w:t>
        </w:r>
        <w:r>
          <w:fldChar w:fldCharType="end"/>
        </w:r>
      </w:p>
    </w:sdtContent>
  </w:sdt>
  <w:p>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 PAGE   \* MERGEFORMAT </w:instrText>
    </w:r>
    <w:r>
      <w:fldChar w:fldCharType="separate"/>
    </w:r>
    <w:r>
      <w:rPr>
        <w:lang w:val="zh-CN"/>
      </w:rPr>
      <w:t>-</w:t>
    </w:r>
    <w:r>
      <w:t xml:space="preserve"> 29 -</w:t>
    </w:r>
    <w:r>
      <w:fldChar w:fldCharType="end"/>
    </w:r>
  </w:p>
  <w:p>
    <w:pPr>
      <w:pStyle w:val="18"/>
      <w:rPr>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D08561"/>
    <w:multiLevelType w:val="singleLevel"/>
    <w:tmpl w:val="90D08561"/>
    <w:lvl w:ilvl="0" w:tentative="0">
      <w:start w:val="3"/>
      <w:numFmt w:val="decimal"/>
      <w:suff w:val="nothing"/>
      <w:lvlText w:val="%1）"/>
      <w:lvlJc w:val="left"/>
    </w:lvl>
  </w:abstractNum>
  <w:abstractNum w:abstractNumId="1">
    <w:nsid w:val="9A8B29EA"/>
    <w:multiLevelType w:val="singleLevel"/>
    <w:tmpl w:val="9A8B29EA"/>
    <w:lvl w:ilvl="0" w:tentative="0">
      <w:start w:val="1"/>
      <w:numFmt w:val="decimal"/>
      <w:suff w:val="nothing"/>
      <w:lvlText w:val="（%1）"/>
      <w:lvlJc w:val="left"/>
    </w:lvl>
  </w:abstractNum>
  <w:abstractNum w:abstractNumId="2">
    <w:nsid w:val="B9AB5759"/>
    <w:multiLevelType w:val="singleLevel"/>
    <w:tmpl w:val="B9AB5759"/>
    <w:lvl w:ilvl="0" w:tentative="0">
      <w:start w:val="1"/>
      <w:numFmt w:val="decimalEnclosedCircleChinese"/>
      <w:suff w:val="nothing"/>
      <w:lvlText w:val="%1　"/>
      <w:lvlJc w:val="left"/>
      <w:pPr>
        <w:ind w:left="0" w:firstLine="400"/>
      </w:pPr>
      <w:rPr>
        <w:rFonts w:hint="eastAsia"/>
      </w:rPr>
    </w:lvl>
  </w:abstractNum>
  <w:abstractNum w:abstractNumId="3">
    <w:nsid w:val="CFECEA70"/>
    <w:multiLevelType w:val="singleLevel"/>
    <w:tmpl w:val="CFECEA70"/>
    <w:lvl w:ilvl="0" w:tentative="0">
      <w:start w:val="1"/>
      <w:numFmt w:val="decimalEnclosedCircleChinese"/>
      <w:suff w:val="nothing"/>
      <w:lvlText w:val="%1　"/>
      <w:lvlJc w:val="left"/>
      <w:pPr>
        <w:ind w:left="0" w:firstLine="400"/>
      </w:pPr>
      <w:rPr>
        <w:rFonts w:hint="eastAsia"/>
      </w:rPr>
    </w:lvl>
  </w:abstractNum>
  <w:abstractNum w:abstractNumId="4">
    <w:nsid w:val="D6DA9B89"/>
    <w:multiLevelType w:val="singleLevel"/>
    <w:tmpl w:val="D6DA9B89"/>
    <w:lvl w:ilvl="0" w:tentative="0">
      <w:start w:val="1"/>
      <w:numFmt w:val="decimalEnclosedCircleChinese"/>
      <w:suff w:val="nothing"/>
      <w:lvlText w:val="%1　"/>
      <w:lvlJc w:val="left"/>
      <w:pPr>
        <w:ind w:left="0" w:firstLine="400"/>
      </w:pPr>
      <w:rPr>
        <w:rFonts w:hint="eastAsia"/>
      </w:rPr>
    </w:lvl>
  </w:abstractNum>
  <w:abstractNum w:abstractNumId="5">
    <w:nsid w:val="E66E4145"/>
    <w:multiLevelType w:val="singleLevel"/>
    <w:tmpl w:val="E66E4145"/>
    <w:lvl w:ilvl="0" w:tentative="0">
      <w:start w:val="2"/>
      <w:numFmt w:val="decimal"/>
      <w:suff w:val="nothing"/>
      <w:lvlText w:val="（%1）"/>
      <w:lvlJc w:val="left"/>
    </w:lvl>
  </w:abstractNum>
  <w:abstractNum w:abstractNumId="6">
    <w:nsid w:val="0DEF994C"/>
    <w:multiLevelType w:val="singleLevel"/>
    <w:tmpl w:val="0DEF994C"/>
    <w:lvl w:ilvl="0" w:tentative="0">
      <w:start w:val="1"/>
      <w:numFmt w:val="decimal"/>
      <w:suff w:val="nothing"/>
      <w:lvlText w:val="（%1）"/>
      <w:lvlJc w:val="left"/>
    </w:lvl>
  </w:abstractNum>
  <w:abstractNum w:abstractNumId="7">
    <w:nsid w:val="163D8FEC"/>
    <w:multiLevelType w:val="singleLevel"/>
    <w:tmpl w:val="163D8FEC"/>
    <w:lvl w:ilvl="0" w:tentative="0">
      <w:start w:val="5"/>
      <w:numFmt w:val="decimal"/>
      <w:suff w:val="nothing"/>
      <w:lvlText w:val="%1、"/>
      <w:lvlJc w:val="left"/>
    </w:lvl>
  </w:abstractNum>
  <w:abstractNum w:abstractNumId="8">
    <w:nsid w:val="5FAD3A0F"/>
    <w:multiLevelType w:val="multilevel"/>
    <w:tmpl w:val="5FAD3A0F"/>
    <w:lvl w:ilvl="0" w:tentative="0">
      <w:start w:val="1"/>
      <w:numFmt w:val="decimal"/>
      <w:lvlText w:val="%1."/>
      <w:lvlJc w:val="left"/>
      <w:pPr>
        <w:tabs>
          <w:tab w:val="left" w:pos="900"/>
        </w:tabs>
        <w:ind w:left="30" w:firstLine="510"/>
      </w:pPr>
      <w:rPr>
        <w:rFonts w:hint="eastAsia"/>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613B663B"/>
    <w:multiLevelType w:val="singleLevel"/>
    <w:tmpl w:val="613B663B"/>
    <w:lvl w:ilvl="0" w:tentative="0">
      <w:start w:val="1"/>
      <w:numFmt w:val="decimal"/>
      <w:suff w:val="nothing"/>
      <w:lvlText w:val="（%1）"/>
      <w:lvlJc w:val="left"/>
    </w:lvl>
  </w:abstractNum>
  <w:abstractNum w:abstractNumId="10">
    <w:nsid w:val="64533EB4"/>
    <w:multiLevelType w:val="singleLevel"/>
    <w:tmpl w:val="64533EB4"/>
    <w:lvl w:ilvl="0" w:tentative="0">
      <w:start w:val="1"/>
      <w:numFmt w:val="decimal"/>
      <w:lvlText w:val="%1"/>
      <w:lvlJc w:val="left"/>
      <w:pPr>
        <w:tabs>
          <w:tab w:val="left" w:pos="420"/>
        </w:tabs>
        <w:ind w:left="425" w:leftChars="0" w:hanging="425" w:firstLineChars="0"/>
      </w:pPr>
      <w:rPr>
        <w:rFonts w:hint="default"/>
      </w:rPr>
    </w:lvl>
  </w:abstractNum>
  <w:num w:numId="1">
    <w:abstractNumId w:val="8"/>
  </w:num>
  <w:num w:numId="2">
    <w:abstractNumId w:val="9"/>
  </w:num>
  <w:num w:numId="3">
    <w:abstractNumId w:val="0"/>
  </w:num>
  <w:num w:numId="4">
    <w:abstractNumId w:val="4"/>
  </w:num>
  <w:num w:numId="5">
    <w:abstractNumId w:val="5"/>
  </w:num>
  <w:num w:numId="6">
    <w:abstractNumId w:val="3"/>
  </w:num>
  <w:num w:numId="7">
    <w:abstractNumId w:val="10"/>
  </w:num>
  <w:num w:numId="8">
    <w:abstractNumId w:val="2"/>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val="1"/>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5A"/>
    <w:rsid w:val="000006F1"/>
    <w:rsid w:val="00000722"/>
    <w:rsid w:val="000007DD"/>
    <w:rsid w:val="0000097D"/>
    <w:rsid w:val="00000C49"/>
    <w:rsid w:val="000010B8"/>
    <w:rsid w:val="000010DD"/>
    <w:rsid w:val="000012C8"/>
    <w:rsid w:val="000017A8"/>
    <w:rsid w:val="00001ABD"/>
    <w:rsid w:val="00001AFE"/>
    <w:rsid w:val="00001C9C"/>
    <w:rsid w:val="00001E18"/>
    <w:rsid w:val="0000204C"/>
    <w:rsid w:val="000023EC"/>
    <w:rsid w:val="000025DC"/>
    <w:rsid w:val="00002B15"/>
    <w:rsid w:val="00002B23"/>
    <w:rsid w:val="00002CBE"/>
    <w:rsid w:val="000036D2"/>
    <w:rsid w:val="00003772"/>
    <w:rsid w:val="000039B2"/>
    <w:rsid w:val="00003C82"/>
    <w:rsid w:val="00003FB8"/>
    <w:rsid w:val="0000431C"/>
    <w:rsid w:val="000043B3"/>
    <w:rsid w:val="00004479"/>
    <w:rsid w:val="00004B04"/>
    <w:rsid w:val="00004B63"/>
    <w:rsid w:val="00005150"/>
    <w:rsid w:val="0000516C"/>
    <w:rsid w:val="0000574E"/>
    <w:rsid w:val="00005776"/>
    <w:rsid w:val="000057C2"/>
    <w:rsid w:val="0000582C"/>
    <w:rsid w:val="00005B87"/>
    <w:rsid w:val="00005DBA"/>
    <w:rsid w:val="00005F08"/>
    <w:rsid w:val="0000646B"/>
    <w:rsid w:val="0000670E"/>
    <w:rsid w:val="00006746"/>
    <w:rsid w:val="00006B6D"/>
    <w:rsid w:val="00006CEF"/>
    <w:rsid w:val="00006D08"/>
    <w:rsid w:val="00007115"/>
    <w:rsid w:val="0000763F"/>
    <w:rsid w:val="00007CEF"/>
    <w:rsid w:val="00010652"/>
    <w:rsid w:val="00010ED2"/>
    <w:rsid w:val="00010F5C"/>
    <w:rsid w:val="00011135"/>
    <w:rsid w:val="0001134C"/>
    <w:rsid w:val="000114FE"/>
    <w:rsid w:val="00011863"/>
    <w:rsid w:val="000118A5"/>
    <w:rsid w:val="00011A50"/>
    <w:rsid w:val="00011B96"/>
    <w:rsid w:val="00011C9C"/>
    <w:rsid w:val="00011EE6"/>
    <w:rsid w:val="000122E3"/>
    <w:rsid w:val="000128B2"/>
    <w:rsid w:val="000129FA"/>
    <w:rsid w:val="00012AD0"/>
    <w:rsid w:val="00012D48"/>
    <w:rsid w:val="00012F01"/>
    <w:rsid w:val="00013233"/>
    <w:rsid w:val="000133B1"/>
    <w:rsid w:val="00013A57"/>
    <w:rsid w:val="00013EBE"/>
    <w:rsid w:val="000140A3"/>
    <w:rsid w:val="00014457"/>
    <w:rsid w:val="00014559"/>
    <w:rsid w:val="000146B6"/>
    <w:rsid w:val="000149F3"/>
    <w:rsid w:val="00014A9E"/>
    <w:rsid w:val="00014D17"/>
    <w:rsid w:val="00015468"/>
    <w:rsid w:val="00015899"/>
    <w:rsid w:val="000159D9"/>
    <w:rsid w:val="00015A92"/>
    <w:rsid w:val="00015C70"/>
    <w:rsid w:val="00015DD1"/>
    <w:rsid w:val="00015F96"/>
    <w:rsid w:val="0001602A"/>
    <w:rsid w:val="000160C0"/>
    <w:rsid w:val="0001628D"/>
    <w:rsid w:val="00016653"/>
    <w:rsid w:val="00016894"/>
    <w:rsid w:val="00016C3C"/>
    <w:rsid w:val="000171C5"/>
    <w:rsid w:val="00017228"/>
    <w:rsid w:val="0001722B"/>
    <w:rsid w:val="000177F2"/>
    <w:rsid w:val="0001789F"/>
    <w:rsid w:val="00017EF1"/>
    <w:rsid w:val="00017FF9"/>
    <w:rsid w:val="0002024E"/>
    <w:rsid w:val="00020633"/>
    <w:rsid w:val="00020747"/>
    <w:rsid w:val="00020EE7"/>
    <w:rsid w:val="000218F8"/>
    <w:rsid w:val="00021949"/>
    <w:rsid w:val="0002195A"/>
    <w:rsid w:val="000219D9"/>
    <w:rsid w:val="00021B12"/>
    <w:rsid w:val="00021CC1"/>
    <w:rsid w:val="00022070"/>
    <w:rsid w:val="0002227B"/>
    <w:rsid w:val="000222C7"/>
    <w:rsid w:val="0002271D"/>
    <w:rsid w:val="0002290B"/>
    <w:rsid w:val="000229D2"/>
    <w:rsid w:val="00022CF6"/>
    <w:rsid w:val="00022E45"/>
    <w:rsid w:val="000230FC"/>
    <w:rsid w:val="00023299"/>
    <w:rsid w:val="000232F5"/>
    <w:rsid w:val="0002335F"/>
    <w:rsid w:val="000234CD"/>
    <w:rsid w:val="000236DA"/>
    <w:rsid w:val="00023D19"/>
    <w:rsid w:val="00024049"/>
    <w:rsid w:val="00024200"/>
    <w:rsid w:val="00024696"/>
    <w:rsid w:val="0002474D"/>
    <w:rsid w:val="00024782"/>
    <w:rsid w:val="000247FE"/>
    <w:rsid w:val="00024825"/>
    <w:rsid w:val="00024BDA"/>
    <w:rsid w:val="00025574"/>
    <w:rsid w:val="000256C5"/>
    <w:rsid w:val="00025918"/>
    <w:rsid w:val="00025A03"/>
    <w:rsid w:val="00025BF8"/>
    <w:rsid w:val="00025CF4"/>
    <w:rsid w:val="00025EC2"/>
    <w:rsid w:val="000260C6"/>
    <w:rsid w:val="00026A08"/>
    <w:rsid w:val="00026BBC"/>
    <w:rsid w:val="00026CCA"/>
    <w:rsid w:val="0002703A"/>
    <w:rsid w:val="0002715F"/>
    <w:rsid w:val="000274D8"/>
    <w:rsid w:val="00027759"/>
    <w:rsid w:val="000277CD"/>
    <w:rsid w:val="00027A32"/>
    <w:rsid w:val="00027DE4"/>
    <w:rsid w:val="00027E1A"/>
    <w:rsid w:val="00027E59"/>
    <w:rsid w:val="0003008A"/>
    <w:rsid w:val="00030B9E"/>
    <w:rsid w:val="00030C40"/>
    <w:rsid w:val="00031469"/>
    <w:rsid w:val="00031519"/>
    <w:rsid w:val="00031950"/>
    <w:rsid w:val="00031C28"/>
    <w:rsid w:val="00031CF7"/>
    <w:rsid w:val="00031E46"/>
    <w:rsid w:val="000320A0"/>
    <w:rsid w:val="00032143"/>
    <w:rsid w:val="0003249F"/>
    <w:rsid w:val="0003268C"/>
    <w:rsid w:val="000326BC"/>
    <w:rsid w:val="00032ACC"/>
    <w:rsid w:val="00032CF6"/>
    <w:rsid w:val="00032E03"/>
    <w:rsid w:val="00033048"/>
    <w:rsid w:val="000330FD"/>
    <w:rsid w:val="000332A3"/>
    <w:rsid w:val="00033655"/>
    <w:rsid w:val="0003366C"/>
    <w:rsid w:val="00033AF4"/>
    <w:rsid w:val="00033C87"/>
    <w:rsid w:val="00034213"/>
    <w:rsid w:val="0003425C"/>
    <w:rsid w:val="000348F5"/>
    <w:rsid w:val="00034CDC"/>
    <w:rsid w:val="00034E76"/>
    <w:rsid w:val="00034F12"/>
    <w:rsid w:val="00035097"/>
    <w:rsid w:val="0003510F"/>
    <w:rsid w:val="00035348"/>
    <w:rsid w:val="000354B1"/>
    <w:rsid w:val="0003554C"/>
    <w:rsid w:val="00035560"/>
    <w:rsid w:val="0003557E"/>
    <w:rsid w:val="00035B17"/>
    <w:rsid w:val="00035DDA"/>
    <w:rsid w:val="00035E05"/>
    <w:rsid w:val="00035FC9"/>
    <w:rsid w:val="000360A1"/>
    <w:rsid w:val="000366F7"/>
    <w:rsid w:val="0003678A"/>
    <w:rsid w:val="00036AA3"/>
    <w:rsid w:val="00037650"/>
    <w:rsid w:val="00037B59"/>
    <w:rsid w:val="00037DA0"/>
    <w:rsid w:val="00037DD9"/>
    <w:rsid w:val="00037E0F"/>
    <w:rsid w:val="00037FAA"/>
    <w:rsid w:val="00040146"/>
    <w:rsid w:val="0004044A"/>
    <w:rsid w:val="000404B8"/>
    <w:rsid w:val="0004056B"/>
    <w:rsid w:val="00040A07"/>
    <w:rsid w:val="00040CD0"/>
    <w:rsid w:val="00040E19"/>
    <w:rsid w:val="00040F90"/>
    <w:rsid w:val="000411E5"/>
    <w:rsid w:val="00041747"/>
    <w:rsid w:val="000417C5"/>
    <w:rsid w:val="00041A56"/>
    <w:rsid w:val="00041DB3"/>
    <w:rsid w:val="00042244"/>
    <w:rsid w:val="000426AD"/>
    <w:rsid w:val="000428F7"/>
    <w:rsid w:val="00042914"/>
    <w:rsid w:val="00042D3A"/>
    <w:rsid w:val="000431C7"/>
    <w:rsid w:val="00043CCB"/>
    <w:rsid w:val="0004403A"/>
    <w:rsid w:val="00044070"/>
    <w:rsid w:val="000441FA"/>
    <w:rsid w:val="000444DB"/>
    <w:rsid w:val="000445F2"/>
    <w:rsid w:val="0004485C"/>
    <w:rsid w:val="00044D62"/>
    <w:rsid w:val="00045896"/>
    <w:rsid w:val="000458CB"/>
    <w:rsid w:val="00045C45"/>
    <w:rsid w:val="00045C9D"/>
    <w:rsid w:val="00046028"/>
    <w:rsid w:val="00046158"/>
    <w:rsid w:val="00046373"/>
    <w:rsid w:val="000463AA"/>
    <w:rsid w:val="00046D71"/>
    <w:rsid w:val="00046DDA"/>
    <w:rsid w:val="00046DE0"/>
    <w:rsid w:val="0004712E"/>
    <w:rsid w:val="000477BD"/>
    <w:rsid w:val="00050446"/>
    <w:rsid w:val="00050660"/>
    <w:rsid w:val="00050AA4"/>
    <w:rsid w:val="00050C9C"/>
    <w:rsid w:val="00051119"/>
    <w:rsid w:val="00051193"/>
    <w:rsid w:val="00051258"/>
    <w:rsid w:val="00051483"/>
    <w:rsid w:val="000514AB"/>
    <w:rsid w:val="00051661"/>
    <w:rsid w:val="000516C0"/>
    <w:rsid w:val="0005193C"/>
    <w:rsid w:val="00051974"/>
    <w:rsid w:val="00051C1A"/>
    <w:rsid w:val="000520F8"/>
    <w:rsid w:val="000521CA"/>
    <w:rsid w:val="0005221E"/>
    <w:rsid w:val="0005352D"/>
    <w:rsid w:val="000535D6"/>
    <w:rsid w:val="00053959"/>
    <w:rsid w:val="0005406A"/>
    <w:rsid w:val="0005421E"/>
    <w:rsid w:val="00054587"/>
    <w:rsid w:val="00054793"/>
    <w:rsid w:val="00054D12"/>
    <w:rsid w:val="00055044"/>
    <w:rsid w:val="00055B85"/>
    <w:rsid w:val="00055DF1"/>
    <w:rsid w:val="00055FA7"/>
    <w:rsid w:val="00055FD8"/>
    <w:rsid w:val="00056372"/>
    <w:rsid w:val="000568AF"/>
    <w:rsid w:val="00056B89"/>
    <w:rsid w:val="000575FE"/>
    <w:rsid w:val="000577E2"/>
    <w:rsid w:val="00057AE8"/>
    <w:rsid w:val="00057CB2"/>
    <w:rsid w:val="0006036E"/>
    <w:rsid w:val="0006047F"/>
    <w:rsid w:val="000606A8"/>
    <w:rsid w:val="00060FB7"/>
    <w:rsid w:val="00061127"/>
    <w:rsid w:val="00061135"/>
    <w:rsid w:val="00061187"/>
    <w:rsid w:val="000611C9"/>
    <w:rsid w:val="00061208"/>
    <w:rsid w:val="0006139B"/>
    <w:rsid w:val="000613A2"/>
    <w:rsid w:val="000613B6"/>
    <w:rsid w:val="000613F7"/>
    <w:rsid w:val="00061769"/>
    <w:rsid w:val="0006193E"/>
    <w:rsid w:val="00061A90"/>
    <w:rsid w:val="00061D20"/>
    <w:rsid w:val="00061E0C"/>
    <w:rsid w:val="00061FED"/>
    <w:rsid w:val="00061FFD"/>
    <w:rsid w:val="000624D1"/>
    <w:rsid w:val="00062B0A"/>
    <w:rsid w:val="000637D7"/>
    <w:rsid w:val="00063995"/>
    <w:rsid w:val="00063A0D"/>
    <w:rsid w:val="00063CE2"/>
    <w:rsid w:val="00064408"/>
    <w:rsid w:val="0006454E"/>
    <w:rsid w:val="00064626"/>
    <w:rsid w:val="000646AC"/>
    <w:rsid w:val="000648A9"/>
    <w:rsid w:val="000649C3"/>
    <w:rsid w:val="00064B05"/>
    <w:rsid w:val="00064BD9"/>
    <w:rsid w:val="00064C5D"/>
    <w:rsid w:val="00064CD6"/>
    <w:rsid w:val="00064CE0"/>
    <w:rsid w:val="00064F6C"/>
    <w:rsid w:val="000651A4"/>
    <w:rsid w:val="0006552F"/>
    <w:rsid w:val="00065687"/>
    <w:rsid w:val="0006585E"/>
    <w:rsid w:val="000658D8"/>
    <w:rsid w:val="00065B7B"/>
    <w:rsid w:val="00065F8A"/>
    <w:rsid w:val="0006620C"/>
    <w:rsid w:val="000664C5"/>
    <w:rsid w:val="00066825"/>
    <w:rsid w:val="00066A12"/>
    <w:rsid w:val="00066A4D"/>
    <w:rsid w:val="00066B97"/>
    <w:rsid w:val="00066BFC"/>
    <w:rsid w:val="00066CC1"/>
    <w:rsid w:val="00066EA9"/>
    <w:rsid w:val="00066FC8"/>
    <w:rsid w:val="0006735F"/>
    <w:rsid w:val="0006754E"/>
    <w:rsid w:val="00067655"/>
    <w:rsid w:val="00067730"/>
    <w:rsid w:val="00067891"/>
    <w:rsid w:val="00067AE9"/>
    <w:rsid w:val="00067C69"/>
    <w:rsid w:val="00067D15"/>
    <w:rsid w:val="00067DB4"/>
    <w:rsid w:val="00070302"/>
    <w:rsid w:val="0007059F"/>
    <w:rsid w:val="000709B3"/>
    <w:rsid w:val="000709BC"/>
    <w:rsid w:val="00070A2D"/>
    <w:rsid w:val="00070E1E"/>
    <w:rsid w:val="0007102C"/>
    <w:rsid w:val="00071320"/>
    <w:rsid w:val="000718D2"/>
    <w:rsid w:val="0007193B"/>
    <w:rsid w:val="000719F6"/>
    <w:rsid w:val="00071B21"/>
    <w:rsid w:val="00071F6E"/>
    <w:rsid w:val="00071FFC"/>
    <w:rsid w:val="0007260F"/>
    <w:rsid w:val="00072A14"/>
    <w:rsid w:val="00072D42"/>
    <w:rsid w:val="00072DF2"/>
    <w:rsid w:val="00072E12"/>
    <w:rsid w:val="00072F28"/>
    <w:rsid w:val="000730B4"/>
    <w:rsid w:val="00073288"/>
    <w:rsid w:val="00073CF8"/>
    <w:rsid w:val="00073DD5"/>
    <w:rsid w:val="00073FBC"/>
    <w:rsid w:val="000741D8"/>
    <w:rsid w:val="00074383"/>
    <w:rsid w:val="00074475"/>
    <w:rsid w:val="000744F8"/>
    <w:rsid w:val="0007478C"/>
    <w:rsid w:val="000749AC"/>
    <w:rsid w:val="00074A5D"/>
    <w:rsid w:val="00074AC2"/>
    <w:rsid w:val="00074CEA"/>
    <w:rsid w:val="00074DCB"/>
    <w:rsid w:val="00075011"/>
    <w:rsid w:val="0007511C"/>
    <w:rsid w:val="0007538A"/>
    <w:rsid w:val="0007552B"/>
    <w:rsid w:val="00075572"/>
    <w:rsid w:val="00075629"/>
    <w:rsid w:val="0007563A"/>
    <w:rsid w:val="00075718"/>
    <w:rsid w:val="000757C8"/>
    <w:rsid w:val="00076084"/>
    <w:rsid w:val="000760DB"/>
    <w:rsid w:val="00076334"/>
    <w:rsid w:val="00076E56"/>
    <w:rsid w:val="0007712E"/>
    <w:rsid w:val="000774AC"/>
    <w:rsid w:val="00077847"/>
    <w:rsid w:val="00077CFF"/>
    <w:rsid w:val="00077F2D"/>
    <w:rsid w:val="00077F7D"/>
    <w:rsid w:val="000802D1"/>
    <w:rsid w:val="00080780"/>
    <w:rsid w:val="00080D86"/>
    <w:rsid w:val="00080F0A"/>
    <w:rsid w:val="0008106F"/>
    <w:rsid w:val="000813A1"/>
    <w:rsid w:val="000815C2"/>
    <w:rsid w:val="00081931"/>
    <w:rsid w:val="00081A1A"/>
    <w:rsid w:val="00081F81"/>
    <w:rsid w:val="00081FD3"/>
    <w:rsid w:val="00082154"/>
    <w:rsid w:val="00082397"/>
    <w:rsid w:val="0008266E"/>
    <w:rsid w:val="0008270E"/>
    <w:rsid w:val="00082849"/>
    <w:rsid w:val="00082B94"/>
    <w:rsid w:val="00082ED9"/>
    <w:rsid w:val="00082F4C"/>
    <w:rsid w:val="00083139"/>
    <w:rsid w:val="00083265"/>
    <w:rsid w:val="00083272"/>
    <w:rsid w:val="000832D7"/>
    <w:rsid w:val="000834CB"/>
    <w:rsid w:val="0008351A"/>
    <w:rsid w:val="00083566"/>
    <w:rsid w:val="00083616"/>
    <w:rsid w:val="000837D9"/>
    <w:rsid w:val="00083995"/>
    <w:rsid w:val="000839FA"/>
    <w:rsid w:val="00083D19"/>
    <w:rsid w:val="00084225"/>
    <w:rsid w:val="0008485B"/>
    <w:rsid w:val="00084E9B"/>
    <w:rsid w:val="0008585F"/>
    <w:rsid w:val="00085BE6"/>
    <w:rsid w:val="00085F67"/>
    <w:rsid w:val="00085FF2"/>
    <w:rsid w:val="0008610F"/>
    <w:rsid w:val="000866B9"/>
    <w:rsid w:val="0008673E"/>
    <w:rsid w:val="0008677A"/>
    <w:rsid w:val="000868A5"/>
    <w:rsid w:val="000868B3"/>
    <w:rsid w:val="00086C39"/>
    <w:rsid w:val="000875F5"/>
    <w:rsid w:val="00087D77"/>
    <w:rsid w:val="000900A0"/>
    <w:rsid w:val="0009026C"/>
    <w:rsid w:val="000902D8"/>
    <w:rsid w:val="00090369"/>
    <w:rsid w:val="00090AFE"/>
    <w:rsid w:val="000919F7"/>
    <w:rsid w:val="00091B1A"/>
    <w:rsid w:val="00091FAE"/>
    <w:rsid w:val="000921D2"/>
    <w:rsid w:val="0009292B"/>
    <w:rsid w:val="00092C30"/>
    <w:rsid w:val="00092C34"/>
    <w:rsid w:val="00092DE6"/>
    <w:rsid w:val="00092FB4"/>
    <w:rsid w:val="0009311B"/>
    <w:rsid w:val="0009312A"/>
    <w:rsid w:val="000931DB"/>
    <w:rsid w:val="00093358"/>
    <w:rsid w:val="00093540"/>
    <w:rsid w:val="000939CA"/>
    <w:rsid w:val="00093AE4"/>
    <w:rsid w:val="00094179"/>
    <w:rsid w:val="00094361"/>
    <w:rsid w:val="00094393"/>
    <w:rsid w:val="000946A6"/>
    <w:rsid w:val="00094709"/>
    <w:rsid w:val="00094BDA"/>
    <w:rsid w:val="00094E22"/>
    <w:rsid w:val="0009510D"/>
    <w:rsid w:val="0009532D"/>
    <w:rsid w:val="00095591"/>
    <w:rsid w:val="000956DC"/>
    <w:rsid w:val="00095864"/>
    <w:rsid w:val="00095D14"/>
    <w:rsid w:val="00095D86"/>
    <w:rsid w:val="00095FA1"/>
    <w:rsid w:val="00095FF4"/>
    <w:rsid w:val="00096315"/>
    <w:rsid w:val="0009657D"/>
    <w:rsid w:val="00096764"/>
    <w:rsid w:val="0009685A"/>
    <w:rsid w:val="00096C28"/>
    <w:rsid w:val="00096CEB"/>
    <w:rsid w:val="00096D32"/>
    <w:rsid w:val="00096D66"/>
    <w:rsid w:val="00096DB8"/>
    <w:rsid w:val="00097121"/>
    <w:rsid w:val="000975D3"/>
    <w:rsid w:val="000978C7"/>
    <w:rsid w:val="000978D9"/>
    <w:rsid w:val="00097947"/>
    <w:rsid w:val="00097F38"/>
    <w:rsid w:val="00097F86"/>
    <w:rsid w:val="000A0043"/>
    <w:rsid w:val="000A01C4"/>
    <w:rsid w:val="000A0492"/>
    <w:rsid w:val="000A04B2"/>
    <w:rsid w:val="000A08A0"/>
    <w:rsid w:val="000A09CB"/>
    <w:rsid w:val="000A0C29"/>
    <w:rsid w:val="000A0D55"/>
    <w:rsid w:val="000A105F"/>
    <w:rsid w:val="000A132C"/>
    <w:rsid w:val="000A1336"/>
    <w:rsid w:val="000A167C"/>
    <w:rsid w:val="000A1A36"/>
    <w:rsid w:val="000A1C49"/>
    <w:rsid w:val="000A25C1"/>
    <w:rsid w:val="000A2752"/>
    <w:rsid w:val="000A2A33"/>
    <w:rsid w:val="000A2D18"/>
    <w:rsid w:val="000A2D37"/>
    <w:rsid w:val="000A33E6"/>
    <w:rsid w:val="000A3563"/>
    <w:rsid w:val="000A39CE"/>
    <w:rsid w:val="000A3A6F"/>
    <w:rsid w:val="000A434F"/>
    <w:rsid w:val="000A4375"/>
    <w:rsid w:val="000A44B4"/>
    <w:rsid w:val="000A473B"/>
    <w:rsid w:val="000A4B19"/>
    <w:rsid w:val="000A4B9B"/>
    <w:rsid w:val="000A4ECA"/>
    <w:rsid w:val="000A56C3"/>
    <w:rsid w:val="000A59CE"/>
    <w:rsid w:val="000A5C66"/>
    <w:rsid w:val="000A6125"/>
    <w:rsid w:val="000A64E5"/>
    <w:rsid w:val="000A66BA"/>
    <w:rsid w:val="000A687B"/>
    <w:rsid w:val="000A6896"/>
    <w:rsid w:val="000A6AEF"/>
    <w:rsid w:val="000A6B0B"/>
    <w:rsid w:val="000A6CAD"/>
    <w:rsid w:val="000A739E"/>
    <w:rsid w:val="000A76FE"/>
    <w:rsid w:val="000A77AE"/>
    <w:rsid w:val="000A787F"/>
    <w:rsid w:val="000A79CB"/>
    <w:rsid w:val="000A79FF"/>
    <w:rsid w:val="000B0379"/>
    <w:rsid w:val="000B03A0"/>
    <w:rsid w:val="000B0B4A"/>
    <w:rsid w:val="000B105E"/>
    <w:rsid w:val="000B10DE"/>
    <w:rsid w:val="000B1111"/>
    <w:rsid w:val="000B11B1"/>
    <w:rsid w:val="000B11FC"/>
    <w:rsid w:val="000B1324"/>
    <w:rsid w:val="000B134A"/>
    <w:rsid w:val="000B13D1"/>
    <w:rsid w:val="000B1AE2"/>
    <w:rsid w:val="000B1C7E"/>
    <w:rsid w:val="000B1C83"/>
    <w:rsid w:val="000B2047"/>
    <w:rsid w:val="000B22A3"/>
    <w:rsid w:val="000B22EF"/>
    <w:rsid w:val="000B2548"/>
    <w:rsid w:val="000B2848"/>
    <w:rsid w:val="000B2AF1"/>
    <w:rsid w:val="000B2D51"/>
    <w:rsid w:val="000B2F24"/>
    <w:rsid w:val="000B2F2D"/>
    <w:rsid w:val="000B33BD"/>
    <w:rsid w:val="000B3679"/>
    <w:rsid w:val="000B3706"/>
    <w:rsid w:val="000B47B1"/>
    <w:rsid w:val="000B4BE2"/>
    <w:rsid w:val="000B4CEA"/>
    <w:rsid w:val="000B4F9C"/>
    <w:rsid w:val="000B50B6"/>
    <w:rsid w:val="000B5184"/>
    <w:rsid w:val="000B5502"/>
    <w:rsid w:val="000B571A"/>
    <w:rsid w:val="000B5765"/>
    <w:rsid w:val="000B58C5"/>
    <w:rsid w:val="000B629A"/>
    <w:rsid w:val="000B6546"/>
    <w:rsid w:val="000B658C"/>
    <w:rsid w:val="000B6629"/>
    <w:rsid w:val="000B670B"/>
    <w:rsid w:val="000B675D"/>
    <w:rsid w:val="000B6807"/>
    <w:rsid w:val="000B6BE2"/>
    <w:rsid w:val="000B6D61"/>
    <w:rsid w:val="000B6FE0"/>
    <w:rsid w:val="000B7011"/>
    <w:rsid w:val="000B78C3"/>
    <w:rsid w:val="000B79E2"/>
    <w:rsid w:val="000B7BC3"/>
    <w:rsid w:val="000B7ED1"/>
    <w:rsid w:val="000B7F9F"/>
    <w:rsid w:val="000C0351"/>
    <w:rsid w:val="000C0728"/>
    <w:rsid w:val="000C07F8"/>
    <w:rsid w:val="000C0A46"/>
    <w:rsid w:val="000C0CC1"/>
    <w:rsid w:val="000C0F7A"/>
    <w:rsid w:val="000C10A7"/>
    <w:rsid w:val="000C10EC"/>
    <w:rsid w:val="000C1195"/>
    <w:rsid w:val="000C1389"/>
    <w:rsid w:val="000C1737"/>
    <w:rsid w:val="000C1868"/>
    <w:rsid w:val="000C18AD"/>
    <w:rsid w:val="000C2022"/>
    <w:rsid w:val="000C20EA"/>
    <w:rsid w:val="000C258B"/>
    <w:rsid w:val="000C25F2"/>
    <w:rsid w:val="000C27C8"/>
    <w:rsid w:val="000C28A3"/>
    <w:rsid w:val="000C2903"/>
    <w:rsid w:val="000C29D9"/>
    <w:rsid w:val="000C2A99"/>
    <w:rsid w:val="000C2D1C"/>
    <w:rsid w:val="000C3276"/>
    <w:rsid w:val="000C34F3"/>
    <w:rsid w:val="000C3C57"/>
    <w:rsid w:val="000C3C6F"/>
    <w:rsid w:val="000C43BA"/>
    <w:rsid w:val="000C4542"/>
    <w:rsid w:val="000C4547"/>
    <w:rsid w:val="000C5555"/>
    <w:rsid w:val="000C5705"/>
    <w:rsid w:val="000C57DE"/>
    <w:rsid w:val="000C5C3A"/>
    <w:rsid w:val="000C5C82"/>
    <w:rsid w:val="000C5DDD"/>
    <w:rsid w:val="000C60CA"/>
    <w:rsid w:val="000C6354"/>
    <w:rsid w:val="000C6497"/>
    <w:rsid w:val="000C68DC"/>
    <w:rsid w:val="000C6C90"/>
    <w:rsid w:val="000C70E5"/>
    <w:rsid w:val="000C7132"/>
    <w:rsid w:val="000C74B6"/>
    <w:rsid w:val="000C7522"/>
    <w:rsid w:val="000C7534"/>
    <w:rsid w:val="000C7818"/>
    <w:rsid w:val="000C7875"/>
    <w:rsid w:val="000C78FA"/>
    <w:rsid w:val="000C79E0"/>
    <w:rsid w:val="000C7A0C"/>
    <w:rsid w:val="000C7AFE"/>
    <w:rsid w:val="000C7B70"/>
    <w:rsid w:val="000C7C8D"/>
    <w:rsid w:val="000C7F73"/>
    <w:rsid w:val="000D002D"/>
    <w:rsid w:val="000D03BF"/>
    <w:rsid w:val="000D04A8"/>
    <w:rsid w:val="000D0C47"/>
    <w:rsid w:val="000D0DD3"/>
    <w:rsid w:val="000D10FA"/>
    <w:rsid w:val="000D12FF"/>
    <w:rsid w:val="000D13FC"/>
    <w:rsid w:val="000D1416"/>
    <w:rsid w:val="000D18C3"/>
    <w:rsid w:val="000D1C02"/>
    <w:rsid w:val="000D1EB7"/>
    <w:rsid w:val="000D2018"/>
    <w:rsid w:val="000D2CED"/>
    <w:rsid w:val="000D2D58"/>
    <w:rsid w:val="000D2E01"/>
    <w:rsid w:val="000D3270"/>
    <w:rsid w:val="000D3443"/>
    <w:rsid w:val="000D354F"/>
    <w:rsid w:val="000D3A55"/>
    <w:rsid w:val="000D3EAA"/>
    <w:rsid w:val="000D428C"/>
    <w:rsid w:val="000D45C3"/>
    <w:rsid w:val="000D4726"/>
    <w:rsid w:val="000D47F9"/>
    <w:rsid w:val="000D4974"/>
    <w:rsid w:val="000D4EC7"/>
    <w:rsid w:val="000D58F0"/>
    <w:rsid w:val="000D5A27"/>
    <w:rsid w:val="000D5A9A"/>
    <w:rsid w:val="000D5AF0"/>
    <w:rsid w:val="000D5CA7"/>
    <w:rsid w:val="000D64F2"/>
    <w:rsid w:val="000D6907"/>
    <w:rsid w:val="000D6A00"/>
    <w:rsid w:val="000D6EF4"/>
    <w:rsid w:val="000D7260"/>
    <w:rsid w:val="000D73BD"/>
    <w:rsid w:val="000D7531"/>
    <w:rsid w:val="000D7C89"/>
    <w:rsid w:val="000D7D33"/>
    <w:rsid w:val="000D7F36"/>
    <w:rsid w:val="000E004E"/>
    <w:rsid w:val="000E05DE"/>
    <w:rsid w:val="000E0620"/>
    <w:rsid w:val="000E0FC1"/>
    <w:rsid w:val="000E107E"/>
    <w:rsid w:val="000E12F8"/>
    <w:rsid w:val="000E14B4"/>
    <w:rsid w:val="000E15BE"/>
    <w:rsid w:val="000E16E5"/>
    <w:rsid w:val="000E1786"/>
    <w:rsid w:val="000E1CAA"/>
    <w:rsid w:val="000E2295"/>
    <w:rsid w:val="000E2371"/>
    <w:rsid w:val="000E2E47"/>
    <w:rsid w:val="000E2F23"/>
    <w:rsid w:val="000E2FC6"/>
    <w:rsid w:val="000E2FC9"/>
    <w:rsid w:val="000E32A8"/>
    <w:rsid w:val="000E363C"/>
    <w:rsid w:val="000E3B1F"/>
    <w:rsid w:val="000E3C2E"/>
    <w:rsid w:val="000E3C7C"/>
    <w:rsid w:val="000E3DEA"/>
    <w:rsid w:val="000E3E5F"/>
    <w:rsid w:val="000E409A"/>
    <w:rsid w:val="000E4342"/>
    <w:rsid w:val="000E46D2"/>
    <w:rsid w:val="000E48A0"/>
    <w:rsid w:val="000E4ACF"/>
    <w:rsid w:val="000E4E4A"/>
    <w:rsid w:val="000E4EA9"/>
    <w:rsid w:val="000E550B"/>
    <w:rsid w:val="000E5637"/>
    <w:rsid w:val="000E5ADF"/>
    <w:rsid w:val="000E5B1D"/>
    <w:rsid w:val="000E5C22"/>
    <w:rsid w:val="000E5F29"/>
    <w:rsid w:val="000E61A4"/>
    <w:rsid w:val="000E61D2"/>
    <w:rsid w:val="000E625A"/>
    <w:rsid w:val="000E629E"/>
    <w:rsid w:val="000E65D3"/>
    <w:rsid w:val="000E65FA"/>
    <w:rsid w:val="000E6603"/>
    <w:rsid w:val="000E66B8"/>
    <w:rsid w:val="000E66FF"/>
    <w:rsid w:val="000E68C9"/>
    <w:rsid w:val="000E6C82"/>
    <w:rsid w:val="000E6E45"/>
    <w:rsid w:val="000E7230"/>
    <w:rsid w:val="000E73F1"/>
    <w:rsid w:val="000E7B53"/>
    <w:rsid w:val="000E7F71"/>
    <w:rsid w:val="000F00F9"/>
    <w:rsid w:val="000F0402"/>
    <w:rsid w:val="000F094C"/>
    <w:rsid w:val="000F0988"/>
    <w:rsid w:val="000F0BFD"/>
    <w:rsid w:val="000F0C3C"/>
    <w:rsid w:val="000F1119"/>
    <w:rsid w:val="000F123D"/>
    <w:rsid w:val="000F128D"/>
    <w:rsid w:val="000F1408"/>
    <w:rsid w:val="000F182D"/>
    <w:rsid w:val="000F19A6"/>
    <w:rsid w:val="000F1BF7"/>
    <w:rsid w:val="000F1DEE"/>
    <w:rsid w:val="000F1FE5"/>
    <w:rsid w:val="000F20C1"/>
    <w:rsid w:val="000F21B3"/>
    <w:rsid w:val="000F2608"/>
    <w:rsid w:val="000F2B1E"/>
    <w:rsid w:val="000F2E95"/>
    <w:rsid w:val="000F30CA"/>
    <w:rsid w:val="000F323D"/>
    <w:rsid w:val="000F331A"/>
    <w:rsid w:val="000F3404"/>
    <w:rsid w:val="000F35C0"/>
    <w:rsid w:val="000F3715"/>
    <w:rsid w:val="000F3AC7"/>
    <w:rsid w:val="000F3B00"/>
    <w:rsid w:val="000F40D1"/>
    <w:rsid w:val="000F429D"/>
    <w:rsid w:val="000F4530"/>
    <w:rsid w:val="000F47B2"/>
    <w:rsid w:val="000F484C"/>
    <w:rsid w:val="000F48BE"/>
    <w:rsid w:val="000F4A59"/>
    <w:rsid w:val="000F4AA9"/>
    <w:rsid w:val="000F4AB4"/>
    <w:rsid w:val="000F53FA"/>
    <w:rsid w:val="000F5656"/>
    <w:rsid w:val="000F577D"/>
    <w:rsid w:val="000F5FC0"/>
    <w:rsid w:val="000F6392"/>
    <w:rsid w:val="000F6D0F"/>
    <w:rsid w:val="000F7078"/>
    <w:rsid w:val="000F744C"/>
    <w:rsid w:val="000F764D"/>
    <w:rsid w:val="000F768B"/>
    <w:rsid w:val="000F7D4F"/>
    <w:rsid w:val="000F7D79"/>
    <w:rsid w:val="00100073"/>
    <w:rsid w:val="0010026B"/>
    <w:rsid w:val="00100795"/>
    <w:rsid w:val="00100BFF"/>
    <w:rsid w:val="00100F31"/>
    <w:rsid w:val="00101088"/>
    <w:rsid w:val="001010A8"/>
    <w:rsid w:val="00101316"/>
    <w:rsid w:val="001017FF"/>
    <w:rsid w:val="00101AF7"/>
    <w:rsid w:val="00102020"/>
    <w:rsid w:val="0010294D"/>
    <w:rsid w:val="0010313B"/>
    <w:rsid w:val="0010327B"/>
    <w:rsid w:val="001032AE"/>
    <w:rsid w:val="0010355F"/>
    <w:rsid w:val="001036D2"/>
    <w:rsid w:val="001039C8"/>
    <w:rsid w:val="00103A02"/>
    <w:rsid w:val="00103FA6"/>
    <w:rsid w:val="00104066"/>
    <w:rsid w:val="001042CF"/>
    <w:rsid w:val="001044BA"/>
    <w:rsid w:val="001047E2"/>
    <w:rsid w:val="00104ACE"/>
    <w:rsid w:val="00104B95"/>
    <w:rsid w:val="0010512A"/>
    <w:rsid w:val="001052A6"/>
    <w:rsid w:val="0010582C"/>
    <w:rsid w:val="0010596B"/>
    <w:rsid w:val="00105C1B"/>
    <w:rsid w:val="0010661F"/>
    <w:rsid w:val="0010682D"/>
    <w:rsid w:val="00106E5E"/>
    <w:rsid w:val="00106F4F"/>
    <w:rsid w:val="00107487"/>
    <w:rsid w:val="00110487"/>
    <w:rsid w:val="001109BB"/>
    <w:rsid w:val="00110E26"/>
    <w:rsid w:val="0011132B"/>
    <w:rsid w:val="00111901"/>
    <w:rsid w:val="00111B64"/>
    <w:rsid w:val="00112023"/>
    <w:rsid w:val="0011207A"/>
    <w:rsid w:val="0011253A"/>
    <w:rsid w:val="00112638"/>
    <w:rsid w:val="0011275F"/>
    <w:rsid w:val="001127C6"/>
    <w:rsid w:val="00112C4E"/>
    <w:rsid w:val="00112D32"/>
    <w:rsid w:val="00112F74"/>
    <w:rsid w:val="00113283"/>
    <w:rsid w:val="00113318"/>
    <w:rsid w:val="0011358A"/>
    <w:rsid w:val="001135D2"/>
    <w:rsid w:val="0011379A"/>
    <w:rsid w:val="0011380F"/>
    <w:rsid w:val="00113969"/>
    <w:rsid w:val="001139F0"/>
    <w:rsid w:val="00113C00"/>
    <w:rsid w:val="00114236"/>
    <w:rsid w:val="00114244"/>
    <w:rsid w:val="00114692"/>
    <w:rsid w:val="001148F6"/>
    <w:rsid w:val="00114E31"/>
    <w:rsid w:val="00115AFB"/>
    <w:rsid w:val="00115DE1"/>
    <w:rsid w:val="00115EC3"/>
    <w:rsid w:val="00115EDE"/>
    <w:rsid w:val="00115FD7"/>
    <w:rsid w:val="0011636E"/>
    <w:rsid w:val="00116512"/>
    <w:rsid w:val="00116C07"/>
    <w:rsid w:val="001171B6"/>
    <w:rsid w:val="001171BF"/>
    <w:rsid w:val="001176A6"/>
    <w:rsid w:val="00117ABF"/>
    <w:rsid w:val="00117CDE"/>
    <w:rsid w:val="00117EC4"/>
    <w:rsid w:val="00120455"/>
    <w:rsid w:val="0012060E"/>
    <w:rsid w:val="001206B4"/>
    <w:rsid w:val="001206CA"/>
    <w:rsid w:val="001208B1"/>
    <w:rsid w:val="00120D04"/>
    <w:rsid w:val="00121189"/>
    <w:rsid w:val="00121226"/>
    <w:rsid w:val="00121B4F"/>
    <w:rsid w:val="00121C38"/>
    <w:rsid w:val="001220BD"/>
    <w:rsid w:val="001224D5"/>
    <w:rsid w:val="001228B5"/>
    <w:rsid w:val="00122902"/>
    <w:rsid w:val="00122AA3"/>
    <w:rsid w:val="00122BA1"/>
    <w:rsid w:val="00122C3D"/>
    <w:rsid w:val="00122CBF"/>
    <w:rsid w:val="00122DEC"/>
    <w:rsid w:val="0012311A"/>
    <w:rsid w:val="00123246"/>
    <w:rsid w:val="0012333E"/>
    <w:rsid w:val="00123D71"/>
    <w:rsid w:val="00123DB6"/>
    <w:rsid w:val="00123DF3"/>
    <w:rsid w:val="00124092"/>
    <w:rsid w:val="00124243"/>
    <w:rsid w:val="00124395"/>
    <w:rsid w:val="00124652"/>
    <w:rsid w:val="001247A5"/>
    <w:rsid w:val="00124988"/>
    <w:rsid w:val="00124AB9"/>
    <w:rsid w:val="00124B6C"/>
    <w:rsid w:val="00124B9D"/>
    <w:rsid w:val="00124EF8"/>
    <w:rsid w:val="00124F0C"/>
    <w:rsid w:val="0012505F"/>
    <w:rsid w:val="0012514D"/>
    <w:rsid w:val="00125258"/>
    <w:rsid w:val="00125559"/>
    <w:rsid w:val="00125650"/>
    <w:rsid w:val="001257E4"/>
    <w:rsid w:val="00125A84"/>
    <w:rsid w:val="00125CE0"/>
    <w:rsid w:val="00125DDD"/>
    <w:rsid w:val="001261A7"/>
    <w:rsid w:val="001261AC"/>
    <w:rsid w:val="001263E8"/>
    <w:rsid w:val="00126732"/>
    <w:rsid w:val="001267AD"/>
    <w:rsid w:val="00126884"/>
    <w:rsid w:val="001270AC"/>
    <w:rsid w:val="001272B2"/>
    <w:rsid w:val="00127373"/>
    <w:rsid w:val="001274AF"/>
    <w:rsid w:val="001276A6"/>
    <w:rsid w:val="00127D8D"/>
    <w:rsid w:val="00130648"/>
    <w:rsid w:val="00130A14"/>
    <w:rsid w:val="00130AD3"/>
    <w:rsid w:val="00131CB6"/>
    <w:rsid w:val="00132590"/>
    <w:rsid w:val="00133140"/>
    <w:rsid w:val="0013346B"/>
    <w:rsid w:val="00133578"/>
    <w:rsid w:val="0013367C"/>
    <w:rsid w:val="00133BD2"/>
    <w:rsid w:val="00134197"/>
    <w:rsid w:val="001341C5"/>
    <w:rsid w:val="001343CB"/>
    <w:rsid w:val="001344B3"/>
    <w:rsid w:val="001349E9"/>
    <w:rsid w:val="00134B0B"/>
    <w:rsid w:val="00134BFF"/>
    <w:rsid w:val="00134F82"/>
    <w:rsid w:val="0013524E"/>
    <w:rsid w:val="00135656"/>
    <w:rsid w:val="00135CAF"/>
    <w:rsid w:val="00135FA8"/>
    <w:rsid w:val="00135FBD"/>
    <w:rsid w:val="001367B5"/>
    <w:rsid w:val="001371CC"/>
    <w:rsid w:val="001374EF"/>
    <w:rsid w:val="001377AA"/>
    <w:rsid w:val="00137B64"/>
    <w:rsid w:val="00137D13"/>
    <w:rsid w:val="00137F99"/>
    <w:rsid w:val="00140137"/>
    <w:rsid w:val="00140212"/>
    <w:rsid w:val="0014033D"/>
    <w:rsid w:val="00140365"/>
    <w:rsid w:val="00140896"/>
    <w:rsid w:val="0014099B"/>
    <w:rsid w:val="00140A44"/>
    <w:rsid w:val="0014137F"/>
    <w:rsid w:val="00141CEA"/>
    <w:rsid w:val="00141F3F"/>
    <w:rsid w:val="001420A7"/>
    <w:rsid w:val="0014299E"/>
    <w:rsid w:val="00142D7E"/>
    <w:rsid w:val="00142EE7"/>
    <w:rsid w:val="00142EF9"/>
    <w:rsid w:val="00143290"/>
    <w:rsid w:val="001432A3"/>
    <w:rsid w:val="001435AA"/>
    <w:rsid w:val="001435AB"/>
    <w:rsid w:val="00143A50"/>
    <w:rsid w:val="00143E05"/>
    <w:rsid w:val="00144128"/>
    <w:rsid w:val="001445FD"/>
    <w:rsid w:val="00144A08"/>
    <w:rsid w:val="00144B66"/>
    <w:rsid w:val="00144BD8"/>
    <w:rsid w:val="00144D73"/>
    <w:rsid w:val="00144DE3"/>
    <w:rsid w:val="00145273"/>
    <w:rsid w:val="00145D37"/>
    <w:rsid w:val="00145D42"/>
    <w:rsid w:val="00145D6F"/>
    <w:rsid w:val="00145F3A"/>
    <w:rsid w:val="001460F5"/>
    <w:rsid w:val="00146331"/>
    <w:rsid w:val="001465DC"/>
    <w:rsid w:val="0014688A"/>
    <w:rsid w:val="0014699A"/>
    <w:rsid w:val="00146C1A"/>
    <w:rsid w:val="00147109"/>
    <w:rsid w:val="001502C8"/>
    <w:rsid w:val="00150702"/>
    <w:rsid w:val="00150A44"/>
    <w:rsid w:val="00150F41"/>
    <w:rsid w:val="001510FD"/>
    <w:rsid w:val="00151169"/>
    <w:rsid w:val="0015133A"/>
    <w:rsid w:val="00151651"/>
    <w:rsid w:val="00151690"/>
    <w:rsid w:val="00151928"/>
    <w:rsid w:val="00151986"/>
    <w:rsid w:val="00151ED7"/>
    <w:rsid w:val="00151FA4"/>
    <w:rsid w:val="0015205D"/>
    <w:rsid w:val="00152427"/>
    <w:rsid w:val="001528BC"/>
    <w:rsid w:val="00152E73"/>
    <w:rsid w:val="00153003"/>
    <w:rsid w:val="0015359C"/>
    <w:rsid w:val="00153810"/>
    <w:rsid w:val="00153879"/>
    <w:rsid w:val="0015388F"/>
    <w:rsid w:val="001538C1"/>
    <w:rsid w:val="00153C61"/>
    <w:rsid w:val="00153F56"/>
    <w:rsid w:val="001540C9"/>
    <w:rsid w:val="001542A7"/>
    <w:rsid w:val="0015448F"/>
    <w:rsid w:val="0015454D"/>
    <w:rsid w:val="001546A7"/>
    <w:rsid w:val="00154969"/>
    <w:rsid w:val="00154C13"/>
    <w:rsid w:val="00154E04"/>
    <w:rsid w:val="00154F3C"/>
    <w:rsid w:val="00155088"/>
    <w:rsid w:val="001551AF"/>
    <w:rsid w:val="001555DF"/>
    <w:rsid w:val="00155604"/>
    <w:rsid w:val="00155761"/>
    <w:rsid w:val="0015598B"/>
    <w:rsid w:val="00155A19"/>
    <w:rsid w:val="00155A3B"/>
    <w:rsid w:val="00155BD8"/>
    <w:rsid w:val="00155ED9"/>
    <w:rsid w:val="00155EFB"/>
    <w:rsid w:val="00155F72"/>
    <w:rsid w:val="001564AA"/>
    <w:rsid w:val="00156599"/>
    <w:rsid w:val="001568BF"/>
    <w:rsid w:val="00156DA2"/>
    <w:rsid w:val="00156F41"/>
    <w:rsid w:val="00156F63"/>
    <w:rsid w:val="001575D0"/>
    <w:rsid w:val="00157646"/>
    <w:rsid w:val="00157732"/>
    <w:rsid w:val="00157EF7"/>
    <w:rsid w:val="00157F2C"/>
    <w:rsid w:val="00157F5B"/>
    <w:rsid w:val="001602C7"/>
    <w:rsid w:val="001604A2"/>
    <w:rsid w:val="001605B2"/>
    <w:rsid w:val="001608A3"/>
    <w:rsid w:val="00160BEC"/>
    <w:rsid w:val="00160EBC"/>
    <w:rsid w:val="0016122C"/>
    <w:rsid w:val="0016126F"/>
    <w:rsid w:val="00161640"/>
    <w:rsid w:val="00161E88"/>
    <w:rsid w:val="0016208D"/>
    <w:rsid w:val="001621A6"/>
    <w:rsid w:val="00162271"/>
    <w:rsid w:val="00162697"/>
    <w:rsid w:val="00162703"/>
    <w:rsid w:val="001627EB"/>
    <w:rsid w:val="0016336B"/>
    <w:rsid w:val="001633C7"/>
    <w:rsid w:val="001638CF"/>
    <w:rsid w:val="00163ACB"/>
    <w:rsid w:val="00163B05"/>
    <w:rsid w:val="001640EF"/>
    <w:rsid w:val="00164411"/>
    <w:rsid w:val="00164735"/>
    <w:rsid w:val="00164B48"/>
    <w:rsid w:val="00164FF2"/>
    <w:rsid w:val="001654B3"/>
    <w:rsid w:val="001654D4"/>
    <w:rsid w:val="00165B26"/>
    <w:rsid w:val="00165CAA"/>
    <w:rsid w:val="00165D93"/>
    <w:rsid w:val="00165E6C"/>
    <w:rsid w:val="00165F0B"/>
    <w:rsid w:val="0016614D"/>
    <w:rsid w:val="001662DC"/>
    <w:rsid w:val="00166779"/>
    <w:rsid w:val="00166D49"/>
    <w:rsid w:val="00167817"/>
    <w:rsid w:val="00167A73"/>
    <w:rsid w:val="00170520"/>
    <w:rsid w:val="00170CED"/>
    <w:rsid w:val="00170DC7"/>
    <w:rsid w:val="00170DEE"/>
    <w:rsid w:val="0017121B"/>
    <w:rsid w:val="001714A4"/>
    <w:rsid w:val="00171856"/>
    <w:rsid w:val="00171C70"/>
    <w:rsid w:val="0017252F"/>
    <w:rsid w:val="001727A9"/>
    <w:rsid w:val="00172A27"/>
    <w:rsid w:val="00172AE8"/>
    <w:rsid w:val="00172AFD"/>
    <w:rsid w:val="00172FCB"/>
    <w:rsid w:val="001731C9"/>
    <w:rsid w:val="001732B4"/>
    <w:rsid w:val="0017397F"/>
    <w:rsid w:val="001741FB"/>
    <w:rsid w:val="0017420A"/>
    <w:rsid w:val="001748CF"/>
    <w:rsid w:val="001749B1"/>
    <w:rsid w:val="00174DF2"/>
    <w:rsid w:val="00174EC8"/>
    <w:rsid w:val="0017523C"/>
    <w:rsid w:val="001752D2"/>
    <w:rsid w:val="00175456"/>
    <w:rsid w:val="0017590A"/>
    <w:rsid w:val="001759E0"/>
    <w:rsid w:val="00175C86"/>
    <w:rsid w:val="00176140"/>
    <w:rsid w:val="00176299"/>
    <w:rsid w:val="001764CF"/>
    <w:rsid w:val="00176A83"/>
    <w:rsid w:val="00176E3A"/>
    <w:rsid w:val="001771B9"/>
    <w:rsid w:val="00177A48"/>
    <w:rsid w:val="00177E76"/>
    <w:rsid w:val="00180067"/>
    <w:rsid w:val="001800D1"/>
    <w:rsid w:val="00180128"/>
    <w:rsid w:val="001801C3"/>
    <w:rsid w:val="0018085D"/>
    <w:rsid w:val="0018086D"/>
    <w:rsid w:val="00180883"/>
    <w:rsid w:val="001808DE"/>
    <w:rsid w:val="00180B64"/>
    <w:rsid w:val="00180C7F"/>
    <w:rsid w:val="00180CE4"/>
    <w:rsid w:val="00181037"/>
    <w:rsid w:val="00181180"/>
    <w:rsid w:val="001812B9"/>
    <w:rsid w:val="0018144D"/>
    <w:rsid w:val="001815C3"/>
    <w:rsid w:val="00181C79"/>
    <w:rsid w:val="00181D88"/>
    <w:rsid w:val="00182042"/>
    <w:rsid w:val="0018223A"/>
    <w:rsid w:val="0018259A"/>
    <w:rsid w:val="00182E2F"/>
    <w:rsid w:val="00182E32"/>
    <w:rsid w:val="00183162"/>
    <w:rsid w:val="00183193"/>
    <w:rsid w:val="0018333D"/>
    <w:rsid w:val="001834E5"/>
    <w:rsid w:val="001836A7"/>
    <w:rsid w:val="0018408A"/>
    <w:rsid w:val="001840B7"/>
    <w:rsid w:val="001846C2"/>
    <w:rsid w:val="001846D9"/>
    <w:rsid w:val="001848A0"/>
    <w:rsid w:val="00184A33"/>
    <w:rsid w:val="00184A42"/>
    <w:rsid w:val="00184AAD"/>
    <w:rsid w:val="00184D15"/>
    <w:rsid w:val="00184D68"/>
    <w:rsid w:val="00184E3A"/>
    <w:rsid w:val="00184E97"/>
    <w:rsid w:val="00184FC3"/>
    <w:rsid w:val="00185016"/>
    <w:rsid w:val="0018507B"/>
    <w:rsid w:val="001850FB"/>
    <w:rsid w:val="001852FE"/>
    <w:rsid w:val="0018560B"/>
    <w:rsid w:val="0018575A"/>
    <w:rsid w:val="00185795"/>
    <w:rsid w:val="00186CFB"/>
    <w:rsid w:val="00186D40"/>
    <w:rsid w:val="00187403"/>
    <w:rsid w:val="001877F8"/>
    <w:rsid w:val="00187FF2"/>
    <w:rsid w:val="00190022"/>
    <w:rsid w:val="00190159"/>
    <w:rsid w:val="001902D8"/>
    <w:rsid w:val="001904D1"/>
    <w:rsid w:val="00190503"/>
    <w:rsid w:val="001905D3"/>
    <w:rsid w:val="00190658"/>
    <w:rsid w:val="00190CC0"/>
    <w:rsid w:val="00190DC9"/>
    <w:rsid w:val="00190ED5"/>
    <w:rsid w:val="001912E9"/>
    <w:rsid w:val="0019132B"/>
    <w:rsid w:val="00191332"/>
    <w:rsid w:val="001913CC"/>
    <w:rsid w:val="00191697"/>
    <w:rsid w:val="00191856"/>
    <w:rsid w:val="00191E76"/>
    <w:rsid w:val="00191EC9"/>
    <w:rsid w:val="00191F71"/>
    <w:rsid w:val="001923E1"/>
    <w:rsid w:val="001923FA"/>
    <w:rsid w:val="0019247D"/>
    <w:rsid w:val="001925D3"/>
    <w:rsid w:val="00192870"/>
    <w:rsid w:val="00192F8F"/>
    <w:rsid w:val="001930C8"/>
    <w:rsid w:val="001930D0"/>
    <w:rsid w:val="001932A0"/>
    <w:rsid w:val="0019334A"/>
    <w:rsid w:val="00193587"/>
    <w:rsid w:val="00193749"/>
    <w:rsid w:val="001937D4"/>
    <w:rsid w:val="00193820"/>
    <w:rsid w:val="00193D1E"/>
    <w:rsid w:val="001941B4"/>
    <w:rsid w:val="001946F1"/>
    <w:rsid w:val="001948E3"/>
    <w:rsid w:val="00194A5A"/>
    <w:rsid w:val="00194ADC"/>
    <w:rsid w:val="00194D4B"/>
    <w:rsid w:val="00194ECC"/>
    <w:rsid w:val="00194FE6"/>
    <w:rsid w:val="001950B0"/>
    <w:rsid w:val="0019527B"/>
    <w:rsid w:val="00195317"/>
    <w:rsid w:val="001954A3"/>
    <w:rsid w:val="001955B4"/>
    <w:rsid w:val="00195627"/>
    <w:rsid w:val="00195A4A"/>
    <w:rsid w:val="00195B7C"/>
    <w:rsid w:val="00195D92"/>
    <w:rsid w:val="00195DCD"/>
    <w:rsid w:val="00195F9C"/>
    <w:rsid w:val="00196701"/>
    <w:rsid w:val="0019671B"/>
    <w:rsid w:val="00196947"/>
    <w:rsid w:val="0019697A"/>
    <w:rsid w:val="00196CB3"/>
    <w:rsid w:val="00196D55"/>
    <w:rsid w:val="00196E7A"/>
    <w:rsid w:val="0019730B"/>
    <w:rsid w:val="001974FB"/>
    <w:rsid w:val="001979F8"/>
    <w:rsid w:val="00197ED3"/>
    <w:rsid w:val="001A052E"/>
    <w:rsid w:val="001A05CD"/>
    <w:rsid w:val="001A05EE"/>
    <w:rsid w:val="001A08DF"/>
    <w:rsid w:val="001A10F8"/>
    <w:rsid w:val="001A1161"/>
    <w:rsid w:val="001A1218"/>
    <w:rsid w:val="001A1312"/>
    <w:rsid w:val="001A17DE"/>
    <w:rsid w:val="001A1B08"/>
    <w:rsid w:val="001A214F"/>
    <w:rsid w:val="001A25B1"/>
    <w:rsid w:val="001A28EA"/>
    <w:rsid w:val="001A2929"/>
    <w:rsid w:val="001A29B6"/>
    <w:rsid w:val="001A2BFB"/>
    <w:rsid w:val="001A2CB7"/>
    <w:rsid w:val="001A31F5"/>
    <w:rsid w:val="001A3521"/>
    <w:rsid w:val="001A3599"/>
    <w:rsid w:val="001A3879"/>
    <w:rsid w:val="001A38B4"/>
    <w:rsid w:val="001A3B78"/>
    <w:rsid w:val="001A3BE0"/>
    <w:rsid w:val="001A3D5C"/>
    <w:rsid w:val="001A4942"/>
    <w:rsid w:val="001A4D0D"/>
    <w:rsid w:val="001A4E29"/>
    <w:rsid w:val="001A5051"/>
    <w:rsid w:val="001A507E"/>
    <w:rsid w:val="001A534D"/>
    <w:rsid w:val="001A53C8"/>
    <w:rsid w:val="001A5579"/>
    <w:rsid w:val="001A57B7"/>
    <w:rsid w:val="001A5B1C"/>
    <w:rsid w:val="001A5C48"/>
    <w:rsid w:val="001A5E42"/>
    <w:rsid w:val="001A6065"/>
    <w:rsid w:val="001A6454"/>
    <w:rsid w:val="001A64D1"/>
    <w:rsid w:val="001A66AD"/>
    <w:rsid w:val="001A695E"/>
    <w:rsid w:val="001A6C35"/>
    <w:rsid w:val="001A6DEE"/>
    <w:rsid w:val="001A7095"/>
    <w:rsid w:val="001A71A9"/>
    <w:rsid w:val="001A74E7"/>
    <w:rsid w:val="001A7741"/>
    <w:rsid w:val="001A7804"/>
    <w:rsid w:val="001A7881"/>
    <w:rsid w:val="001A7B55"/>
    <w:rsid w:val="001A7CA5"/>
    <w:rsid w:val="001A7D29"/>
    <w:rsid w:val="001A7F75"/>
    <w:rsid w:val="001B0152"/>
    <w:rsid w:val="001B0323"/>
    <w:rsid w:val="001B0352"/>
    <w:rsid w:val="001B0636"/>
    <w:rsid w:val="001B07AB"/>
    <w:rsid w:val="001B082B"/>
    <w:rsid w:val="001B0BF2"/>
    <w:rsid w:val="001B10EA"/>
    <w:rsid w:val="001B11FA"/>
    <w:rsid w:val="001B1353"/>
    <w:rsid w:val="001B152B"/>
    <w:rsid w:val="001B163D"/>
    <w:rsid w:val="001B1822"/>
    <w:rsid w:val="001B19CD"/>
    <w:rsid w:val="001B1B38"/>
    <w:rsid w:val="001B1F28"/>
    <w:rsid w:val="001B1FC5"/>
    <w:rsid w:val="001B2025"/>
    <w:rsid w:val="001B2155"/>
    <w:rsid w:val="001B21CE"/>
    <w:rsid w:val="001B2222"/>
    <w:rsid w:val="001B228A"/>
    <w:rsid w:val="001B24FB"/>
    <w:rsid w:val="001B25D4"/>
    <w:rsid w:val="001B2942"/>
    <w:rsid w:val="001B2A31"/>
    <w:rsid w:val="001B2B70"/>
    <w:rsid w:val="001B3294"/>
    <w:rsid w:val="001B33A8"/>
    <w:rsid w:val="001B34C1"/>
    <w:rsid w:val="001B357D"/>
    <w:rsid w:val="001B3654"/>
    <w:rsid w:val="001B3A52"/>
    <w:rsid w:val="001B3B8B"/>
    <w:rsid w:val="001B3BBA"/>
    <w:rsid w:val="001B3ED6"/>
    <w:rsid w:val="001B403C"/>
    <w:rsid w:val="001B4662"/>
    <w:rsid w:val="001B470A"/>
    <w:rsid w:val="001B4A81"/>
    <w:rsid w:val="001B4D32"/>
    <w:rsid w:val="001B53C0"/>
    <w:rsid w:val="001B559E"/>
    <w:rsid w:val="001B58A5"/>
    <w:rsid w:val="001B59B9"/>
    <w:rsid w:val="001B60B1"/>
    <w:rsid w:val="001B660F"/>
    <w:rsid w:val="001B689A"/>
    <w:rsid w:val="001B6D1C"/>
    <w:rsid w:val="001B6D3C"/>
    <w:rsid w:val="001B6F0F"/>
    <w:rsid w:val="001B7404"/>
    <w:rsid w:val="001B7A27"/>
    <w:rsid w:val="001B7C18"/>
    <w:rsid w:val="001B7C9F"/>
    <w:rsid w:val="001B7D51"/>
    <w:rsid w:val="001B7FE1"/>
    <w:rsid w:val="001C04EE"/>
    <w:rsid w:val="001C08AB"/>
    <w:rsid w:val="001C097E"/>
    <w:rsid w:val="001C0EFC"/>
    <w:rsid w:val="001C1300"/>
    <w:rsid w:val="001C15A0"/>
    <w:rsid w:val="001C160D"/>
    <w:rsid w:val="001C1B92"/>
    <w:rsid w:val="001C1E75"/>
    <w:rsid w:val="001C1EF5"/>
    <w:rsid w:val="001C2254"/>
    <w:rsid w:val="001C226C"/>
    <w:rsid w:val="001C22B8"/>
    <w:rsid w:val="001C22FA"/>
    <w:rsid w:val="001C2310"/>
    <w:rsid w:val="001C2A8F"/>
    <w:rsid w:val="001C2C6F"/>
    <w:rsid w:val="001C310C"/>
    <w:rsid w:val="001C3449"/>
    <w:rsid w:val="001C35D5"/>
    <w:rsid w:val="001C3639"/>
    <w:rsid w:val="001C38AA"/>
    <w:rsid w:val="001C3920"/>
    <w:rsid w:val="001C3D64"/>
    <w:rsid w:val="001C426E"/>
    <w:rsid w:val="001C44E9"/>
    <w:rsid w:val="001C45E0"/>
    <w:rsid w:val="001C4AB6"/>
    <w:rsid w:val="001C4B6B"/>
    <w:rsid w:val="001C4D98"/>
    <w:rsid w:val="001C50F8"/>
    <w:rsid w:val="001C5218"/>
    <w:rsid w:val="001C5275"/>
    <w:rsid w:val="001C558E"/>
    <w:rsid w:val="001C5914"/>
    <w:rsid w:val="001C5A1C"/>
    <w:rsid w:val="001C5CDB"/>
    <w:rsid w:val="001C5F9D"/>
    <w:rsid w:val="001C6543"/>
    <w:rsid w:val="001C663D"/>
    <w:rsid w:val="001C6B71"/>
    <w:rsid w:val="001C6BD8"/>
    <w:rsid w:val="001C6D26"/>
    <w:rsid w:val="001C6DD7"/>
    <w:rsid w:val="001C71AA"/>
    <w:rsid w:val="001C72B3"/>
    <w:rsid w:val="001C735F"/>
    <w:rsid w:val="001C7525"/>
    <w:rsid w:val="001C7870"/>
    <w:rsid w:val="001D01C6"/>
    <w:rsid w:val="001D0252"/>
    <w:rsid w:val="001D034E"/>
    <w:rsid w:val="001D0473"/>
    <w:rsid w:val="001D06DE"/>
    <w:rsid w:val="001D1270"/>
    <w:rsid w:val="001D1521"/>
    <w:rsid w:val="001D18CB"/>
    <w:rsid w:val="001D191A"/>
    <w:rsid w:val="001D19C7"/>
    <w:rsid w:val="001D1A8D"/>
    <w:rsid w:val="001D1B1E"/>
    <w:rsid w:val="001D2DAE"/>
    <w:rsid w:val="001D2EE0"/>
    <w:rsid w:val="001D2F7A"/>
    <w:rsid w:val="001D30AA"/>
    <w:rsid w:val="001D3216"/>
    <w:rsid w:val="001D3C16"/>
    <w:rsid w:val="001D3DC7"/>
    <w:rsid w:val="001D4511"/>
    <w:rsid w:val="001D487A"/>
    <w:rsid w:val="001D49E1"/>
    <w:rsid w:val="001D592B"/>
    <w:rsid w:val="001D6046"/>
    <w:rsid w:val="001D68D6"/>
    <w:rsid w:val="001D6967"/>
    <w:rsid w:val="001D6C3D"/>
    <w:rsid w:val="001D6D95"/>
    <w:rsid w:val="001D6E2C"/>
    <w:rsid w:val="001D756A"/>
    <w:rsid w:val="001D7A51"/>
    <w:rsid w:val="001D7A86"/>
    <w:rsid w:val="001D7C6D"/>
    <w:rsid w:val="001D7E01"/>
    <w:rsid w:val="001E0453"/>
    <w:rsid w:val="001E08EF"/>
    <w:rsid w:val="001E0F3F"/>
    <w:rsid w:val="001E1059"/>
    <w:rsid w:val="001E1236"/>
    <w:rsid w:val="001E1361"/>
    <w:rsid w:val="001E13EA"/>
    <w:rsid w:val="001E160E"/>
    <w:rsid w:val="001E1639"/>
    <w:rsid w:val="001E16E9"/>
    <w:rsid w:val="001E18FA"/>
    <w:rsid w:val="001E194A"/>
    <w:rsid w:val="001E2180"/>
    <w:rsid w:val="001E21EC"/>
    <w:rsid w:val="001E252E"/>
    <w:rsid w:val="001E2589"/>
    <w:rsid w:val="001E26CE"/>
    <w:rsid w:val="001E27E8"/>
    <w:rsid w:val="001E288D"/>
    <w:rsid w:val="001E2D42"/>
    <w:rsid w:val="001E2E56"/>
    <w:rsid w:val="001E2F40"/>
    <w:rsid w:val="001E379B"/>
    <w:rsid w:val="001E38C8"/>
    <w:rsid w:val="001E3BDB"/>
    <w:rsid w:val="001E3F0A"/>
    <w:rsid w:val="001E4131"/>
    <w:rsid w:val="001E41DC"/>
    <w:rsid w:val="001E4439"/>
    <w:rsid w:val="001E44F1"/>
    <w:rsid w:val="001E498C"/>
    <w:rsid w:val="001E49A1"/>
    <w:rsid w:val="001E4BCF"/>
    <w:rsid w:val="001E4E2A"/>
    <w:rsid w:val="001E4E52"/>
    <w:rsid w:val="001E4E83"/>
    <w:rsid w:val="001E4F22"/>
    <w:rsid w:val="001E52C2"/>
    <w:rsid w:val="001E54C1"/>
    <w:rsid w:val="001E563D"/>
    <w:rsid w:val="001E5C3C"/>
    <w:rsid w:val="001E65C7"/>
    <w:rsid w:val="001E66A9"/>
    <w:rsid w:val="001E6A76"/>
    <w:rsid w:val="001E6AE4"/>
    <w:rsid w:val="001E6D71"/>
    <w:rsid w:val="001E7401"/>
    <w:rsid w:val="001E7B02"/>
    <w:rsid w:val="001E7C0E"/>
    <w:rsid w:val="001E7CC0"/>
    <w:rsid w:val="001E7D9F"/>
    <w:rsid w:val="001E7F2B"/>
    <w:rsid w:val="001F00C5"/>
    <w:rsid w:val="001F0399"/>
    <w:rsid w:val="001F04F3"/>
    <w:rsid w:val="001F072F"/>
    <w:rsid w:val="001F0A7F"/>
    <w:rsid w:val="001F0C57"/>
    <w:rsid w:val="001F0CC5"/>
    <w:rsid w:val="001F0EAA"/>
    <w:rsid w:val="001F1152"/>
    <w:rsid w:val="001F177C"/>
    <w:rsid w:val="001F18D5"/>
    <w:rsid w:val="001F18F7"/>
    <w:rsid w:val="001F19A2"/>
    <w:rsid w:val="001F1DC4"/>
    <w:rsid w:val="001F1FB4"/>
    <w:rsid w:val="001F2442"/>
    <w:rsid w:val="001F25E3"/>
    <w:rsid w:val="001F297A"/>
    <w:rsid w:val="001F29E1"/>
    <w:rsid w:val="001F2B2A"/>
    <w:rsid w:val="001F2FD9"/>
    <w:rsid w:val="001F3200"/>
    <w:rsid w:val="001F342D"/>
    <w:rsid w:val="001F3629"/>
    <w:rsid w:val="001F36A1"/>
    <w:rsid w:val="001F3AF3"/>
    <w:rsid w:val="001F3EC6"/>
    <w:rsid w:val="001F3FAA"/>
    <w:rsid w:val="001F41A6"/>
    <w:rsid w:val="001F43DD"/>
    <w:rsid w:val="001F449C"/>
    <w:rsid w:val="001F45D6"/>
    <w:rsid w:val="001F4640"/>
    <w:rsid w:val="001F4F6F"/>
    <w:rsid w:val="001F5047"/>
    <w:rsid w:val="001F51E8"/>
    <w:rsid w:val="001F5C14"/>
    <w:rsid w:val="001F5F15"/>
    <w:rsid w:val="001F63C9"/>
    <w:rsid w:val="001F6647"/>
    <w:rsid w:val="001F668B"/>
    <w:rsid w:val="001F69E9"/>
    <w:rsid w:val="001F69F9"/>
    <w:rsid w:val="001F6A75"/>
    <w:rsid w:val="001F6DEF"/>
    <w:rsid w:val="001F7377"/>
    <w:rsid w:val="001F7693"/>
    <w:rsid w:val="001F7D3B"/>
    <w:rsid w:val="002004BC"/>
    <w:rsid w:val="00200AC8"/>
    <w:rsid w:val="00200C27"/>
    <w:rsid w:val="002019F1"/>
    <w:rsid w:val="00201D89"/>
    <w:rsid w:val="0020211B"/>
    <w:rsid w:val="0020219D"/>
    <w:rsid w:val="0020236B"/>
    <w:rsid w:val="002025A5"/>
    <w:rsid w:val="00202C88"/>
    <w:rsid w:val="00202DD4"/>
    <w:rsid w:val="00202F78"/>
    <w:rsid w:val="002032A6"/>
    <w:rsid w:val="002033D9"/>
    <w:rsid w:val="002035F0"/>
    <w:rsid w:val="00203659"/>
    <w:rsid w:val="002038C3"/>
    <w:rsid w:val="0020390B"/>
    <w:rsid w:val="00203F20"/>
    <w:rsid w:val="00204118"/>
    <w:rsid w:val="00204286"/>
    <w:rsid w:val="002043D1"/>
    <w:rsid w:val="002049C6"/>
    <w:rsid w:val="00204A52"/>
    <w:rsid w:val="00204B6F"/>
    <w:rsid w:val="002050EA"/>
    <w:rsid w:val="00205641"/>
    <w:rsid w:val="00205A65"/>
    <w:rsid w:val="00205BA7"/>
    <w:rsid w:val="002062D3"/>
    <w:rsid w:val="00206331"/>
    <w:rsid w:val="00206F33"/>
    <w:rsid w:val="002077E7"/>
    <w:rsid w:val="00207DDC"/>
    <w:rsid w:val="002104D7"/>
    <w:rsid w:val="00210509"/>
    <w:rsid w:val="002105EF"/>
    <w:rsid w:val="00210856"/>
    <w:rsid w:val="00211065"/>
    <w:rsid w:val="00211336"/>
    <w:rsid w:val="00211418"/>
    <w:rsid w:val="002119B3"/>
    <w:rsid w:val="00211A60"/>
    <w:rsid w:val="002121E0"/>
    <w:rsid w:val="0021243A"/>
    <w:rsid w:val="0021244A"/>
    <w:rsid w:val="002129FB"/>
    <w:rsid w:val="00212A5A"/>
    <w:rsid w:val="00213066"/>
    <w:rsid w:val="00213482"/>
    <w:rsid w:val="002136D5"/>
    <w:rsid w:val="00213D14"/>
    <w:rsid w:val="00213E38"/>
    <w:rsid w:val="00213E65"/>
    <w:rsid w:val="0021416B"/>
    <w:rsid w:val="00214224"/>
    <w:rsid w:val="002142A2"/>
    <w:rsid w:val="002142A4"/>
    <w:rsid w:val="002143A1"/>
    <w:rsid w:val="002144DB"/>
    <w:rsid w:val="00214706"/>
    <w:rsid w:val="00214841"/>
    <w:rsid w:val="00214922"/>
    <w:rsid w:val="002149A1"/>
    <w:rsid w:val="00215116"/>
    <w:rsid w:val="0021581C"/>
    <w:rsid w:val="0021596F"/>
    <w:rsid w:val="00215A39"/>
    <w:rsid w:val="00215ED6"/>
    <w:rsid w:val="00216565"/>
    <w:rsid w:val="00216621"/>
    <w:rsid w:val="002169C1"/>
    <w:rsid w:val="00216C2A"/>
    <w:rsid w:val="00217062"/>
    <w:rsid w:val="0021726E"/>
    <w:rsid w:val="00217364"/>
    <w:rsid w:val="002173CD"/>
    <w:rsid w:val="002173D9"/>
    <w:rsid w:val="00217424"/>
    <w:rsid w:val="002174D8"/>
    <w:rsid w:val="00217508"/>
    <w:rsid w:val="0021767A"/>
    <w:rsid w:val="002177B6"/>
    <w:rsid w:val="002179D7"/>
    <w:rsid w:val="002179DA"/>
    <w:rsid w:val="00217AB4"/>
    <w:rsid w:val="002201CF"/>
    <w:rsid w:val="002206CB"/>
    <w:rsid w:val="00220A5C"/>
    <w:rsid w:val="00220B57"/>
    <w:rsid w:val="00220B9E"/>
    <w:rsid w:val="00221484"/>
    <w:rsid w:val="002217AC"/>
    <w:rsid w:val="00221AE4"/>
    <w:rsid w:val="00221F3B"/>
    <w:rsid w:val="00221F48"/>
    <w:rsid w:val="00222468"/>
    <w:rsid w:val="002226F2"/>
    <w:rsid w:val="00222B2D"/>
    <w:rsid w:val="00222BD5"/>
    <w:rsid w:val="00222C28"/>
    <w:rsid w:val="00222D44"/>
    <w:rsid w:val="00222D58"/>
    <w:rsid w:val="00222E3D"/>
    <w:rsid w:val="00222F4A"/>
    <w:rsid w:val="0022319D"/>
    <w:rsid w:val="002234D5"/>
    <w:rsid w:val="00223803"/>
    <w:rsid w:val="00223FBD"/>
    <w:rsid w:val="0022406F"/>
    <w:rsid w:val="00224B7A"/>
    <w:rsid w:val="00224BA7"/>
    <w:rsid w:val="00224C3A"/>
    <w:rsid w:val="00224CE4"/>
    <w:rsid w:val="00224CE8"/>
    <w:rsid w:val="00224DD3"/>
    <w:rsid w:val="00224E22"/>
    <w:rsid w:val="00224E65"/>
    <w:rsid w:val="00224E7B"/>
    <w:rsid w:val="00225312"/>
    <w:rsid w:val="002256E3"/>
    <w:rsid w:val="0022571F"/>
    <w:rsid w:val="0022579C"/>
    <w:rsid w:val="00225994"/>
    <w:rsid w:val="002259E0"/>
    <w:rsid w:val="002260EA"/>
    <w:rsid w:val="00226591"/>
    <w:rsid w:val="00226891"/>
    <w:rsid w:val="00226B80"/>
    <w:rsid w:val="00226EB3"/>
    <w:rsid w:val="00226F98"/>
    <w:rsid w:val="002271CB"/>
    <w:rsid w:val="0022773C"/>
    <w:rsid w:val="00227828"/>
    <w:rsid w:val="00227A10"/>
    <w:rsid w:val="00227B25"/>
    <w:rsid w:val="00227E11"/>
    <w:rsid w:val="00227F76"/>
    <w:rsid w:val="002302F3"/>
    <w:rsid w:val="002307AA"/>
    <w:rsid w:val="002307AE"/>
    <w:rsid w:val="00230D1F"/>
    <w:rsid w:val="00230F75"/>
    <w:rsid w:val="00231083"/>
    <w:rsid w:val="0023114C"/>
    <w:rsid w:val="002319B0"/>
    <w:rsid w:val="00231B1F"/>
    <w:rsid w:val="00231CD5"/>
    <w:rsid w:val="00231D51"/>
    <w:rsid w:val="0023212C"/>
    <w:rsid w:val="002322C5"/>
    <w:rsid w:val="00232651"/>
    <w:rsid w:val="002326BF"/>
    <w:rsid w:val="00232E56"/>
    <w:rsid w:val="002333B1"/>
    <w:rsid w:val="002338BB"/>
    <w:rsid w:val="00233964"/>
    <w:rsid w:val="00233A4E"/>
    <w:rsid w:val="00233DA5"/>
    <w:rsid w:val="00233E09"/>
    <w:rsid w:val="00233EC5"/>
    <w:rsid w:val="00233EE9"/>
    <w:rsid w:val="002340EF"/>
    <w:rsid w:val="0023459A"/>
    <w:rsid w:val="002346EB"/>
    <w:rsid w:val="00234A05"/>
    <w:rsid w:val="00234C23"/>
    <w:rsid w:val="00235177"/>
    <w:rsid w:val="002352A3"/>
    <w:rsid w:val="00235CCF"/>
    <w:rsid w:val="00236670"/>
    <w:rsid w:val="00236689"/>
    <w:rsid w:val="002368A4"/>
    <w:rsid w:val="00236B1F"/>
    <w:rsid w:val="00236BE7"/>
    <w:rsid w:val="00236E7C"/>
    <w:rsid w:val="002371E8"/>
    <w:rsid w:val="00237591"/>
    <w:rsid w:val="0023765D"/>
    <w:rsid w:val="002377D6"/>
    <w:rsid w:val="00237B7D"/>
    <w:rsid w:val="00237EDA"/>
    <w:rsid w:val="002405F2"/>
    <w:rsid w:val="002405F7"/>
    <w:rsid w:val="002407AC"/>
    <w:rsid w:val="00240A77"/>
    <w:rsid w:val="00240D89"/>
    <w:rsid w:val="00240EC8"/>
    <w:rsid w:val="0024103A"/>
    <w:rsid w:val="0024133E"/>
    <w:rsid w:val="00241512"/>
    <w:rsid w:val="002418DF"/>
    <w:rsid w:val="002418E4"/>
    <w:rsid w:val="00241B66"/>
    <w:rsid w:val="00241C49"/>
    <w:rsid w:val="00241D7C"/>
    <w:rsid w:val="00241FDE"/>
    <w:rsid w:val="00242048"/>
    <w:rsid w:val="00242194"/>
    <w:rsid w:val="00242278"/>
    <w:rsid w:val="002422A4"/>
    <w:rsid w:val="00242BEF"/>
    <w:rsid w:val="00242CE0"/>
    <w:rsid w:val="00243029"/>
    <w:rsid w:val="002431D7"/>
    <w:rsid w:val="002434D5"/>
    <w:rsid w:val="002435FB"/>
    <w:rsid w:val="0024380A"/>
    <w:rsid w:val="00243938"/>
    <w:rsid w:val="00243BB8"/>
    <w:rsid w:val="00243BD0"/>
    <w:rsid w:val="00243E33"/>
    <w:rsid w:val="0024448E"/>
    <w:rsid w:val="002446B5"/>
    <w:rsid w:val="00244A1F"/>
    <w:rsid w:val="00244A8E"/>
    <w:rsid w:val="00244AF9"/>
    <w:rsid w:val="00244B9C"/>
    <w:rsid w:val="00244D3F"/>
    <w:rsid w:val="00245126"/>
    <w:rsid w:val="0024514D"/>
    <w:rsid w:val="00245509"/>
    <w:rsid w:val="002456DB"/>
    <w:rsid w:val="00245926"/>
    <w:rsid w:val="00245951"/>
    <w:rsid w:val="0024640F"/>
    <w:rsid w:val="002468A5"/>
    <w:rsid w:val="00246A61"/>
    <w:rsid w:val="00246C8E"/>
    <w:rsid w:val="00247017"/>
    <w:rsid w:val="00247099"/>
    <w:rsid w:val="00247142"/>
    <w:rsid w:val="0024761F"/>
    <w:rsid w:val="00247CAD"/>
    <w:rsid w:val="00247FC9"/>
    <w:rsid w:val="00250022"/>
    <w:rsid w:val="0025004B"/>
    <w:rsid w:val="002503FB"/>
    <w:rsid w:val="00250471"/>
    <w:rsid w:val="002504BD"/>
    <w:rsid w:val="002504DA"/>
    <w:rsid w:val="0025066E"/>
    <w:rsid w:val="00250859"/>
    <w:rsid w:val="00250899"/>
    <w:rsid w:val="00250A17"/>
    <w:rsid w:val="002511B4"/>
    <w:rsid w:val="002513A2"/>
    <w:rsid w:val="00251769"/>
    <w:rsid w:val="002518CF"/>
    <w:rsid w:val="00251BE1"/>
    <w:rsid w:val="00251E22"/>
    <w:rsid w:val="00251E47"/>
    <w:rsid w:val="00251F61"/>
    <w:rsid w:val="00251F67"/>
    <w:rsid w:val="00252043"/>
    <w:rsid w:val="0025205C"/>
    <w:rsid w:val="002521C8"/>
    <w:rsid w:val="002524B0"/>
    <w:rsid w:val="00252578"/>
    <w:rsid w:val="0025271B"/>
    <w:rsid w:val="00252980"/>
    <w:rsid w:val="00252BF2"/>
    <w:rsid w:val="00252EB3"/>
    <w:rsid w:val="00252EC4"/>
    <w:rsid w:val="002536C0"/>
    <w:rsid w:val="00253AC7"/>
    <w:rsid w:val="00253B54"/>
    <w:rsid w:val="00253DB4"/>
    <w:rsid w:val="00253E41"/>
    <w:rsid w:val="00253F08"/>
    <w:rsid w:val="0025469A"/>
    <w:rsid w:val="00254C49"/>
    <w:rsid w:val="00254F7F"/>
    <w:rsid w:val="00255261"/>
    <w:rsid w:val="002553BF"/>
    <w:rsid w:val="00255986"/>
    <w:rsid w:val="002560A1"/>
    <w:rsid w:val="002562B1"/>
    <w:rsid w:val="00256617"/>
    <w:rsid w:val="0025719E"/>
    <w:rsid w:val="002572B2"/>
    <w:rsid w:val="00257341"/>
    <w:rsid w:val="00257513"/>
    <w:rsid w:val="0025798F"/>
    <w:rsid w:val="00257AE6"/>
    <w:rsid w:val="00257C74"/>
    <w:rsid w:val="00257E77"/>
    <w:rsid w:val="0026037E"/>
    <w:rsid w:val="002603AF"/>
    <w:rsid w:val="002604EF"/>
    <w:rsid w:val="0026090B"/>
    <w:rsid w:val="00260B6D"/>
    <w:rsid w:val="00260E4F"/>
    <w:rsid w:val="0026140A"/>
    <w:rsid w:val="00261464"/>
    <w:rsid w:val="002616EB"/>
    <w:rsid w:val="002618F4"/>
    <w:rsid w:val="0026192B"/>
    <w:rsid w:val="00262336"/>
    <w:rsid w:val="0026247F"/>
    <w:rsid w:val="00263022"/>
    <w:rsid w:val="0026318C"/>
    <w:rsid w:val="00263401"/>
    <w:rsid w:val="00263404"/>
    <w:rsid w:val="00263607"/>
    <w:rsid w:val="0026387A"/>
    <w:rsid w:val="00263B50"/>
    <w:rsid w:val="00263BBC"/>
    <w:rsid w:val="00263D8F"/>
    <w:rsid w:val="00263FAA"/>
    <w:rsid w:val="00264037"/>
    <w:rsid w:val="00264315"/>
    <w:rsid w:val="002649E7"/>
    <w:rsid w:val="00264B42"/>
    <w:rsid w:val="002650DB"/>
    <w:rsid w:val="00265428"/>
    <w:rsid w:val="00265C1C"/>
    <w:rsid w:val="00265CC6"/>
    <w:rsid w:val="0026639B"/>
    <w:rsid w:val="0026642C"/>
    <w:rsid w:val="00266816"/>
    <w:rsid w:val="0026688D"/>
    <w:rsid w:val="00266A2A"/>
    <w:rsid w:val="00266AE0"/>
    <w:rsid w:val="00266AF9"/>
    <w:rsid w:val="00267212"/>
    <w:rsid w:val="002672CD"/>
    <w:rsid w:val="00267644"/>
    <w:rsid w:val="00267AA2"/>
    <w:rsid w:val="002702D0"/>
    <w:rsid w:val="00270390"/>
    <w:rsid w:val="00270502"/>
    <w:rsid w:val="0027077A"/>
    <w:rsid w:val="002714AB"/>
    <w:rsid w:val="00271738"/>
    <w:rsid w:val="002717A5"/>
    <w:rsid w:val="00271807"/>
    <w:rsid w:val="0027189C"/>
    <w:rsid w:val="002718D8"/>
    <w:rsid w:val="002719ED"/>
    <w:rsid w:val="00271A3F"/>
    <w:rsid w:val="00271A86"/>
    <w:rsid w:val="00271C76"/>
    <w:rsid w:val="002723DE"/>
    <w:rsid w:val="00272714"/>
    <w:rsid w:val="00272889"/>
    <w:rsid w:val="00272A94"/>
    <w:rsid w:val="00272E87"/>
    <w:rsid w:val="00272F44"/>
    <w:rsid w:val="002731B2"/>
    <w:rsid w:val="002731E5"/>
    <w:rsid w:val="002731F6"/>
    <w:rsid w:val="00273610"/>
    <w:rsid w:val="0027398B"/>
    <w:rsid w:val="00273B45"/>
    <w:rsid w:val="00273CB1"/>
    <w:rsid w:val="00273CE1"/>
    <w:rsid w:val="002740D3"/>
    <w:rsid w:val="00274448"/>
    <w:rsid w:val="00274509"/>
    <w:rsid w:val="002745B7"/>
    <w:rsid w:val="00274672"/>
    <w:rsid w:val="00274914"/>
    <w:rsid w:val="002753EF"/>
    <w:rsid w:val="0027564A"/>
    <w:rsid w:val="00275683"/>
    <w:rsid w:val="00275B69"/>
    <w:rsid w:val="00275F10"/>
    <w:rsid w:val="00275FA2"/>
    <w:rsid w:val="00275FFD"/>
    <w:rsid w:val="00276646"/>
    <w:rsid w:val="00276F2D"/>
    <w:rsid w:val="002770BF"/>
    <w:rsid w:val="0027720F"/>
    <w:rsid w:val="002774FA"/>
    <w:rsid w:val="00277874"/>
    <w:rsid w:val="002778DD"/>
    <w:rsid w:val="00277D8B"/>
    <w:rsid w:val="0028003C"/>
    <w:rsid w:val="002804FA"/>
    <w:rsid w:val="00280777"/>
    <w:rsid w:val="002809A1"/>
    <w:rsid w:val="00281157"/>
    <w:rsid w:val="002811E2"/>
    <w:rsid w:val="0028125A"/>
    <w:rsid w:val="002814F4"/>
    <w:rsid w:val="00282321"/>
    <w:rsid w:val="002824CE"/>
    <w:rsid w:val="002827B4"/>
    <w:rsid w:val="00282B9C"/>
    <w:rsid w:val="00282E0C"/>
    <w:rsid w:val="00282E9A"/>
    <w:rsid w:val="00283211"/>
    <w:rsid w:val="002834A4"/>
    <w:rsid w:val="00283CEA"/>
    <w:rsid w:val="00283DD6"/>
    <w:rsid w:val="00284023"/>
    <w:rsid w:val="0028404E"/>
    <w:rsid w:val="0028425C"/>
    <w:rsid w:val="002843A6"/>
    <w:rsid w:val="0028487F"/>
    <w:rsid w:val="002848D5"/>
    <w:rsid w:val="00284920"/>
    <w:rsid w:val="00284B48"/>
    <w:rsid w:val="00284D5D"/>
    <w:rsid w:val="00285178"/>
    <w:rsid w:val="002853C4"/>
    <w:rsid w:val="0028580D"/>
    <w:rsid w:val="00285B1E"/>
    <w:rsid w:val="00285B83"/>
    <w:rsid w:val="00285D01"/>
    <w:rsid w:val="00285DAF"/>
    <w:rsid w:val="00286826"/>
    <w:rsid w:val="00286CF7"/>
    <w:rsid w:val="002874B8"/>
    <w:rsid w:val="0028757E"/>
    <w:rsid w:val="00287603"/>
    <w:rsid w:val="00287D46"/>
    <w:rsid w:val="00287ED2"/>
    <w:rsid w:val="00287ED4"/>
    <w:rsid w:val="00287F1D"/>
    <w:rsid w:val="002904D6"/>
    <w:rsid w:val="00290E87"/>
    <w:rsid w:val="002911AB"/>
    <w:rsid w:val="00291C85"/>
    <w:rsid w:val="00291EF9"/>
    <w:rsid w:val="002920DA"/>
    <w:rsid w:val="00292543"/>
    <w:rsid w:val="002927F1"/>
    <w:rsid w:val="002927FC"/>
    <w:rsid w:val="00292A0F"/>
    <w:rsid w:val="00292C6D"/>
    <w:rsid w:val="00292CEC"/>
    <w:rsid w:val="0029304B"/>
    <w:rsid w:val="00293277"/>
    <w:rsid w:val="002932B5"/>
    <w:rsid w:val="00293340"/>
    <w:rsid w:val="0029340E"/>
    <w:rsid w:val="00293894"/>
    <w:rsid w:val="0029389B"/>
    <w:rsid w:val="00293A93"/>
    <w:rsid w:val="00293D86"/>
    <w:rsid w:val="00293DC4"/>
    <w:rsid w:val="00293F57"/>
    <w:rsid w:val="002940C8"/>
    <w:rsid w:val="002945F1"/>
    <w:rsid w:val="002949A0"/>
    <w:rsid w:val="00294E5C"/>
    <w:rsid w:val="00295367"/>
    <w:rsid w:val="0029539A"/>
    <w:rsid w:val="002953EA"/>
    <w:rsid w:val="002954F5"/>
    <w:rsid w:val="0029574E"/>
    <w:rsid w:val="00295B65"/>
    <w:rsid w:val="00295DCB"/>
    <w:rsid w:val="002960E6"/>
    <w:rsid w:val="002963DC"/>
    <w:rsid w:val="00296D49"/>
    <w:rsid w:val="00297096"/>
    <w:rsid w:val="002972AD"/>
    <w:rsid w:val="0029766C"/>
    <w:rsid w:val="00297947"/>
    <w:rsid w:val="00297BD9"/>
    <w:rsid w:val="00297C1A"/>
    <w:rsid w:val="002A0016"/>
    <w:rsid w:val="002A0447"/>
    <w:rsid w:val="002A08EF"/>
    <w:rsid w:val="002A09D1"/>
    <w:rsid w:val="002A0BDD"/>
    <w:rsid w:val="002A0C68"/>
    <w:rsid w:val="002A11A7"/>
    <w:rsid w:val="002A1651"/>
    <w:rsid w:val="002A1EB2"/>
    <w:rsid w:val="002A1FC7"/>
    <w:rsid w:val="002A20A9"/>
    <w:rsid w:val="002A20F1"/>
    <w:rsid w:val="002A2354"/>
    <w:rsid w:val="002A27FC"/>
    <w:rsid w:val="002A297F"/>
    <w:rsid w:val="002A2D1F"/>
    <w:rsid w:val="002A2F88"/>
    <w:rsid w:val="002A3722"/>
    <w:rsid w:val="002A38A3"/>
    <w:rsid w:val="002A38BF"/>
    <w:rsid w:val="002A3907"/>
    <w:rsid w:val="002A3CD2"/>
    <w:rsid w:val="002A4028"/>
    <w:rsid w:val="002A4675"/>
    <w:rsid w:val="002A4998"/>
    <w:rsid w:val="002A49AE"/>
    <w:rsid w:val="002A4AEC"/>
    <w:rsid w:val="002A4D13"/>
    <w:rsid w:val="002A5102"/>
    <w:rsid w:val="002A55BB"/>
    <w:rsid w:val="002A56D2"/>
    <w:rsid w:val="002A59E4"/>
    <w:rsid w:val="002A5B66"/>
    <w:rsid w:val="002A5BD9"/>
    <w:rsid w:val="002A5C02"/>
    <w:rsid w:val="002A5E0B"/>
    <w:rsid w:val="002A5E41"/>
    <w:rsid w:val="002A5E4C"/>
    <w:rsid w:val="002A60B0"/>
    <w:rsid w:val="002A6176"/>
    <w:rsid w:val="002A621E"/>
    <w:rsid w:val="002A6987"/>
    <w:rsid w:val="002A6996"/>
    <w:rsid w:val="002A6C10"/>
    <w:rsid w:val="002A6C78"/>
    <w:rsid w:val="002A7048"/>
    <w:rsid w:val="002A75D0"/>
    <w:rsid w:val="002A78C3"/>
    <w:rsid w:val="002A7CA3"/>
    <w:rsid w:val="002B026A"/>
    <w:rsid w:val="002B05E6"/>
    <w:rsid w:val="002B06A1"/>
    <w:rsid w:val="002B096D"/>
    <w:rsid w:val="002B09F4"/>
    <w:rsid w:val="002B0B41"/>
    <w:rsid w:val="002B0C22"/>
    <w:rsid w:val="002B0FA0"/>
    <w:rsid w:val="002B1075"/>
    <w:rsid w:val="002B10DC"/>
    <w:rsid w:val="002B16FD"/>
    <w:rsid w:val="002B1AC6"/>
    <w:rsid w:val="002B1B6E"/>
    <w:rsid w:val="002B1E2B"/>
    <w:rsid w:val="002B1F03"/>
    <w:rsid w:val="002B21B5"/>
    <w:rsid w:val="002B23FC"/>
    <w:rsid w:val="002B243A"/>
    <w:rsid w:val="002B266F"/>
    <w:rsid w:val="002B2ED9"/>
    <w:rsid w:val="002B3AD3"/>
    <w:rsid w:val="002B3D10"/>
    <w:rsid w:val="002B3D5D"/>
    <w:rsid w:val="002B3E29"/>
    <w:rsid w:val="002B3EC6"/>
    <w:rsid w:val="002B3EEF"/>
    <w:rsid w:val="002B3F2D"/>
    <w:rsid w:val="002B3FE7"/>
    <w:rsid w:val="002B4050"/>
    <w:rsid w:val="002B4AB3"/>
    <w:rsid w:val="002B4C95"/>
    <w:rsid w:val="002B4ED7"/>
    <w:rsid w:val="002B56B5"/>
    <w:rsid w:val="002B59F9"/>
    <w:rsid w:val="002B5A75"/>
    <w:rsid w:val="002B5AD8"/>
    <w:rsid w:val="002B5F5E"/>
    <w:rsid w:val="002B6107"/>
    <w:rsid w:val="002B62EF"/>
    <w:rsid w:val="002B6395"/>
    <w:rsid w:val="002B6495"/>
    <w:rsid w:val="002B675F"/>
    <w:rsid w:val="002B6E6A"/>
    <w:rsid w:val="002B6EE6"/>
    <w:rsid w:val="002B70B6"/>
    <w:rsid w:val="002B70E0"/>
    <w:rsid w:val="002B7167"/>
    <w:rsid w:val="002B721E"/>
    <w:rsid w:val="002B75B1"/>
    <w:rsid w:val="002B76E7"/>
    <w:rsid w:val="002B7761"/>
    <w:rsid w:val="002B7826"/>
    <w:rsid w:val="002B7B00"/>
    <w:rsid w:val="002B7B95"/>
    <w:rsid w:val="002B7BCF"/>
    <w:rsid w:val="002B7F2F"/>
    <w:rsid w:val="002C0069"/>
    <w:rsid w:val="002C0600"/>
    <w:rsid w:val="002C07A1"/>
    <w:rsid w:val="002C0A56"/>
    <w:rsid w:val="002C0AB7"/>
    <w:rsid w:val="002C0D5E"/>
    <w:rsid w:val="002C0FFC"/>
    <w:rsid w:val="002C17D8"/>
    <w:rsid w:val="002C1A68"/>
    <w:rsid w:val="002C1BDB"/>
    <w:rsid w:val="002C1CAF"/>
    <w:rsid w:val="002C2043"/>
    <w:rsid w:val="002C21A0"/>
    <w:rsid w:val="002C25E9"/>
    <w:rsid w:val="002C2675"/>
    <w:rsid w:val="002C28E8"/>
    <w:rsid w:val="002C333D"/>
    <w:rsid w:val="002C366A"/>
    <w:rsid w:val="002C3780"/>
    <w:rsid w:val="002C398C"/>
    <w:rsid w:val="002C3ED1"/>
    <w:rsid w:val="002C4521"/>
    <w:rsid w:val="002C4667"/>
    <w:rsid w:val="002C4AAB"/>
    <w:rsid w:val="002C4AB0"/>
    <w:rsid w:val="002C4B25"/>
    <w:rsid w:val="002C4FE7"/>
    <w:rsid w:val="002C50D7"/>
    <w:rsid w:val="002C519D"/>
    <w:rsid w:val="002C51E0"/>
    <w:rsid w:val="002C57B4"/>
    <w:rsid w:val="002C5991"/>
    <w:rsid w:val="002C5AFA"/>
    <w:rsid w:val="002C6266"/>
    <w:rsid w:val="002C6557"/>
    <w:rsid w:val="002C67A6"/>
    <w:rsid w:val="002C685D"/>
    <w:rsid w:val="002C6A5B"/>
    <w:rsid w:val="002C6C8F"/>
    <w:rsid w:val="002C73B8"/>
    <w:rsid w:val="002C7476"/>
    <w:rsid w:val="002C7CA3"/>
    <w:rsid w:val="002C7DD3"/>
    <w:rsid w:val="002D0992"/>
    <w:rsid w:val="002D09FA"/>
    <w:rsid w:val="002D0A01"/>
    <w:rsid w:val="002D0E17"/>
    <w:rsid w:val="002D103C"/>
    <w:rsid w:val="002D141C"/>
    <w:rsid w:val="002D1570"/>
    <w:rsid w:val="002D1883"/>
    <w:rsid w:val="002D1900"/>
    <w:rsid w:val="002D1BF7"/>
    <w:rsid w:val="002D1C55"/>
    <w:rsid w:val="002D1E44"/>
    <w:rsid w:val="002D200E"/>
    <w:rsid w:val="002D2729"/>
    <w:rsid w:val="002D2763"/>
    <w:rsid w:val="002D29DD"/>
    <w:rsid w:val="002D2B2F"/>
    <w:rsid w:val="002D3006"/>
    <w:rsid w:val="002D31E3"/>
    <w:rsid w:val="002D3559"/>
    <w:rsid w:val="002D3564"/>
    <w:rsid w:val="002D3B59"/>
    <w:rsid w:val="002D3B5D"/>
    <w:rsid w:val="002D3EAE"/>
    <w:rsid w:val="002D40D2"/>
    <w:rsid w:val="002D4253"/>
    <w:rsid w:val="002D439D"/>
    <w:rsid w:val="002D478B"/>
    <w:rsid w:val="002D47A3"/>
    <w:rsid w:val="002D4813"/>
    <w:rsid w:val="002D4836"/>
    <w:rsid w:val="002D497B"/>
    <w:rsid w:val="002D4B92"/>
    <w:rsid w:val="002D5001"/>
    <w:rsid w:val="002D51CA"/>
    <w:rsid w:val="002D549F"/>
    <w:rsid w:val="002D5B56"/>
    <w:rsid w:val="002D5BCC"/>
    <w:rsid w:val="002D638F"/>
    <w:rsid w:val="002D6821"/>
    <w:rsid w:val="002D6BF4"/>
    <w:rsid w:val="002D6D57"/>
    <w:rsid w:val="002D6E4D"/>
    <w:rsid w:val="002D70D3"/>
    <w:rsid w:val="002D74B5"/>
    <w:rsid w:val="002D75D7"/>
    <w:rsid w:val="002D7A13"/>
    <w:rsid w:val="002E00AF"/>
    <w:rsid w:val="002E00B9"/>
    <w:rsid w:val="002E0677"/>
    <w:rsid w:val="002E07BC"/>
    <w:rsid w:val="002E08C7"/>
    <w:rsid w:val="002E0B24"/>
    <w:rsid w:val="002E0B44"/>
    <w:rsid w:val="002E0B94"/>
    <w:rsid w:val="002E0F93"/>
    <w:rsid w:val="002E108B"/>
    <w:rsid w:val="002E1381"/>
    <w:rsid w:val="002E1557"/>
    <w:rsid w:val="002E1A91"/>
    <w:rsid w:val="002E1BC7"/>
    <w:rsid w:val="002E1C50"/>
    <w:rsid w:val="002E1C8A"/>
    <w:rsid w:val="002E1D25"/>
    <w:rsid w:val="002E1E97"/>
    <w:rsid w:val="002E20A9"/>
    <w:rsid w:val="002E211B"/>
    <w:rsid w:val="002E2409"/>
    <w:rsid w:val="002E28E7"/>
    <w:rsid w:val="002E29AC"/>
    <w:rsid w:val="002E2BCC"/>
    <w:rsid w:val="002E2C74"/>
    <w:rsid w:val="002E2D36"/>
    <w:rsid w:val="002E2D6C"/>
    <w:rsid w:val="002E32B2"/>
    <w:rsid w:val="002E360E"/>
    <w:rsid w:val="002E3B75"/>
    <w:rsid w:val="002E3DFE"/>
    <w:rsid w:val="002E3ED4"/>
    <w:rsid w:val="002E3FED"/>
    <w:rsid w:val="002E4010"/>
    <w:rsid w:val="002E4215"/>
    <w:rsid w:val="002E42D6"/>
    <w:rsid w:val="002E4397"/>
    <w:rsid w:val="002E4415"/>
    <w:rsid w:val="002E4608"/>
    <w:rsid w:val="002E46CD"/>
    <w:rsid w:val="002E47AC"/>
    <w:rsid w:val="002E49FA"/>
    <w:rsid w:val="002E4D3B"/>
    <w:rsid w:val="002E4E14"/>
    <w:rsid w:val="002E5578"/>
    <w:rsid w:val="002E5831"/>
    <w:rsid w:val="002E5A17"/>
    <w:rsid w:val="002E5A82"/>
    <w:rsid w:val="002E5C14"/>
    <w:rsid w:val="002E5C66"/>
    <w:rsid w:val="002E5DD8"/>
    <w:rsid w:val="002E6193"/>
    <w:rsid w:val="002E65F3"/>
    <w:rsid w:val="002E6A27"/>
    <w:rsid w:val="002E6A67"/>
    <w:rsid w:val="002E6C64"/>
    <w:rsid w:val="002E6E27"/>
    <w:rsid w:val="002E6E39"/>
    <w:rsid w:val="002E7107"/>
    <w:rsid w:val="002E72E9"/>
    <w:rsid w:val="002E7565"/>
    <w:rsid w:val="002E766D"/>
    <w:rsid w:val="002E7883"/>
    <w:rsid w:val="002E7B4B"/>
    <w:rsid w:val="002E7F5F"/>
    <w:rsid w:val="002F0391"/>
    <w:rsid w:val="002F0794"/>
    <w:rsid w:val="002F07B4"/>
    <w:rsid w:val="002F0AB6"/>
    <w:rsid w:val="002F0D76"/>
    <w:rsid w:val="002F0E5D"/>
    <w:rsid w:val="002F127C"/>
    <w:rsid w:val="002F1AB5"/>
    <w:rsid w:val="002F1B10"/>
    <w:rsid w:val="002F1BBE"/>
    <w:rsid w:val="002F1CD0"/>
    <w:rsid w:val="002F1CDF"/>
    <w:rsid w:val="002F1D18"/>
    <w:rsid w:val="002F2110"/>
    <w:rsid w:val="002F23B3"/>
    <w:rsid w:val="002F256A"/>
    <w:rsid w:val="002F2843"/>
    <w:rsid w:val="002F2A0B"/>
    <w:rsid w:val="002F2CA4"/>
    <w:rsid w:val="002F2D31"/>
    <w:rsid w:val="002F2D89"/>
    <w:rsid w:val="002F38AF"/>
    <w:rsid w:val="002F397B"/>
    <w:rsid w:val="002F3B3C"/>
    <w:rsid w:val="002F3FE9"/>
    <w:rsid w:val="002F3FF3"/>
    <w:rsid w:val="002F41E9"/>
    <w:rsid w:val="002F43AB"/>
    <w:rsid w:val="002F473A"/>
    <w:rsid w:val="002F4755"/>
    <w:rsid w:val="002F48E5"/>
    <w:rsid w:val="002F4C4A"/>
    <w:rsid w:val="002F4C96"/>
    <w:rsid w:val="002F5559"/>
    <w:rsid w:val="002F5B4F"/>
    <w:rsid w:val="002F5E24"/>
    <w:rsid w:val="002F60C4"/>
    <w:rsid w:val="002F6142"/>
    <w:rsid w:val="002F61C6"/>
    <w:rsid w:val="002F6727"/>
    <w:rsid w:val="002F67EC"/>
    <w:rsid w:val="002F6B4F"/>
    <w:rsid w:val="002F6CDE"/>
    <w:rsid w:val="002F6D5E"/>
    <w:rsid w:val="002F7140"/>
    <w:rsid w:val="002F7433"/>
    <w:rsid w:val="002F7507"/>
    <w:rsid w:val="002F7733"/>
    <w:rsid w:val="002F7894"/>
    <w:rsid w:val="002F7963"/>
    <w:rsid w:val="002F79C2"/>
    <w:rsid w:val="002F7AC5"/>
    <w:rsid w:val="0030026A"/>
    <w:rsid w:val="003002CA"/>
    <w:rsid w:val="0030041F"/>
    <w:rsid w:val="003007C3"/>
    <w:rsid w:val="00300837"/>
    <w:rsid w:val="00300873"/>
    <w:rsid w:val="0030089C"/>
    <w:rsid w:val="00300B5C"/>
    <w:rsid w:val="00300BC6"/>
    <w:rsid w:val="00300CFD"/>
    <w:rsid w:val="00300E66"/>
    <w:rsid w:val="00301482"/>
    <w:rsid w:val="0030162D"/>
    <w:rsid w:val="003016A7"/>
    <w:rsid w:val="00301971"/>
    <w:rsid w:val="00301AE9"/>
    <w:rsid w:val="00301EFD"/>
    <w:rsid w:val="0030220F"/>
    <w:rsid w:val="003023CC"/>
    <w:rsid w:val="003024CB"/>
    <w:rsid w:val="00302B56"/>
    <w:rsid w:val="00302FE6"/>
    <w:rsid w:val="00303154"/>
    <w:rsid w:val="00303357"/>
    <w:rsid w:val="003034B6"/>
    <w:rsid w:val="003039EE"/>
    <w:rsid w:val="00303BEF"/>
    <w:rsid w:val="00303F83"/>
    <w:rsid w:val="00304492"/>
    <w:rsid w:val="00304551"/>
    <w:rsid w:val="00304845"/>
    <w:rsid w:val="00304BCC"/>
    <w:rsid w:val="00304C3B"/>
    <w:rsid w:val="00304C64"/>
    <w:rsid w:val="00305362"/>
    <w:rsid w:val="00305376"/>
    <w:rsid w:val="003053CE"/>
    <w:rsid w:val="003054BD"/>
    <w:rsid w:val="00305AF0"/>
    <w:rsid w:val="00305C64"/>
    <w:rsid w:val="00305D31"/>
    <w:rsid w:val="00305FB8"/>
    <w:rsid w:val="00306165"/>
    <w:rsid w:val="003061ED"/>
    <w:rsid w:val="00306377"/>
    <w:rsid w:val="003068EE"/>
    <w:rsid w:val="003069DF"/>
    <w:rsid w:val="00306C37"/>
    <w:rsid w:val="00306D25"/>
    <w:rsid w:val="0030736F"/>
    <w:rsid w:val="0030744A"/>
    <w:rsid w:val="003074AC"/>
    <w:rsid w:val="00307661"/>
    <w:rsid w:val="0030798C"/>
    <w:rsid w:val="00307B45"/>
    <w:rsid w:val="00307F12"/>
    <w:rsid w:val="00310125"/>
    <w:rsid w:val="003102F7"/>
    <w:rsid w:val="0031059D"/>
    <w:rsid w:val="00310717"/>
    <w:rsid w:val="00310814"/>
    <w:rsid w:val="00310BD8"/>
    <w:rsid w:val="0031111F"/>
    <w:rsid w:val="00311199"/>
    <w:rsid w:val="00311283"/>
    <w:rsid w:val="003115CE"/>
    <w:rsid w:val="00311CC3"/>
    <w:rsid w:val="00311FEF"/>
    <w:rsid w:val="00312729"/>
    <w:rsid w:val="00312993"/>
    <w:rsid w:val="00312A3A"/>
    <w:rsid w:val="00312F80"/>
    <w:rsid w:val="00312FC7"/>
    <w:rsid w:val="0031369B"/>
    <w:rsid w:val="0031378C"/>
    <w:rsid w:val="00313E25"/>
    <w:rsid w:val="0031495F"/>
    <w:rsid w:val="00314C89"/>
    <w:rsid w:val="00314DA5"/>
    <w:rsid w:val="00314E4D"/>
    <w:rsid w:val="003154A1"/>
    <w:rsid w:val="003156D0"/>
    <w:rsid w:val="003157A6"/>
    <w:rsid w:val="00315EB2"/>
    <w:rsid w:val="00316178"/>
    <w:rsid w:val="00316302"/>
    <w:rsid w:val="0031650C"/>
    <w:rsid w:val="003168C7"/>
    <w:rsid w:val="00316E0F"/>
    <w:rsid w:val="00316FA7"/>
    <w:rsid w:val="00317209"/>
    <w:rsid w:val="00317464"/>
    <w:rsid w:val="003178A1"/>
    <w:rsid w:val="00317997"/>
    <w:rsid w:val="00317AB4"/>
    <w:rsid w:val="00317B4A"/>
    <w:rsid w:val="00317CE6"/>
    <w:rsid w:val="003208C3"/>
    <w:rsid w:val="00320EA1"/>
    <w:rsid w:val="0032125F"/>
    <w:rsid w:val="003213BB"/>
    <w:rsid w:val="00321521"/>
    <w:rsid w:val="00321707"/>
    <w:rsid w:val="0032186F"/>
    <w:rsid w:val="00321AE9"/>
    <w:rsid w:val="00321DB4"/>
    <w:rsid w:val="00321E59"/>
    <w:rsid w:val="00321E61"/>
    <w:rsid w:val="00321FA8"/>
    <w:rsid w:val="00322072"/>
    <w:rsid w:val="00322136"/>
    <w:rsid w:val="00322337"/>
    <w:rsid w:val="003223E4"/>
    <w:rsid w:val="00322446"/>
    <w:rsid w:val="00322DBD"/>
    <w:rsid w:val="0032322C"/>
    <w:rsid w:val="00323495"/>
    <w:rsid w:val="003240A5"/>
    <w:rsid w:val="003240D8"/>
    <w:rsid w:val="003247D0"/>
    <w:rsid w:val="00325268"/>
    <w:rsid w:val="003253D2"/>
    <w:rsid w:val="003259DA"/>
    <w:rsid w:val="00325A1F"/>
    <w:rsid w:val="00325B8A"/>
    <w:rsid w:val="00325B98"/>
    <w:rsid w:val="00325CC0"/>
    <w:rsid w:val="00325DA3"/>
    <w:rsid w:val="00325EFA"/>
    <w:rsid w:val="003260FD"/>
    <w:rsid w:val="003262CF"/>
    <w:rsid w:val="00326452"/>
    <w:rsid w:val="0032675B"/>
    <w:rsid w:val="00326A2B"/>
    <w:rsid w:val="00326FA9"/>
    <w:rsid w:val="00327155"/>
    <w:rsid w:val="003275CD"/>
    <w:rsid w:val="0032771F"/>
    <w:rsid w:val="00327C02"/>
    <w:rsid w:val="00327D04"/>
    <w:rsid w:val="0033025F"/>
    <w:rsid w:val="0033058D"/>
    <w:rsid w:val="00330764"/>
    <w:rsid w:val="003309ED"/>
    <w:rsid w:val="00331003"/>
    <w:rsid w:val="003314B5"/>
    <w:rsid w:val="0033153E"/>
    <w:rsid w:val="003315E3"/>
    <w:rsid w:val="0033207D"/>
    <w:rsid w:val="003322E0"/>
    <w:rsid w:val="003322E3"/>
    <w:rsid w:val="003325B2"/>
    <w:rsid w:val="00332762"/>
    <w:rsid w:val="003328AF"/>
    <w:rsid w:val="00332960"/>
    <w:rsid w:val="00332A50"/>
    <w:rsid w:val="00332C56"/>
    <w:rsid w:val="00332D5F"/>
    <w:rsid w:val="00332EB3"/>
    <w:rsid w:val="00333018"/>
    <w:rsid w:val="0033352A"/>
    <w:rsid w:val="00333EDF"/>
    <w:rsid w:val="003343C7"/>
    <w:rsid w:val="00334473"/>
    <w:rsid w:val="003344CC"/>
    <w:rsid w:val="0033454C"/>
    <w:rsid w:val="0033499B"/>
    <w:rsid w:val="00334BF1"/>
    <w:rsid w:val="00334C69"/>
    <w:rsid w:val="003351FD"/>
    <w:rsid w:val="003353A6"/>
    <w:rsid w:val="003354A6"/>
    <w:rsid w:val="003354AA"/>
    <w:rsid w:val="003354D2"/>
    <w:rsid w:val="003356EE"/>
    <w:rsid w:val="0033581B"/>
    <w:rsid w:val="00335863"/>
    <w:rsid w:val="003359D0"/>
    <w:rsid w:val="003359E5"/>
    <w:rsid w:val="00336309"/>
    <w:rsid w:val="00336350"/>
    <w:rsid w:val="003363A2"/>
    <w:rsid w:val="00336AE1"/>
    <w:rsid w:val="00336B9A"/>
    <w:rsid w:val="00336D39"/>
    <w:rsid w:val="00336FFB"/>
    <w:rsid w:val="003379CE"/>
    <w:rsid w:val="00337BE3"/>
    <w:rsid w:val="00340150"/>
    <w:rsid w:val="00340387"/>
    <w:rsid w:val="003404F5"/>
    <w:rsid w:val="003406E0"/>
    <w:rsid w:val="00340700"/>
    <w:rsid w:val="00340931"/>
    <w:rsid w:val="0034133D"/>
    <w:rsid w:val="00341381"/>
    <w:rsid w:val="003413E7"/>
    <w:rsid w:val="003414E6"/>
    <w:rsid w:val="0034154E"/>
    <w:rsid w:val="003419F1"/>
    <w:rsid w:val="00341C56"/>
    <w:rsid w:val="00341D28"/>
    <w:rsid w:val="00341D62"/>
    <w:rsid w:val="00342081"/>
    <w:rsid w:val="0034214B"/>
    <w:rsid w:val="00342788"/>
    <w:rsid w:val="003428C7"/>
    <w:rsid w:val="003428D8"/>
    <w:rsid w:val="003428E1"/>
    <w:rsid w:val="00342A0A"/>
    <w:rsid w:val="00342B5F"/>
    <w:rsid w:val="00342BFE"/>
    <w:rsid w:val="00342DB3"/>
    <w:rsid w:val="00342E2F"/>
    <w:rsid w:val="00342FF4"/>
    <w:rsid w:val="003430E4"/>
    <w:rsid w:val="00343112"/>
    <w:rsid w:val="00343198"/>
    <w:rsid w:val="00343488"/>
    <w:rsid w:val="003434F9"/>
    <w:rsid w:val="00343664"/>
    <w:rsid w:val="003437D6"/>
    <w:rsid w:val="00343838"/>
    <w:rsid w:val="00343966"/>
    <w:rsid w:val="00343FBE"/>
    <w:rsid w:val="0034404A"/>
    <w:rsid w:val="0034417E"/>
    <w:rsid w:val="00344339"/>
    <w:rsid w:val="003445ED"/>
    <w:rsid w:val="0034486A"/>
    <w:rsid w:val="00344B89"/>
    <w:rsid w:val="00344CA5"/>
    <w:rsid w:val="00344D2B"/>
    <w:rsid w:val="00344FAE"/>
    <w:rsid w:val="003457B3"/>
    <w:rsid w:val="00345B7B"/>
    <w:rsid w:val="00345E30"/>
    <w:rsid w:val="00345E9C"/>
    <w:rsid w:val="00345FB0"/>
    <w:rsid w:val="00346103"/>
    <w:rsid w:val="00346563"/>
    <w:rsid w:val="003465E2"/>
    <w:rsid w:val="00346C64"/>
    <w:rsid w:val="00346EAA"/>
    <w:rsid w:val="00346EF4"/>
    <w:rsid w:val="00346F40"/>
    <w:rsid w:val="0034712A"/>
    <w:rsid w:val="00347629"/>
    <w:rsid w:val="00347BC7"/>
    <w:rsid w:val="0035004B"/>
    <w:rsid w:val="003500E4"/>
    <w:rsid w:val="0035079D"/>
    <w:rsid w:val="00350A3C"/>
    <w:rsid w:val="00350BBD"/>
    <w:rsid w:val="00350DD9"/>
    <w:rsid w:val="00351006"/>
    <w:rsid w:val="0035109B"/>
    <w:rsid w:val="00351227"/>
    <w:rsid w:val="003512E8"/>
    <w:rsid w:val="00351304"/>
    <w:rsid w:val="003515B0"/>
    <w:rsid w:val="00351748"/>
    <w:rsid w:val="0035197C"/>
    <w:rsid w:val="00352452"/>
    <w:rsid w:val="003526DA"/>
    <w:rsid w:val="0035277C"/>
    <w:rsid w:val="0035281C"/>
    <w:rsid w:val="00352AE6"/>
    <w:rsid w:val="00352B8A"/>
    <w:rsid w:val="003532F9"/>
    <w:rsid w:val="00353809"/>
    <w:rsid w:val="00353906"/>
    <w:rsid w:val="00353D04"/>
    <w:rsid w:val="00353EC5"/>
    <w:rsid w:val="00354713"/>
    <w:rsid w:val="0035484C"/>
    <w:rsid w:val="003549BF"/>
    <w:rsid w:val="00354D5C"/>
    <w:rsid w:val="003553F8"/>
    <w:rsid w:val="0035555C"/>
    <w:rsid w:val="003557CE"/>
    <w:rsid w:val="00355953"/>
    <w:rsid w:val="00355A54"/>
    <w:rsid w:val="00355DCF"/>
    <w:rsid w:val="00355F43"/>
    <w:rsid w:val="003560C7"/>
    <w:rsid w:val="003560F1"/>
    <w:rsid w:val="00356551"/>
    <w:rsid w:val="00356672"/>
    <w:rsid w:val="003566C4"/>
    <w:rsid w:val="003567F4"/>
    <w:rsid w:val="00356804"/>
    <w:rsid w:val="00356DF6"/>
    <w:rsid w:val="00356E0F"/>
    <w:rsid w:val="003572AF"/>
    <w:rsid w:val="003574D5"/>
    <w:rsid w:val="003577A8"/>
    <w:rsid w:val="003577D8"/>
    <w:rsid w:val="003579DB"/>
    <w:rsid w:val="00357C5E"/>
    <w:rsid w:val="00357C78"/>
    <w:rsid w:val="00357FD7"/>
    <w:rsid w:val="00360125"/>
    <w:rsid w:val="00360642"/>
    <w:rsid w:val="00360991"/>
    <w:rsid w:val="0036102C"/>
    <w:rsid w:val="00361179"/>
    <w:rsid w:val="00361365"/>
    <w:rsid w:val="00361A58"/>
    <w:rsid w:val="00361C04"/>
    <w:rsid w:val="00361C2E"/>
    <w:rsid w:val="00361EA8"/>
    <w:rsid w:val="0036222F"/>
    <w:rsid w:val="003627E2"/>
    <w:rsid w:val="00362AAB"/>
    <w:rsid w:val="00362C97"/>
    <w:rsid w:val="00362DB1"/>
    <w:rsid w:val="00363141"/>
    <w:rsid w:val="003635FC"/>
    <w:rsid w:val="003636F5"/>
    <w:rsid w:val="00363945"/>
    <w:rsid w:val="00363D96"/>
    <w:rsid w:val="00363F03"/>
    <w:rsid w:val="003645DC"/>
    <w:rsid w:val="0036483C"/>
    <w:rsid w:val="00364A24"/>
    <w:rsid w:val="00364A84"/>
    <w:rsid w:val="0036500D"/>
    <w:rsid w:val="003658F8"/>
    <w:rsid w:val="00365C25"/>
    <w:rsid w:val="00366054"/>
    <w:rsid w:val="00366252"/>
    <w:rsid w:val="00366515"/>
    <w:rsid w:val="00366695"/>
    <w:rsid w:val="00366A7D"/>
    <w:rsid w:val="00367466"/>
    <w:rsid w:val="00367CD2"/>
    <w:rsid w:val="00367E64"/>
    <w:rsid w:val="00367EAC"/>
    <w:rsid w:val="0037023B"/>
    <w:rsid w:val="003703A6"/>
    <w:rsid w:val="003703C5"/>
    <w:rsid w:val="00370423"/>
    <w:rsid w:val="0037057B"/>
    <w:rsid w:val="00370775"/>
    <w:rsid w:val="003709B1"/>
    <w:rsid w:val="00370A92"/>
    <w:rsid w:val="00370EC3"/>
    <w:rsid w:val="00370F05"/>
    <w:rsid w:val="00371178"/>
    <w:rsid w:val="003713C6"/>
    <w:rsid w:val="00371735"/>
    <w:rsid w:val="00371949"/>
    <w:rsid w:val="00371B7F"/>
    <w:rsid w:val="00372091"/>
    <w:rsid w:val="00372814"/>
    <w:rsid w:val="0037290A"/>
    <w:rsid w:val="00372A6E"/>
    <w:rsid w:val="00372AD8"/>
    <w:rsid w:val="00372F07"/>
    <w:rsid w:val="0037318A"/>
    <w:rsid w:val="00373223"/>
    <w:rsid w:val="003733B4"/>
    <w:rsid w:val="0037387C"/>
    <w:rsid w:val="00373C1A"/>
    <w:rsid w:val="00373F23"/>
    <w:rsid w:val="003740DF"/>
    <w:rsid w:val="00374535"/>
    <w:rsid w:val="003748F1"/>
    <w:rsid w:val="003749A6"/>
    <w:rsid w:val="00374A71"/>
    <w:rsid w:val="00374A8B"/>
    <w:rsid w:val="00374DA2"/>
    <w:rsid w:val="00374FB5"/>
    <w:rsid w:val="00374FD1"/>
    <w:rsid w:val="00375191"/>
    <w:rsid w:val="003751C3"/>
    <w:rsid w:val="003751C4"/>
    <w:rsid w:val="0037589D"/>
    <w:rsid w:val="00376037"/>
    <w:rsid w:val="00376574"/>
    <w:rsid w:val="00376897"/>
    <w:rsid w:val="0037692A"/>
    <w:rsid w:val="00376E04"/>
    <w:rsid w:val="0037705E"/>
    <w:rsid w:val="00377160"/>
    <w:rsid w:val="00377208"/>
    <w:rsid w:val="00377221"/>
    <w:rsid w:val="00377554"/>
    <w:rsid w:val="003776C8"/>
    <w:rsid w:val="003777B7"/>
    <w:rsid w:val="00377F59"/>
    <w:rsid w:val="00377FBE"/>
    <w:rsid w:val="00380353"/>
    <w:rsid w:val="003803B7"/>
    <w:rsid w:val="0038095D"/>
    <w:rsid w:val="00380CDD"/>
    <w:rsid w:val="00380E59"/>
    <w:rsid w:val="00381034"/>
    <w:rsid w:val="00381207"/>
    <w:rsid w:val="0038128D"/>
    <w:rsid w:val="0038185C"/>
    <w:rsid w:val="00381BD1"/>
    <w:rsid w:val="00381E58"/>
    <w:rsid w:val="00381F05"/>
    <w:rsid w:val="00382362"/>
    <w:rsid w:val="00382440"/>
    <w:rsid w:val="003828E5"/>
    <w:rsid w:val="00382BAD"/>
    <w:rsid w:val="00382CE6"/>
    <w:rsid w:val="00382FB0"/>
    <w:rsid w:val="00383523"/>
    <w:rsid w:val="00383637"/>
    <w:rsid w:val="003836DF"/>
    <w:rsid w:val="003841B3"/>
    <w:rsid w:val="003841F8"/>
    <w:rsid w:val="003843F0"/>
    <w:rsid w:val="003844D4"/>
    <w:rsid w:val="00384547"/>
    <w:rsid w:val="00384558"/>
    <w:rsid w:val="003846D3"/>
    <w:rsid w:val="003849BF"/>
    <w:rsid w:val="003851D6"/>
    <w:rsid w:val="00385C95"/>
    <w:rsid w:val="00385D7C"/>
    <w:rsid w:val="003860F6"/>
    <w:rsid w:val="0038648C"/>
    <w:rsid w:val="0038648D"/>
    <w:rsid w:val="00386582"/>
    <w:rsid w:val="00386D1B"/>
    <w:rsid w:val="00386DC7"/>
    <w:rsid w:val="00387AF8"/>
    <w:rsid w:val="00387C0F"/>
    <w:rsid w:val="00387F50"/>
    <w:rsid w:val="00387F58"/>
    <w:rsid w:val="00390174"/>
    <w:rsid w:val="0039061D"/>
    <w:rsid w:val="003906CF"/>
    <w:rsid w:val="00390B05"/>
    <w:rsid w:val="003911C9"/>
    <w:rsid w:val="00391248"/>
    <w:rsid w:val="003914FA"/>
    <w:rsid w:val="003915EB"/>
    <w:rsid w:val="003915F5"/>
    <w:rsid w:val="0039195C"/>
    <w:rsid w:val="00391A3D"/>
    <w:rsid w:val="00391BCB"/>
    <w:rsid w:val="00391D5F"/>
    <w:rsid w:val="00391E1C"/>
    <w:rsid w:val="00391ECD"/>
    <w:rsid w:val="0039240C"/>
    <w:rsid w:val="00392607"/>
    <w:rsid w:val="00392E03"/>
    <w:rsid w:val="00393319"/>
    <w:rsid w:val="0039333A"/>
    <w:rsid w:val="00393673"/>
    <w:rsid w:val="00393C18"/>
    <w:rsid w:val="0039405C"/>
    <w:rsid w:val="0039435A"/>
    <w:rsid w:val="003943EC"/>
    <w:rsid w:val="003943EF"/>
    <w:rsid w:val="003944C6"/>
    <w:rsid w:val="00394838"/>
    <w:rsid w:val="00394AD1"/>
    <w:rsid w:val="00394E19"/>
    <w:rsid w:val="00395095"/>
    <w:rsid w:val="00395748"/>
    <w:rsid w:val="003958F8"/>
    <w:rsid w:val="00395948"/>
    <w:rsid w:val="003959DA"/>
    <w:rsid w:val="003959EE"/>
    <w:rsid w:val="00396228"/>
    <w:rsid w:val="0039696E"/>
    <w:rsid w:val="00396D9F"/>
    <w:rsid w:val="00396F02"/>
    <w:rsid w:val="003974F1"/>
    <w:rsid w:val="003977D4"/>
    <w:rsid w:val="00397C42"/>
    <w:rsid w:val="00397E84"/>
    <w:rsid w:val="00397F36"/>
    <w:rsid w:val="003A0009"/>
    <w:rsid w:val="003A002C"/>
    <w:rsid w:val="003A01A3"/>
    <w:rsid w:val="003A0216"/>
    <w:rsid w:val="003A058D"/>
    <w:rsid w:val="003A09AF"/>
    <w:rsid w:val="003A0C3F"/>
    <w:rsid w:val="003A0C74"/>
    <w:rsid w:val="003A18E7"/>
    <w:rsid w:val="003A1F37"/>
    <w:rsid w:val="003A21B4"/>
    <w:rsid w:val="003A2328"/>
    <w:rsid w:val="003A2ACC"/>
    <w:rsid w:val="003A30D8"/>
    <w:rsid w:val="003A3229"/>
    <w:rsid w:val="003A3392"/>
    <w:rsid w:val="003A3819"/>
    <w:rsid w:val="003A3B70"/>
    <w:rsid w:val="003A3B77"/>
    <w:rsid w:val="003A4136"/>
    <w:rsid w:val="003A4557"/>
    <w:rsid w:val="003A4854"/>
    <w:rsid w:val="003A48CA"/>
    <w:rsid w:val="003A4C87"/>
    <w:rsid w:val="003A4FC8"/>
    <w:rsid w:val="003A510C"/>
    <w:rsid w:val="003A5453"/>
    <w:rsid w:val="003A5964"/>
    <w:rsid w:val="003A5E59"/>
    <w:rsid w:val="003A6150"/>
    <w:rsid w:val="003A649B"/>
    <w:rsid w:val="003A65A8"/>
    <w:rsid w:val="003A6626"/>
    <w:rsid w:val="003A717F"/>
    <w:rsid w:val="003A7216"/>
    <w:rsid w:val="003A78C4"/>
    <w:rsid w:val="003A79EE"/>
    <w:rsid w:val="003A7B4F"/>
    <w:rsid w:val="003A7BA8"/>
    <w:rsid w:val="003A7CD4"/>
    <w:rsid w:val="003A7DBD"/>
    <w:rsid w:val="003A7E6E"/>
    <w:rsid w:val="003B00E7"/>
    <w:rsid w:val="003B0423"/>
    <w:rsid w:val="003B0442"/>
    <w:rsid w:val="003B06EF"/>
    <w:rsid w:val="003B09BC"/>
    <w:rsid w:val="003B0B26"/>
    <w:rsid w:val="003B1073"/>
    <w:rsid w:val="003B109B"/>
    <w:rsid w:val="003B112B"/>
    <w:rsid w:val="003B136B"/>
    <w:rsid w:val="003B148D"/>
    <w:rsid w:val="003B15DD"/>
    <w:rsid w:val="003B16C2"/>
    <w:rsid w:val="003B1721"/>
    <w:rsid w:val="003B17B6"/>
    <w:rsid w:val="003B1DC4"/>
    <w:rsid w:val="003B219A"/>
    <w:rsid w:val="003B29DB"/>
    <w:rsid w:val="003B2B53"/>
    <w:rsid w:val="003B3210"/>
    <w:rsid w:val="003B32C0"/>
    <w:rsid w:val="003B341D"/>
    <w:rsid w:val="003B35EE"/>
    <w:rsid w:val="003B377D"/>
    <w:rsid w:val="003B4332"/>
    <w:rsid w:val="003B44F9"/>
    <w:rsid w:val="003B46F5"/>
    <w:rsid w:val="003B4B6D"/>
    <w:rsid w:val="003B4CB8"/>
    <w:rsid w:val="003B4DED"/>
    <w:rsid w:val="003B50A6"/>
    <w:rsid w:val="003B50D2"/>
    <w:rsid w:val="003B5101"/>
    <w:rsid w:val="003B583A"/>
    <w:rsid w:val="003B59F8"/>
    <w:rsid w:val="003B6465"/>
    <w:rsid w:val="003B6519"/>
    <w:rsid w:val="003B66F7"/>
    <w:rsid w:val="003B67DC"/>
    <w:rsid w:val="003B6813"/>
    <w:rsid w:val="003B70C6"/>
    <w:rsid w:val="003B7221"/>
    <w:rsid w:val="003B75FF"/>
    <w:rsid w:val="003B7A1A"/>
    <w:rsid w:val="003B7DCC"/>
    <w:rsid w:val="003B7EC5"/>
    <w:rsid w:val="003C0224"/>
    <w:rsid w:val="003C0436"/>
    <w:rsid w:val="003C0770"/>
    <w:rsid w:val="003C0868"/>
    <w:rsid w:val="003C0966"/>
    <w:rsid w:val="003C0C86"/>
    <w:rsid w:val="003C14A0"/>
    <w:rsid w:val="003C2925"/>
    <w:rsid w:val="003C2AF3"/>
    <w:rsid w:val="003C2CFB"/>
    <w:rsid w:val="003C2D38"/>
    <w:rsid w:val="003C30A6"/>
    <w:rsid w:val="003C31F5"/>
    <w:rsid w:val="003C372E"/>
    <w:rsid w:val="003C3852"/>
    <w:rsid w:val="003C3867"/>
    <w:rsid w:val="003C3986"/>
    <w:rsid w:val="003C3C10"/>
    <w:rsid w:val="003C3C90"/>
    <w:rsid w:val="003C3D94"/>
    <w:rsid w:val="003C403E"/>
    <w:rsid w:val="003C42DF"/>
    <w:rsid w:val="003C4308"/>
    <w:rsid w:val="003C490C"/>
    <w:rsid w:val="003C4C50"/>
    <w:rsid w:val="003C4C6A"/>
    <w:rsid w:val="003C52F6"/>
    <w:rsid w:val="003C55AC"/>
    <w:rsid w:val="003C57D3"/>
    <w:rsid w:val="003C5A51"/>
    <w:rsid w:val="003C5ADB"/>
    <w:rsid w:val="003C5B30"/>
    <w:rsid w:val="003C5D00"/>
    <w:rsid w:val="003C5F0F"/>
    <w:rsid w:val="003C5FF4"/>
    <w:rsid w:val="003C60E1"/>
    <w:rsid w:val="003C60F6"/>
    <w:rsid w:val="003C6415"/>
    <w:rsid w:val="003C6457"/>
    <w:rsid w:val="003C70C3"/>
    <w:rsid w:val="003C70F4"/>
    <w:rsid w:val="003C7B55"/>
    <w:rsid w:val="003C7C2E"/>
    <w:rsid w:val="003D072B"/>
    <w:rsid w:val="003D078E"/>
    <w:rsid w:val="003D0A5B"/>
    <w:rsid w:val="003D0C33"/>
    <w:rsid w:val="003D0CE6"/>
    <w:rsid w:val="003D0DAC"/>
    <w:rsid w:val="003D0F0A"/>
    <w:rsid w:val="003D11E1"/>
    <w:rsid w:val="003D12FF"/>
    <w:rsid w:val="003D15F0"/>
    <w:rsid w:val="003D1C33"/>
    <w:rsid w:val="003D1E3C"/>
    <w:rsid w:val="003D1E83"/>
    <w:rsid w:val="003D216A"/>
    <w:rsid w:val="003D239E"/>
    <w:rsid w:val="003D28C6"/>
    <w:rsid w:val="003D2920"/>
    <w:rsid w:val="003D2A18"/>
    <w:rsid w:val="003D2C3D"/>
    <w:rsid w:val="003D2E9C"/>
    <w:rsid w:val="003D308D"/>
    <w:rsid w:val="003D3102"/>
    <w:rsid w:val="003D3920"/>
    <w:rsid w:val="003D3A9E"/>
    <w:rsid w:val="003D3DDC"/>
    <w:rsid w:val="003D3E45"/>
    <w:rsid w:val="003D3F57"/>
    <w:rsid w:val="003D3FB6"/>
    <w:rsid w:val="003D411E"/>
    <w:rsid w:val="003D4285"/>
    <w:rsid w:val="003D43A6"/>
    <w:rsid w:val="003D43B1"/>
    <w:rsid w:val="003D4686"/>
    <w:rsid w:val="003D46DF"/>
    <w:rsid w:val="003D488E"/>
    <w:rsid w:val="003D542C"/>
    <w:rsid w:val="003D5436"/>
    <w:rsid w:val="003D5659"/>
    <w:rsid w:val="003D574D"/>
    <w:rsid w:val="003D5AC4"/>
    <w:rsid w:val="003D5C5D"/>
    <w:rsid w:val="003D63D7"/>
    <w:rsid w:val="003D6431"/>
    <w:rsid w:val="003D67BA"/>
    <w:rsid w:val="003D67D3"/>
    <w:rsid w:val="003D6C16"/>
    <w:rsid w:val="003D6CF1"/>
    <w:rsid w:val="003D6FFD"/>
    <w:rsid w:val="003D746F"/>
    <w:rsid w:val="003D74C0"/>
    <w:rsid w:val="003D74EA"/>
    <w:rsid w:val="003D78EC"/>
    <w:rsid w:val="003E059F"/>
    <w:rsid w:val="003E08E9"/>
    <w:rsid w:val="003E0960"/>
    <w:rsid w:val="003E0D0C"/>
    <w:rsid w:val="003E0DA4"/>
    <w:rsid w:val="003E0E89"/>
    <w:rsid w:val="003E1232"/>
    <w:rsid w:val="003E1426"/>
    <w:rsid w:val="003E174C"/>
    <w:rsid w:val="003E1CE6"/>
    <w:rsid w:val="003E1D8C"/>
    <w:rsid w:val="003E1DA6"/>
    <w:rsid w:val="003E1E33"/>
    <w:rsid w:val="003E1FDB"/>
    <w:rsid w:val="003E267B"/>
    <w:rsid w:val="003E2761"/>
    <w:rsid w:val="003E27C1"/>
    <w:rsid w:val="003E297D"/>
    <w:rsid w:val="003E2E89"/>
    <w:rsid w:val="003E3510"/>
    <w:rsid w:val="003E380E"/>
    <w:rsid w:val="003E392D"/>
    <w:rsid w:val="003E3ADD"/>
    <w:rsid w:val="003E3B5C"/>
    <w:rsid w:val="003E3C1D"/>
    <w:rsid w:val="003E3FA8"/>
    <w:rsid w:val="003E3FC8"/>
    <w:rsid w:val="003E4239"/>
    <w:rsid w:val="003E4677"/>
    <w:rsid w:val="003E49D4"/>
    <w:rsid w:val="003E4FBD"/>
    <w:rsid w:val="003E53F3"/>
    <w:rsid w:val="003E56B3"/>
    <w:rsid w:val="003E5786"/>
    <w:rsid w:val="003E5B4F"/>
    <w:rsid w:val="003E5DB0"/>
    <w:rsid w:val="003E6049"/>
    <w:rsid w:val="003E60D0"/>
    <w:rsid w:val="003E60E0"/>
    <w:rsid w:val="003E63A0"/>
    <w:rsid w:val="003E6790"/>
    <w:rsid w:val="003E681D"/>
    <w:rsid w:val="003E6864"/>
    <w:rsid w:val="003E6AC3"/>
    <w:rsid w:val="003E6C3A"/>
    <w:rsid w:val="003E6D6C"/>
    <w:rsid w:val="003E71F5"/>
    <w:rsid w:val="003E7234"/>
    <w:rsid w:val="003E739E"/>
    <w:rsid w:val="003E7B13"/>
    <w:rsid w:val="003E7BCB"/>
    <w:rsid w:val="003E7C08"/>
    <w:rsid w:val="003E7E42"/>
    <w:rsid w:val="003E7EE2"/>
    <w:rsid w:val="003F0097"/>
    <w:rsid w:val="003F011D"/>
    <w:rsid w:val="003F032E"/>
    <w:rsid w:val="003F08A5"/>
    <w:rsid w:val="003F0987"/>
    <w:rsid w:val="003F0AFA"/>
    <w:rsid w:val="003F1068"/>
    <w:rsid w:val="003F1143"/>
    <w:rsid w:val="003F14DB"/>
    <w:rsid w:val="003F15EF"/>
    <w:rsid w:val="003F18BD"/>
    <w:rsid w:val="003F1E8C"/>
    <w:rsid w:val="003F202B"/>
    <w:rsid w:val="003F21D4"/>
    <w:rsid w:val="003F22FB"/>
    <w:rsid w:val="003F231E"/>
    <w:rsid w:val="003F2958"/>
    <w:rsid w:val="003F2BF5"/>
    <w:rsid w:val="003F2CAC"/>
    <w:rsid w:val="003F2FD3"/>
    <w:rsid w:val="003F308A"/>
    <w:rsid w:val="003F3101"/>
    <w:rsid w:val="003F334B"/>
    <w:rsid w:val="003F3994"/>
    <w:rsid w:val="003F3D7F"/>
    <w:rsid w:val="003F4430"/>
    <w:rsid w:val="003F457D"/>
    <w:rsid w:val="003F45AF"/>
    <w:rsid w:val="003F470D"/>
    <w:rsid w:val="003F475A"/>
    <w:rsid w:val="003F49B6"/>
    <w:rsid w:val="003F560A"/>
    <w:rsid w:val="003F57A7"/>
    <w:rsid w:val="003F59E1"/>
    <w:rsid w:val="003F5CF0"/>
    <w:rsid w:val="003F5E11"/>
    <w:rsid w:val="003F6468"/>
    <w:rsid w:val="003F651F"/>
    <w:rsid w:val="003F6A0B"/>
    <w:rsid w:val="003F6A32"/>
    <w:rsid w:val="003F6D6A"/>
    <w:rsid w:val="003F7135"/>
    <w:rsid w:val="003F725B"/>
    <w:rsid w:val="003F737A"/>
    <w:rsid w:val="003F737C"/>
    <w:rsid w:val="003F7395"/>
    <w:rsid w:val="003F757F"/>
    <w:rsid w:val="003F75FE"/>
    <w:rsid w:val="003F7F83"/>
    <w:rsid w:val="00400042"/>
    <w:rsid w:val="00400105"/>
    <w:rsid w:val="004010A8"/>
    <w:rsid w:val="004012CC"/>
    <w:rsid w:val="004013DE"/>
    <w:rsid w:val="00401C94"/>
    <w:rsid w:val="00401DC6"/>
    <w:rsid w:val="00401E8C"/>
    <w:rsid w:val="004020C1"/>
    <w:rsid w:val="004021BE"/>
    <w:rsid w:val="004023BB"/>
    <w:rsid w:val="0040275B"/>
    <w:rsid w:val="00402A01"/>
    <w:rsid w:val="00402C4F"/>
    <w:rsid w:val="00402C9C"/>
    <w:rsid w:val="00402DAD"/>
    <w:rsid w:val="00402EED"/>
    <w:rsid w:val="00403018"/>
    <w:rsid w:val="0040354C"/>
    <w:rsid w:val="00403E94"/>
    <w:rsid w:val="00404074"/>
    <w:rsid w:val="004040B2"/>
    <w:rsid w:val="00404121"/>
    <w:rsid w:val="004043D4"/>
    <w:rsid w:val="0040498A"/>
    <w:rsid w:val="00404FA9"/>
    <w:rsid w:val="004050DC"/>
    <w:rsid w:val="00405139"/>
    <w:rsid w:val="0040513B"/>
    <w:rsid w:val="00405B2D"/>
    <w:rsid w:val="00405C1F"/>
    <w:rsid w:val="00405D58"/>
    <w:rsid w:val="00406085"/>
    <w:rsid w:val="0040633D"/>
    <w:rsid w:val="004064BE"/>
    <w:rsid w:val="00406652"/>
    <w:rsid w:val="004067AE"/>
    <w:rsid w:val="00406813"/>
    <w:rsid w:val="00406903"/>
    <w:rsid w:val="00406C87"/>
    <w:rsid w:val="00406F43"/>
    <w:rsid w:val="00407054"/>
    <w:rsid w:val="00407417"/>
    <w:rsid w:val="004074A6"/>
    <w:rsid w:val="00407528"/>
    <w:rsid w:val="00407958"/>
    <w:rsid w:val="00407CAA"/>
    <w:rsid w:val="00407D5F"/>
    <w:rsid w:val="00407EF8"/>
    <w:rsid w:val="00410623"/>
    <w:rsid w:val="0041063C"/>
    <w:rsid w:val="004106E6"/>
    <w:rsid w:val="0041084A"/>
    <w:rsid w:val="00410C55"/>
    <w:rsid w:val="004110D6"/>
    <w:rsid w:val="0041113E"/>
    <w:rsid w:val="00411149"/>
    <w:rsid w:val="0041123B"/>
    <w:rsid w:val="00411343"/>
    <w:rsid w:val="00411436"/>
    <w:rsid w:val="0041145A"/>
    <w:rsid w:val="00411743"/>
    <w:rsid w:val="0041179A"/>
    <w:rsid w:val="004117EC"/>
    <w:rsid w:val="00411959"/>
    <w:rsid w:val="00411A4D"/>
    <w:rsid w:val="00411B27"/>
    <w:rsid w:val="00411B2F"/>
    <w:rsid w:val="00411C7C"/>
    <w:rsid w:val="00411EFA"/>
    <w:rsid w:val="00411FB7"/>
    <w:rsid w:val="004123DA"/>
    <w:rsid w:val="004124C6"/>
    <w:rsid w:val="004126FC"/>
    <w:rsid w:val="00412AF1"/>
    <w:rsid w:val="00412B56"/>
    <w:rsid w:val="0041334F"/>
    <w:rsid w:val="00413569"/>
    <w:rsid w:val="00413642"/>
    <w:rsid w:val="004136D2"/>
    <w:rsid w:val="00413866"/>
    <w:rsid w:val="00413AB3"/>
    <w:rsid w:val="004143B1"/>
    <w:rsid w:val="00414649"/>
    <w:rsid w:val="00414871"/>
    <w:rsid w:val="00414915"/>
    <w:rsid w:val="00414AC2"/>
    <w:rsid w:val="00414BF0"/>
    <w:rsid w:val="00414FD3"/>
    <w:rsid w:val="00415719"/>
    <w:rsid w:val="0041586D"/>
    <w:rsid w:val="004158DC"/>
    <w:rsid w:val="00415EFE"/>
    <w:rsid w:val="00415F58"/>
    <w:rsid w:val="004162F3"/>
    <w:rsid w:val="004166D0"/>
    <w:rsid w:val="0041690E"/>
    <w:rsid w:val="00416A99"/>
    <w:rsid w:val="00417116"/>
    <w:rsid w:val="004171DA"/>
    <w:rsid w:val="00417478"/>
    <w:rsid w:val="00417DD6"/>
    <w:rsid w:val="00417FA0"/>
    <w:rsid w:val="0042012E"/>
    <w:rsid w:val="004203A6"/>
    <w:rsid w:val="0042058A"/>
    <w:rsid w:val="00420625"/>
    <w:rsid w:val="0042089F"/>
    <w:rsid w:val="004211FA"/>
    <w:rsid w:val="0042168A"/>
    <w:rsid w:val="00422286"/>
    <w:rsid w:val="0042263C"/>
    <w:rsid w:val="00422C47"/>
    <w:rsid w:val="0042306A"/>
    <w:rsid w:val="0042338E"/>
    <w:rsid w:val="0042350E"/>
    <w:rsid w:val="00423A07"/>
    <w:rsid w:val="00423CCE"/>
    <w:rsid w:val="00423DAB"/>
    <w:rsid w:val="0042401D"/>
    <w:rsid w:val="0042412A"/>
    <w:rsid w:val="00424264"/>
    <w:rsid w:val="004242F2"/>
    <w:rsid w:val="00424592"/>
    <w:rsid w:val="00424AD7"/>
    <w:rsid w:val="00424EAF"/>
    <w:rsid w:val="00424EC9"/>
    <w:rsid w:val="00424FE7"/>
    <w:rsid w:val="0042550E"/>
    <w:rsid w:val="004256E4"/>
    <w:rsid w:val="00425C74"/>
    <w:rsid w:val="00426370"/>
    <w:rsid w:val="004263AE"/>
    <w:rsid w:val="00426438"/>
    <w:rsid w:val="00426517"/>
    <w:rsid w:val="00426574"/>
    <w:rsid w:val="00426636"/>
    <w:rsid w:val="004266C5"/>
    <w:rsid w:val="0042688F"/>
    <w:rsid w:val="00426FB2"/>
    <w:rsid w:val="004271D6"/>
    <w:rsid w:val="00427220"/>
    <w:rsid w:val="004272B7"/>
    <w:rsid w:val="004275CF"/>
    <w:rsid w:val="004277CA"/>
    <w:rsid w:val="0043001D"/>
    <w:rsid w:val="004302E9"/>
    <w:rsid w:val="00430417"/>
    <w:rsid w:val="0043078C"/>
    <w:rsid w:val="0043079D"/>
    <w:rsid w:val="004309AE"/>
    <w:rsid w:val="00430DEE"/>
    <w:rsid w:val="00430E40"/>
    <w:rsid w:val="00431264"/>
    <w:rsid w:val="004313F5"/>
    <w:rsid w:val="00431B18"/>
    <w:rsid w:val="00431BB9"/>
    <w:rsid w:val="00431C88"/>
    <w:rsid w:val="00431CEB"/>
    <w:rsid w:val="004321A3"/>
    <w:rsid w:val="00432243"/>
    <w:rsid w:val="00432572"/>
    <w:rsid w:val="00432596"/>
    <w:rsid w:val="004325D8"/>
    <w:rsid w:val="0043262A"/>
    <w:rsid w:val="00432773"/>
    <w:rsid w:val="00432B4C"/>
    <w:rsid w:val="0043375A"/>
    <w:rsid w:val="00433806"/>
    <w:rsid w:val="00433DA4"/>
    <w:rsid w:val="00433E5C"/>
    <w:rsid w:val="004341E3"/>
    <w:rsid w:val="0043458C"/>
    <w:rsid w:val="004347F5"/>
    <w:rsid w:val="00434844"/>
    <w:rsid w:val="004348D0"/>
    <w:rsid w:val="00434F2F"/>
    <w:rsid w:val="00434FE1"/>
    <w:rsid w:val="00435BD9"/>
    <w:rsid w:val="00435E0C"/>
    <w:rsid w:val="0043601D"/>
    <w:rsid w:val="004361E1"/>
    <w:rsid w:val="00436233"/>
    <w:rsid w:val="00436398"/>
    <w:rsid w:val="004368C6"/>
    <w:rsid w:val="00436CCD"/>
    <w:rsid w:val="00436D75"/>
    <w:rsid w:val="00436DF3"/>
    <w:rsid w:val="00436F8B"/>
    <w:rsid w:val="00437037"/>
    <w:rsid w:val="00437393"/>
    <w:rsid w:val="004377A0"/>
    <w:rsid w:val="004379B0"/>
    <w:rsid w:val="00437C08"/>
    <w:rsid w:val="00440290"/>
    <w:rsid w:val="004402DA"/>
    <w:rsid w:val="00440338"/>
    <w:rsid w:val="00440406"/>
    <w:rsid w:val="004406A5"/>
    <w:rsid w:val="00440B78"/>
    <w:rsid w:val="00440E3B"/>
    <w:rsid w:val="00440EDC"/>
    <w:rsid w:val="0044172C"/>
    <w:rsid w:val="00441EB7"/>
    <w:rsid w:val="00442058"/>
    <w:rsid w:val="004422CF"/>
    <w:rsid w:val="00442615"/>
    <w:rsid w:val="00442D57"/>
    <w:rsid w:val="00443531"/>
    <w:rsid w:val="00443633"/>
    <w:rsid w:val="00443940"/>
    <w:rsid w:val="004439F7"/>
    <w:rsid w:val="00443C2F"/>
    <w:rsid w:val="00443DB3"/>
    <w:rsid w:val="00444227"/>
    <w:rsid w:val="00444365"/>
    <w:rsid w:val="00444492"/>
    <w:rsid w:val="004447AD"/>
    <w:rsid w:val="0044498C"/>
    <w:rsid w:val="00444F19"/>
    <w:rsid w:val="004454D2"/>
    <w:rsid w:val="00445A4E"/>
    <w:rsid w:val="00445A5D"/>
    <w:rsid w:val="00445E05"/>
    <w:rsid w:val="00445EBD"/>
    <w:rsid w:val="0044602F"/>
    <w:rsid w:val="00446275"/>
    <w:rsid w:val="00446381"/>
    <w:rsid w:val="00446964"/>
    <w:rsid w:val="00447119"/>
    <w:rsid w:val="0044744B"/>
    <w:rsid w:val="004477EE"/>
    <w:rsid w:val="00447AA0"/>
    <w:rsid w:val="00447D89"/>
    <w:rsid w:val="00447D8A"/>
    <w:rsid w:val="00447F12"/>
    <w:rsid w:val="004503B9"/>
    <w:rsid w:val="0045057B"/>
    <w:rsid w:val="00450E0E"/>
    <w:rsid w:val="00450E49"/>
    <w:rsid w:val="00451042"/>
    <w:rsid w:val="00451108"/>
    <w:rsid w:val="004513D5"/>
    <w:rsid w:val="0045162B"/>
    <w:rsid w:val="004516B5"/>
    <w:rsid w:val="00451858"/>
    <w:rsid w:val="00451B38"/>
    <w:rsid w:val="00451D16"/>
    <w:rsid w:val="004523F1"/>
    <w:rsid w:val="004527B4"/>
    <w:rsid w:val="0045280C"/>
    <w:rsid w:val="0045333F"/>
    <w:rsid w:val="00453A16"/>
    <w:rsid w:val="00453C83"/>
    <w:rsid w:val="00453CBA"/>
    <w:rsid w:val="0045403B"/>
    <w:rsid w:val="004540A5"/>
    <w:rsid w:val="00454120"/>
    <w:rsid w:val="004542EB"/>
    <w:rsid w:val="00454F59"/>
    <w:rsid w:val="00454F7E"/>
    <w:rsid w:val="004556E6"/>
    <w:rsid w:val="00455802"/>
    <w:rsid w:val="00455A30"/>
    <w:rsid w:val="00455C5E"/>
    <w:rsid w:val="004561BE"/>
    <w:rsid w:val="00456AC5"/>
    <w:rsid w:val="00456B8B"/>
    <w:rsid w:val="00456FA0"/>
    <w:rsid w:val="00457016"/>
    <w:rsid w:val="0045758B"/>
    <w:rsid w:val="004578EF"/>
    <w:rsid w:val="00457DA9"/>
    <w:rsid w:val="00457ED2"/>
    <w:rsid w:val="004604DA"/>
    <w:rsid w:val="00460B34"/>
    <w:rsid w:val="00460B55"/>
    <w:rsid w:val="004612A2"/>
    <w:rsid w:val="00461832"/>
    <w:rsid w:val="0046183C"/>
    <w:rsid w:val="00461E12"/>
    <w:rsid w:val="004624B8"/>
    <w:rsid w:val="0046260F"/>
    <w:rsid w:val="00462C69"/>
    <w:rsid w:val="00462D7B"/>
    <w:rsid w:val="00462F46"/>
    <w:rsid w:val="0046300A"/>
    <w:rsid w:val="004634CC"/>
    <w:rsid w:val="00463AE5"/>
    <w:rsid w:val="00463E1F"/>
    <w:rsid w:val="004642C0"/>
    <w:rsid w:val="004643A8"/>
    <w:rsid w:val="004645A0"/>
    <w:rsid w:val="004646A2"/>
    <w:rsid w:val="00464BBF"/>
    <w:rsid w:val="004655D6"/>
    <w:rsid w:val="0046566D"/>
    <w:rsid w:val="00465687"/>
    <w:rsid w:val="00465696"/>
    <w:rsid w:val="0046580A"/>
    <w:rsid w:val="00465B0B"/>
    <w:rsid w:val="00465B27"/>
    <w:rsid w:val="00465B8D"/>
    <w:rsid w:val="00465F15"/>
    <w:rsid w:val="00465FC0"/>
    <w:rsid w:val="00465FE6"/>
    <w:rsid w:val="004666D5"/>
    <w:rsid w:val="004667CA"/>
    <w:rsid w:val="00466867"/>
    <w:rsid w:val="00466B0B"/>
    <w:rsid w:val="00466BBC"/>
    <w:rsid w:val="00466EAB"/>
    <w:rsid w:val="00466EB0"/>
    <w:rsid w:val="004675B9"/>
    <w:rsid w:val="0046789F"/>
    <w:rsid w:val="00467A72"/>
    <w:rsid w:val="00467B7A"/>
    <w:rsid w:val="00467D97"/>
    <w:rsid w:val="00467F1B"/>
    <w:rsid w:val="0047010C"/>
    <w:rsid w:val="00470312"/>
    <w:rsid w:val="0047058D"/>
    <w:rsid w:val="0047087C"/>
    <w:rsid w:val="004709ED"/>
    <w:rsid w:val="00470A62"/>
    <w:rsid w:val="00470E96"/>
    <w:rsid w:val="0047111E"/>
    <w:rsid w:val="0047129A"/>
    <w:rsid w:val="004713AA"/>
    <w:rsid w:val="0047164C"/>
    <w:rsid w:val="004716C6"/>
    <w:rsid w:val="0047178E"/>
    <w:rsid w:val="00471915"/>
    <w:rsid w:val="00471A8A"/>
    <w:rsid w:val="00472013"/>
    <w:rsid w:val="00472071"/>
    <w:rsid w:val="004720ED"/>
    <w:rsid w:val="00472376"/>
    <w:rsid w:val="004724ED"/>
    <w:rsid w:val="0047279E"/>
    <w:rsid w:val="004728D4"/>
    <w:rsid w:val="00472B52"/>
    <w:rsid w:val="00472D9B"/>
    <w:rsid w:val="004731B7"/>
    <w:rsid w:val="0047347E"/>
    <w:rsid w:val="00473A93"/>
    <w:rsid w:val="00473B3A"/>
    <w:rsid w:val="00473DB1"/>
    <w:rsid w:val="004751D2"/>
    <w:rsid w:val="0047523A"/>
    <w:rsid w:val="00475328"/>
    <w:rsid w:val="00475528"/>
    <w:rsid w:val="00475726"/>
    <w:rsid w:val="00475AA8"/>
    <w:rsid w:val="00475AE3"/>
    <w:rsid w:val="00475DC6"/>
    <w:rsid w:val="00475F31"/>
    <w:rsid w:val="0047635E"/>
    <w:rsid w:val="00476611"/>
    <w:rsid w:val="0047672C"/>
    <w:rsid w:val="004767BA"/>
    <w:rsid w:val="004769CA"/>
    <w:rsid w:val="00476BCD"/>
    <w:rsid w:val="00476D9E"/>
    <w:rsid w:val="00476FBE"/>
    <w:rsid w:val="00477311"/>
    <w:rsid w:val="00477328"/>
    <w:rsid w:val="00477455"/>
    <w:rsid w:val="00477606"/>
    <w:rsid w:val="0047765B"/>
    <w:rsid w:val="00477913"/>
    <w:rsid w:val="00477ADA"/>
    <w:rsid w:val="0048040A"/>
    <w:rsid w:val="00480B8B"/>
    <w:rsid w:val="00481094"/>
    <w:rsid w:val="00481280"/>
    <w:rsid w:val="00481834"/>
    <w:rsid w:val="004819EC"/>
    <w:rsid w:val="004820FA"/>
    <w:rsid w:val="004821C0"/>
    <w:rsid w:val="004822CC"/>
    <w:rsid w:val="00482382"/>
    <w:rsid w:val="00482530"/>
    <w:rsid w:val="00482722"/>
    <w:rsid w:val="004828CD"/>
    <w:rsid w:val="0048292F"/>
    <w:rsid w:val="00482B91"/>
    <w:rsid w:val="0048362E"/>
    <w:rsid w:val="00483BB8"/>
    <w:rsid w:val="00483F1B"/>
    <w:rsid w:val="00484338"/>
    <w:rsid w:val="00484633"/>
    <w:rsid w:val="00484988"/>
    <w:rsid w:val="00484AEA"/>
    <w:rsid w:val="00484D1A"/>
    <w:rsid w:val="004855CD"/>
    <w:rsid w:val="004860FB"/>
    <w:rsid w:val="00486383"/>
    <w:rsid w:val="0048671E"/>
    <w:rsid w:val="00486994"/>
    <w:rsid w:val="00486A67"/>
    <w:rsid w:val="00486CF0"/>
    <w:rsid w:val="00486EF6"/>
    <w:rsid w:val="00487067"/>
    <w:rsid w:val="004872DA"/>
    <w:rsid w:val="00487411"/>
    <w:rsid w:val="00487465"/>
    <w:rsid w:val="004876D2"/>
    <w:rsid w:val="0048779B"/>
    <w:rsid w:val="0048799B"/>
    <w:rsid w:val="004879C7"/>
    <w:rsid w:val="00487EB1"/>
    <w:rsid w:val="00487F34"/>
    <w:rsid w:val="004904E4"/>
    <w:rsid w:val="0049073C"/>
    <w:rsid w:val="00490A8D"/>
    <w:rsid w:val="00491B13"/>
    <w:rsid w:val="00491B5A"/>
    <w:rsid w:val="00491C46"/>
    <w:rsid w:val="00491CCE"/>
    <w:rsid w:val="004922D8"/>
    <w:rsid w:val="00492694"/>
    <w:rsid w:val="004927A8"/>
    <w:rsid w:val="00492D64"/>
    <w:rsid w:val="00492D96"/>
    <w:rsid w:val="00492DE0"/>
    <w:rsid w:val="00492E3A"/>
    <w:rsid w:val="00493193"/>
    <w:rsid w:val="00493245"/>
    <w:rsid w:val="00493405"/>
    <w:rsid w:val="004937AD"/>
    <w:rsid w:val="0049380D"/>
    <w:rsid w:val="00493C92"/>
    <w:rsid w:val="00493EA1"/>
    <w:rsid w:val="004940E1"/>
    <w:rsid w:val="004946D1"/>
    <w:rsid w:val="0049478B"/>
    <w:rsid w:val="00494A02"/>
    <w:rsid w:val="00494FB1"/>
    <w:rsid w:val="00495010"/>
    <w:rsid w:val="004951F9"/>
    <w:rsid w:val="00495619"/>
    <w:rsid w:val="00495739"/>
    <w:rsid w:val="00495ADD"/>
    <w:rsid w:val="00495CC5"/>
    <w:rsid w:val="00495D4E"/>
    <w:rsid w:val="004960B6"/>
    <w:rsid w:val="0049658D"/>
    <w:rsid w:val="00496738"/>
    <w:rsid w:val="00496C99"/>
    <w:rsid w:val="00496CD5"/>
    <w:rsid w:val="00496DD6"/>
    <w:rsid w:val="004970BB"/>
    <w:rsid w:val="004971B6"/>
    <w:rsid w:val="0049759B"/>
    <w:rsid w:val="0049779D"/>
    <w:rsid w:val="00497AA0"/>
    <w:rsid w:val="00497C4B"/>
    <w:rsid w:val="00497D74"/>
    <w:rsid w:val="00497EF5"/>
    <w:rsid w:val="004A009B"/>
    <w:rsid w:val="004A01FD"/>
    <w:rsid w:val="004A03B5"/>
    <w:rsid w:val="004A047E"/>
    <w:rsid w:val="004A080D"/>
    <w:rsid w:val="004A0B03"/>
    <w:rsid w:val="004A0BFE"/>
    <w:rsid w:val="004A10AC"/>
    <w:rsid w:val="004A1147"/>
    <w:rsid w:val="004A11DC"/>
    <w:rsid w:val="004A11EB"/>
    <w:rsid w:val="004A161A"/>
    <w:rsid w:val="004A19FE"/>
    <w:rsid w:val="004A1C68"/>
    <w:rsid w:val="004A213E"/>
    <w:rsid w:val="004A223A"/>
    <w:rsid w:val="004A2830"/>
    <w:rsid w:val="004A2863"/>
    <w:rsid w:val="004A28F1"/>
    <w:rsid w:val="004A3345"/>
    <w:rsid w:val="004A336D"/>
    <w:rsid w:val="004A35E0"/>
    <w:rsid w:val="004A39CC"/>
    <w:rsid w:val="004A40B8"/>
    <w:rsid w:val="004A412B"/>
    <w:rsid w:val="004A4224"/>
    <w:rsid w:val="004A4472"/>
    <w:rsid w:val="004A4C06"/>
    <w:rsid w:val="004A4DDF"/>
    <w:rsid w:val="004A4DED"/>
    <w:rsid w:val="004A5491"/>
    <w:rsid w:val="004A54DF"/>
    <w:rsid w:val="004A552F"/>
    <w:rsid w:val="004A56D2"/>
    <w:rsid w:val="004A59FC"/>
    <w:rsid w:val="004A5A83"/>
    <w:rsid w:val="004A5C01"/>
    <w:rsid w:val="004A5CC3"/>
    <w:rsid w:val="004A5EB0"/>
    <w:rsid w:val="004A613D"/>
    <w:rsid w:val="004A62A2"/>
    <w:rsid w:val="004A634E"/>
    <w:rsid w:val="004A6670"/>
    <w:rsid w:val="004A6B6C"/>
    <w:rsid w:val="004A70A8"/>
    <w:rsid w:val="004A70D9"/>
    <w:rsid w:val="004A749B"/>
    <w:rsid w:val="004A776B"/>
    <w:rsid w:val="004A7852"/>
    <w:rsid w:val="004A78AB"/>
    <w:rsid w:val="004A79BA"/>
    <w:rsid w:val="004A7AA2"/>
    <w:rsid w:val="004B061A"/>
    <w:rsid w:val="004B0903"/>
    <w:rsid w:val="004B14B4"/>
    <w:rsid w:val="004B1843"/>
    <w:rsid w:val="004B1882"/>
    <w:rsid w:val="004B2130"/>
    <w:rsid w:val="004B263F"/>
    <w:rsid w:val="004B2674"/>
    <w:rsid w:val="004B2BB1"/>
    <w:rsid w:val="004B2D22"/>
    <w:rsid w:val="004B2DDC"/>
    <w:rsid w:val="004B2E40"/>
    <w:rsid w:val="004B2F10"/>
    <w:rsid w:val="004B30A7"/>
    <w:rsid w:val="004B30F2"/>
    <w:rsid w:val="004B32F3"/>
    <w:rsid w:val="004B33D8"/>
    <w:rsid w:val="004B35C2"/>
    <w:rsid w:val="004B3825"/>
    <w:rsid w:val="004B39AB"/>
    <w:rsid w:val="004B3A08"/>
    <w:rsid w:val="004B3D78"/>
    <w:rsid w:val="004B3E53"/>
    <w:rsid w:val="004B3F6B"/>
    <w:rsid w:val="004B3F93"/>
    <w:rsid w:val="004B42DA"/>
    <w:rsid w:val="004B4362"/>
    <w:rsid w:val="004B4831"/>
    <w:rsid w:val="004B4B42"/>
    <w:rsid w:val="004B4DB2"/>
    <w:rsid w:val="004B4F45"/>
    <w:rsid w:val="004B51CA"/>
    <w:rsid w:val="004B544D"/>
    <w:rsid w:val="004B5639"/>
    <w:rsid w:val="004B572B"/>
    <w:rsid w:val="004B5B08"/>
    <w:rsid w:val="004B5B1D"/>
    <w:rsid w:val="004B604A"/>
    <w:rsid w:val="004B6089"/>
    <w:rsid w:val="004B6552"/>
    <w:rsid w:val="004B65C5"/>
    <w:rsid w:val="004B671D"/>
    <w:rsid w:val="004B6B3A"/>
    <w:rsid w:val="004B6BBC"/>
    <w:rsid w:val="004B6FCA"/>
    <w:rsid w:val="004B70FA"/>
    <w:rsid w:val="004B7110"/>
    <w:rsid w:val="004B731E"/>
    <w:rsid w:val="004B7369"/>
    <w:rsid w:val="004B749F"/>
    <w:rsid w:val="004B7D8A"/>
    <w:rsid w:val="004C02C4"/>
    <w:rsid w:val="004C02D4"/>
    <w:rsid w:val="004C0447"/>
    <w:rsid w:val="004C08AB"/>
    <w:rsid w:val="004C0906"/>
    <w:rsid w:val="004C0943"/>
    <w:rsid w:val="004C0E6F"/>
    <w:rsid w:val="004C1128"/>
    <w:rsid w:val="004C13C6"/>
    <w:rsid w:val="004C1656"/>
    <w:rsid w:val="004C17E4"/>
    <w:rsid w:val="004C19E3"/>
    <w:rsid w:val="004C1ACA"/>
    <w:rsid w:val="004C1E57"/>
    <w:rsid w:val="004C205F"/>
    <w:rsid w:val="004C267C"/>
    <w:rsid w:val="004C2F65"/>
    <w:rsid w:val="004C33D1"/>
    <w:rsid w:val="004C3F3F"/>
    <w:rsid w:val="004C3FBA"/>
    <w:rsid w:val="004C48B7"/>
    <w:rsid w:val="004C4E30"/>
    <w:rsid w:val="004C4F07"/>
    <w:rsid w:val="004C53F6"/>
    <w:rsid w:val="004C5680"/>
    <w:rsid w:val="004C5693"/>
    <w:rsid w:val="004C56E6"/>
    <w:rsid w:val="004C5715"/>
    <w:rsid w:val="004C57DE"/>
    <w:rsid w:val="004C5BD0"/>
    <w:rsid w:val="004C5BDB"/>
    <w:rsid w:val="004C5BFA"/>
    <w:rsid w:val="004C5DA8"/>
    <w:rsid w:val="004C6218"/>
    <w:rsid w:val="004C634C"/>
    <w:rsid w:val="004C640C"/>
    <w:rsid w:val="004C657D"/>
    <w:rsid w:val="004C6BCE"/>
    <w:rsid w:val="004C7333"/>
    <w:rsid w:val="004C7802"/>
    <w:rsid w:val="004C7899"/>
    <w:rsid w:val="004C7B52"/>
    <w:rsid w:val="004C7E09"/>
    <w:rsid w:val="004D01C7"/>
    <w:rsid w:val="004D08AD"/>
    <w:rsid w:val="004D08E6"/>
    <w:rsid w:val="004D09B0"/>
    <w:rsid w:val="004D0BA7"/>
    <w:rsid w:val="004D0CF2"/>
    <w:rsid w:val="004D106D"/>
    <w:rsid w:val="004D18B5"/>
    <w:rsid w:val="004D19A7"/>
    <w:rsid w:val="004D1AC4"/>
    <w:rsid w:val="004D1D36"/>
    <w:rsid w:val="004D27C0"/>
    <w:rsid w:val="004D2C46"/>
    <w:rsid w:val="004D2D86"/>
    <w:rsid w:val="004D2DDA"/>
    <w:rsid w:val="004D2ECF"/>
    <w:rsid w:val="004D303C"/>
    <w:rsid w:val="004D309C"/>
    <w:rsid w:val="004D313C"/>
    <w:rsid w:val="004D3554"/>
    <w:rsid w:val="004D3692"/>
    <w:rsid w:val="004D374F"/>
    <w:rsid w:val="004D3B2D"/>
    <w:rsid w:val="004D3BB9"/>
    <w:rsid w:val="004D3BBC"/>
    <w:rsid w:val="004D3ECA"/>
    <w:rsid w:val="004D414B"/>
    <w:rsid w:val="004D4252"/>
    <w:rsid w:val="004D4487"/>
    <w:rsid w:val="004D44BB"/>
    <w:rsid w:val="004D4678"/>
    <w:rsid w:val="004D4770"/>
    <w:rsid w:val="004D529F"/>
    <w:rsid w:val="004D549A"/>
    <w:rsid w:val="004D5697"/>
    <w:rsid w:val="004D5948"/>
    <w:rsid w:val="004D5B3E"/>
    <w:rsid w:val="004D5DC1"/>
    <w:rsid w:val="004D60E8"/>
    <w:rsid w:val="004D6126"/>
    <w:rsid w:val="004D6219"/>
    <w:rsid w:val="004D6911"/>
    <w:rsid w:val="004D6961"/>
    <w:rsid w:val="004D6E4B"/>
    <w:rsid w:val="004D6E6E"/>
    <w:rsid w:val="004D6FCF"/>
    <w:rsid w:val="004D6FF1"/>
    <w:rsid w:val="004D7216"/>
    <w:rsid w:val="004D7357"/>
    <w:rsid w:val="004D777C"/>
    <w:rsid w:val="004D794F"/>
    <w:rsid w:val="004D7C05"/>
    <w:rsid w:val="004D7C49"/>
    <w:rsid w:val="004D7F03"/>
    <w:rsid w:val="004D7FD9"/>
    <w:rsid w:val="004E0176"/>
    <w:rsid w:val="004E03A5"/>
    <w:rsid w:val="004E0730"/>
    <w:rsid w:val="004E0B96"/>
    <w:rsid w:val="004E0ECC"/>
    <w:rsid w:val="004E1327"/>
    <w:rsid w:val="004E1B61"/>
    <w:rsid w:val="004E1BC0"/>
    <w:rsid w:val="004E1C99"/>
    <w:rsid w:val="004E1CC0"/>
    <w:rsid w:val="004E1D5B"/>
    <w:rsid w:val="004E2040"/>
    <w:rsid w:val="004E20AD"/>
    <w:rsid w:val="004E2398"/>
    <w:rsid w:val="004E25BD"/>
    <w:rsid w:val="004E276C"/>
    <w:rsid w:val="004E2801"/>
    <w:rsid w:val="004E280B"/>
    <w:rsid w:val="004E2BB3"/>
    <w:rsid w:val="004E2F2D"/>
    <w:rsid w:val="004E3092"/>
    <w:rsid w:val="004E35BD"/>
    <w:rsid w:val="004E3698"/>
    <w:rsid w:val="004E3A19"/>
    <w:rsid w:val="004E3DD8"/>
    <w:rsid w:val="004E3E27"/>
    <w:rsid w:val="004E43CC"/>
    <w:rsid w:val="004E453D"/>
    <w:rsid w:val="004E48F3"/>
    <w:rsid w:val="004E497F"/>
    <w:rsid w:val="004E52FF"/>
    <w:rsid w:val="004E55FA"/>
    <w:rsid w:val="004E583C"/>
    <w:rsid w:val="004E5FA8"/>
    <w:rsid w:val="004E62FA"/>
    <w:rsid w:val="004E6326"/>
    <w:rsid w:val="004E651D"/>
    <w:rsid w:val="004E6538"/>
    <w:rsid w:val="004E6696"/>
    <w:rsid w:val="004E6AF4"/>
    <w:rsid w:val="004E6CDA"/>
    <w:rsid w:val="004E6DC1"/>
    <w:rsid w:val="004E6EA6"/>
    <w:rsid w:val="004E70D5"/>
    <w:rsid w:val="004E70DD"/>
    <w:rsid w:val="004E727A"/>
    <w:rsid w:val="004E73A4"/>
    <w:rsid w:val="004E742A"/>
    <w:rsid w:val="004E752F"/>
    <w:rsid w:val="004E7C62"/>
    <w:rsid w:val="004E7D33"/>
    <w:rsid w:val="004F0DBB"/>
    <w:rsid w:val="004F1387"/>
    <w:rsid w:val="004F1572"/>
    <w:rsid w:val="004F1DC3"/>
    <w:rsid w:val="004F1F1A"/>
    <w:rsid w:val="004F1FC1"/>
    <w:rsid w:val="004F2281"/>
    <w:rsid w:val="004F27B0"/>
    <w:rsid w:val="004F2875"/>
    <w:rsid w:val="004F29A7"/>
    <w:rsid w:val="004F2BF4"/>
    <w:rsid w:val="004F2DFA"/>
    <w:rsid w:val="004F2F36"/>
    <w:rsid w:val="004F2F44"/>
    <w:rsid w:val="004F327A"/>
    <w:rsid w:val="004F32D2"/>
    <w:rsid w:val="004F350F"/>
    <w:rsid w:val="004F365F"/>
    <w:rsid w:val="004F39A7"/>
    <w:rsid w:val="004F3B56"/>
    <w:rsid w:val="004F3C65"/>
    <w:rsid w:val="004F3DAD"/>
    <w:rsid w:val="004F4530"/>
    <w:rsid w:val="004F45C3"/>
    <w:rsid w:val="004F4BD3"/>
    <w:rsid w:val="004F5137"/>
    <w:rsid w:val="004F5358"/>
    <w:rsid w:val="004F563E"/>
    <w:rsid w:val="004F5CFD"/>
    <w:rsid w:val="004F5FED"/>
    <w:rsid w:val="004F6038"/>
    <w:rsid w:val="004F608F"/>
    <w:rsid w:val="004F626A"/>
    <w:rsid w:val="004F667A"/>
    <w:rsid w:val="004F66D8"/>
    <w:rsid w:val="004F68BA"/>
    <w:rsid w:val="004F6AA8"/>
    <w:rsid w:val="004F6D41"/>
    <w:rsid w:val="004F6E5C"/>
    <w:rsid w:val="004F766D"/>
    <w:rsid w:val="004F7AC7"/>
    <w:rsid w:val="004F7F35"/>
    <w:rsid w:val="0050040D"/>
    <w:rsid w:val="0050045F"/>
    <w:rsid w:val="00500736"/>
    <w:rsid w:val="0050094C"/>
    <w:rsid w:val="00500B0A"/>
    <w:rsid w:val="00500BC8"/>
    <w:rsid w:val="00500EA7"/>
    <w:rsid w:val="00501064"/>
    <w:rsid w:val="005010B8"/>
    <w:rsid w:val="00501664"/>
    <w:rsid w:val="005016CF"/>
    <w:rsid w:val="005019F8"/>
    <w:rsid w:val="00501A49"/>
    <w:rsid w:val="00501D5E"/>
    <w:rsid w:val="00501F43"/>
    <w:rsid w:val="0050200D"/>
    <w:rsid w:val="005025BC"/>
    <w:rsid w:val="0050261C"/>
    <w:rsid w:val="00502704"/>
    <w:rsid w:val="00502760"/>
    <w:rsid w:val="005029DF"/>
    <w:rsid w:val="00502BCB"/>
    <w:rsid w:val="005030FA"/>
    <w:rsid w:val="00503406"/>
    <w:rsid w:val="00503990"/>
    <w:rsid w:val="00503BA8"/>
    <w:rsid w:val="00503C84"/>
    <w:rsid w:val="00503DF8"/>
    <w:rsid w:val="00503F44"/>
    <w:rsid w:val="005040DD"/>
    <w:rsid w:val="00504B45"/>
    <w:rsid w:val="00504B66"/>
    <w:rsid w:val="00504CC1"/>
    <w:rsid w:val="00504EF9"/>
    <w:rsid w:val="00505184"/>
    <w:rsid w:val="0050537B"/>
    <w:rsid w:val="00505430"/>
    <w:rsid w:val="0050545A"/>
    <w:rsid w:val="00505A31"/>
    <w:rsid w:val="00505BB9"/>
    <w:rsid w:val="00505FC9"/>
    <w:rsid w:val="0050611C"/>
    <w:rsid w:val="005061D1"/>
    <w:rsid w:val="005064FB"/>
    <w:rsid w:val="0050699A"/>
    <w:rsid w:val="00506FF5"/>
    <w:rsid w:val="00507070"/>
    <w:rsid w:val="00507473"/>
    <w:rsid w:val="0050750F"/>
    <w:rsid w:val="00507637"/>
    <w:rsid w:val="005077FD"/>
    <w:rsid w:val="00507BB9"/>
    <w:rsid w:val="00507CFD"/>
    <w:rsid w:val="00510144"/>
    <w:rsid w:val="0051057E"/>
    <w:rsid w:val="00510688"/>
    <w:rsid w:val="0051079B"/>
    <w:rsid w:val="0051090B"/>
    <w:rsid w:val="00510B79"/>
    <w:rsid w:val="00510CC5"/>
    <w:rsid w:val="005114A5"/>
    <w:rsid w:val="005115A4"/>
    <w:rsid w:val="005116C9"/>
    <w:rsid w:val="005119BE"/>
    <w:rsid w:val="00511C2C"/>
    <w:rsid w:val="00511DB4"/>
    <w:rsid w:val="00511FF0"/>
    <w:rsid w:val="0051281F"/>
    <w:rsid w:val="0051293F"/>
    <w:rsid w:val="00512AF6"/>
    <w:rsid w:val="00512CFF"/>
    <w:rsid w:val="00512D9F"/>
    <w:rsid w:val="005130CB"/>
    <w:rsid w:val="005136BD"/>
    <w:rsid w:val="005138C5"/>
    <w:rsid w:val="005138DE"/>
    <w:rsid w:val="0051395F"/>
    <w:rsid w:val="00513A1D"/>
    <w:rsid w:val="00513A8F"/>
    <w:rsid w:val="0051403D"/>
    <w:rsid w:val="0051439E"/>
    <w:rsid w:val="00514448"/>
    <w:rsid w:val="00514B35"/>
    <w:rsid w:val="00515044"/>
    <w:rsid w:val="0051552B"/>
    <w:rsid w:val="00515FCE"/>
    <w:rsid w:val="00516245"/>
    <w:rsid w:val="0051662B"/>
    <w:rsid w:val="00516645"/>
    <w:rsid w:val="0051691B"/>
    <w:rsid w:val="00516AE2"/>
    <w:rsid w:val="00516D74"/>
    <w:rsid w:val="0051711C"/>
    <w:rsid w:val="005171BE"/>
    <w:rsid w:val="0051746E"/>
    <w:rsid w:val="005177D5"/>
    <w:rsid w:val="00517943"/>
    <w:rsid w:val="00517961"/>
    <w:rsid w:val="00517A2F"/>
    <w:rsid w:val="00517F38"/>
    <w:rsid w:val="00517FBC"/>
    <w:rsid w:val="0052006A"/>
    <w:rsid w:val="0052019D"/>
    <w:rsid w:val="0052061A"/>
    <w:rsid w:val="00520E06"/>
    <w:rsid w:val="00520E94"/>
    <w:rsid w:val="00520F69"/>
    <w:rsid w:val="0052112B"/>
    <w:rsid w:val="005213C7"/>
    <w:rsid w:val="00521CDA"/>
    <w:rsid w:val="00521F0A"/>
    <w:rsid w:val="005220BD"/>
    <w:rsid w:val="005226E4"/>
    <w:rsid w:val="005228DE"/>
    <w:rsid w:val="005230A5"/>
    <w:rsid w:val="005234A9"/>
    <w:rsid w:val="005235D4"/>
    <w:rsid w:val="00523AB0"/>
    <w:rsid w:val="00523C4E"/>
    <w:rsid w:val="00524137"/>
    <w:rsid w:val="005246E2"/>
    <w:rsid w:val="00524AA8"/>
    <w:rsid w:val="00524D2A"/>
    <w:rsid w:val="00524DAF"/>
    <w:rsid w:val="00525044"/>
    <w:rsid w:val="00525772"/>
    <w:rsid w:val="005257A6"/>
    <w:rsid w:val="00525C36"/>
    <w:rsid w:val="00525F2D"/>
    <w:rsid w:val="00526A69"/>
    <w:rsid w:val="00526C27"/>
    <w:rsid w:val="00526C36"/>
    <w:rsid w:val="00526FD8"/>
    <w:rsid w:val="005271B6"/>
    <w:rsid w:val="005272F7"/>
    <w:rsid w:val="005274E7"/>
    <w:rsid w:val="005279F6"/>
    <w:rsid w:val="0053089C"/>
    <w:rsid w:val="0053092A"/>
    <w:rsid w:val="00530941"/>
    <w:rsid w:val="00530BBC"/>
    <w:rsid w:val="00530BE4"/>
    <w:rsid w:val="00530CC5"/>
    <w:rsid w:val="00530E50"/>
    <w:rsid w:val="00530E86"/>
    <w:rsid w:val="0053140A"/>
    <w:rsid w:val="0053157E"/>
    <w:rsid w:val="00531C52"/>
    <w:rsid w:val="00531C53"/>
    <w:rsid w:val="00531C84"/>
    <w:rsid w:val="00531CBF"/>
    <w:rsid w:val="00531CE0"/>
    <w:rsid w:val="00531F2B"/>
    <w:rsid w:val="00532047"/>
    <w:rsid w:val="005321E7"/>
    <w:rsid w:val="0053270F"/>
    <w:rsid w:val="0053287C"/>
    <w:rsid w:val="00532B16"/>
    <w:rsid w:val="00532B3B"/>
    <w:rsid w:val="005333CC"/>
    <w:rsid w:val="005334FF"/>
    <w:rsid w:val="0053365C"/>
    <w:rsid w:val="00533914"/>
    <w:rsid w:val="00533B3C"/>
    <w:rsid w:val="00533F7E"/>
    <w:rsid w:val="00534801"/>
    <w:rsid w:val="00534B4C"/>
    <w:rsid w:val="00534DA1"/>
    <w:rsid w:val="00535406"/>
    <w:rsid w:val="0053551D"/>
    <w:rsid w:val="005355C4"/>
    <w:rsid w:val="00535608"/>
    <w:rsid w:val="00535B84"/>
    <w:rsid w:val="00535E31"/>
    <w:rsid w:val="005361BC"/>
    <w:rsid w:val="005365D7"/>
    <w:rsid w:val="005366AA"/>
    <w:rsid w:val="00536EB5"/>
    <w:rsid w:val="005373C0"/>
    <w:rsid w:val="0053743C"/>
    <w:rsid w:val="00537528"/>
    <w:rsid w:val="00537C2E"/>
    <w:rsid w:val="00537DCC"/>
    <w:rsid w:val="00537F98"/>
    <w:rsid w:val="0054002F"/>
    <w:rsid w:val="00540171"/>
    <w:rsid w:val="005402F3"/>
    <w:rsid w:val="005403EC"/>
    <w:rsid w:val="005404F9"/>
    <w:rsid w:val="005405E7"/>
    <w:rsid w:val="00540B05"/>
    <w:rsid w:val="00540F47"/>
    <w:rsid w:val="0054126C"/>
    <w:rsid w:val="005413BB"/>
    <w:rsid w:val="0054199B"/>
    <w:rsid w:val="00541B00"/>
    <w:rsid w:val="00541B07"/>
    <w:rsid w:val="00541D7B"/>
    <w:rsid w:val="00541D8D"/>
    <w:rsid w:val="00541FD3"/>
    <w:rsid w:val="0054225D"/>
    <w:rsid w:val="00542280"/>
    <w:rsid w:val="005423C1"/>
    <w:rsid w:val="00542515"/>
    <w:rsid w:val="0054253E"/>
    <w:rsid w:val="00542540"/>
    <w:rsid w:val="00542938"/>
    <w:rsid w:val="00542BEE"/>
    <w:rsid w:val="00542D8C"/>
    <w:rsid w:val="00543034"/>
    <w:rsid w:val="0054305E"/>
    <w:rsid w:val="005434A7"/>
    <w:rsid w:val="0054370A"/>
    <w:rsid w:val="005437A0"/>
    <w:rsid w:val="00543CF2"/>
    <w:rsid w:val="00543E5C"/>
    <w:rsid w:val="00543FB9"/>
    <w:rsid w:val="0054468D"/>
    <w:rsid w:val="00544925"/>
    <w:rsid w:val="00544EC8"/>
    <w:rsid w:val="00544FFA"/>
    <w:rsid w:val="0054535E"/>
    <w:rsid w:val="00545519"/>
    <w:rsid w:val="00545837"/>
    <w:rsid w:val="00545915"/>
    <w:rsid w:val="00545BEA"/>
    <w:rsid w:val="00545E63"/>
    <w:rsid w:val="00545F1E"/>
    <w:rsid w:val="00545F4E"/>
    <w:rsid w:val="005463F8"/>
    <w:rsid w:val="005465D8"/>
    <w:rsid w:val="005467B3"/>
    <w:rsid w:val="00546A55"/>
    <w:rsid w:val="00547395"/>
    <w:rsid w:val="00547623"/>
    <w:rsid w:val="005477C6"/>
    <w:rsid w:val="0054781F"/>
    <w:rsid w:val="0054783D"/>
    <w:rsid w:val="00547988"/>
    <w:rsid w:val="00547AAC"/>
    <w:rsid w:val="00547B1A"/>
    <w:rsid w:val="00547BAE"/>
    <w:rsid w:val="00547BBD"/>
    <w:rsid w:val="00550004"/>
    <w:rsid w:val="0055012F"/>
    <w:rsid w:val="00550260"/>
    <w:rsid w:val="005504AA"/>
    <w:rsid w:val="0055068E"/>
    <w:rsid w:val="00550703"/>
    <w:rsid w:val="00550F42"/>
    <w:rsid w:val="00550F7E"/>
    <w:rsid w:val="005514DD"/>
    <w:rsid w:val="00551977"/>
    <w:rsid w:val="005519B7"/>
    <w:rsid w:val="005519D4"/>
    <w:rsid w:val="00552487"/>
    <w:rsid w:val="00552626"/>
    <w:rsid w:val="00552CB9"/>
    <w:rsid w:val="0055358B"/>
    <w:rsid w:val="0055386B"/>
    <w:rsid w:val="00553D58"/>
    <w:rsid w:val="00553F66"/>
    <w:rsid w:val="00554138"/>
    <w:rsid w:val="0055429B"/>
    <w:rsid w:val="00554367"/>
    <w:rsid w:val="00554580"/>
    <w:rsid w:val="00554B6E"/>
    <w:rsid w:val="00554C72"/>
    <w:rsid w:val="00554D24"/>
    <w:rsid w:val="00554E8B"/>
    <w:rsid w:val="00554F04"/>
    <w:rsid w:val="005552DE"/>
    <w:rsid w:val="005553E7"/>
    <w:rsid w:val="0055542A"/>
    <w:rsid w:val="00555AE9"/>
    <w:rsid w:val="00555F47"/>
    <w:rsid w:val="00555F79"/>
    <w:rsid w:val="00556034"/>
    <w:rsid w:val="00556679"/>
    <w:rsid w:val="00556754"/>
    <w:rsid w:val="00556888"/>
    <w:rsid w:val="00556CB6"/>
    <w:rsid w:val="00556CC5"/>
    <w:rsid w:val="00556D6E"/>
    <w:rsid w:val="00556FA6"/>
    <w:rsid w:val="0055727A"/>
    <w:rsid w:val="00557464"/>
    <w:rsid w:val="00557A9B"/>
    <w:rsid w:val="00557CA7"/>
    <w:rsid w:val="00557D30"/>
    <w:rsid w:val="005601C0"/>
    <w:rsid w:val="0056042D"/>
    <w:rsid w:val="00560493"/>
    <w:rsid w:val="00560905"/>
    <w:rsid w:val="00560B34"/>
    <w:rsid w:val="00560E11"/>
    <w:rsid w:val="00560E25"/>
    <w:rsid w:val="00560EFE"/>
    <w:rsid w:val="00560FB8"/>
    <w:rsid w:val="005610BA"/>
    <w:rsid w:val="005617BA"/>
    <w:rsid w:val="0056184D"/>
    <w:rsid w:val="005618F9"/>
    <w:rsid w:val="00561988"/>
    <w:rsid w:val="00561D4D"/>
    <w:rsid w:val="00562001"/>
    <w:rsid w:val="0056289B"/>
    <w:rsid w:val="00562C62"/>
    <w:rsid w:val="00562E00"/>
    <w:rsid w:val="00562E0A"/>
    <w:rsid w:val="00562F1A"/>
    <w:rsid w:val="0056303A"/>
    <w:rsid w:val="0056312E"/>
    <w:rsid w:val="005634E5"/>
    <w:rsid w:val="00563584"/>
    <w:rsid w:val="0056399A"/>
    <w:rsid w:val="00563A60"/>
    <w:rsid w:val="005645DC"/>
    <w:rsid w:val="00564C99"/>
    <w:rsid w:val="0056540D"/>
    <w:rsid w:val="00565750"/>
    <w:rsid w:val="005657F1"/>
    <w:rsid w:val="00565927"/>
    <w:rsid w:val="00565A1F"/>
    <w:rsid w:val="0056653C"/>
    <w:rsid w:val="00566886"/>
    <w:rsid w:val="005668A8"/>
    <w:rsid w:val="00566AB3"/>
    <w:rsid w:val="00566D8B"/>
    <w:rsid w:val="00566F33"/>
    <w:rsid w:val="00567129"/>
    <w:rsid w:val="00567312"/>
    <w:rsid w:val="005675F3"/>
    <w:rsid w:val="005677EA"/>
    <w:rsid w:val="00570525"/>
    <w:rsid w:val="00570788"/>
    <w:rsid w:val="00570956"/>
    <w:rsid w:val="005712F1"/>
    <w:rsid w:val="005712F8"/>
    <w:rsid w:val="005714CF"/>
    <w:rsid w:val="0057160D"/>
    <w:rsid w:val="0057175F"/>
    <w:rsid w:val="00571918"/>
    <w:rsid w:val="00571982"/>
    <w:rsid w:val="00571E05"/>
    <w:rsid w:val="00571E56"/>
    <w:rsid w:val="00571E61"/>
    <w:rsid w:val="00572557"/>
    <w:rsid w:val="005727ED"/>
    <w:rsid w:val="005729FD"/>
    <w:rsid w:val="00572E91"/>
    <w:rsid w:val="005732BB"/>
    <w:rsid w:val="0057355A"/>
    <w:rsid w:val="00573648"/>
    <w:rsid w:val="005736F4"/>
    <w:rsid w:val="005737CC"/>
    <w:rsid w:val="00573D0C"/>
    <w:rsid w:val="00574374"/>
    <w:rsid w:val="0057469E"/>
    <w:rsid w:val="0057498E"/>
    <w:rsid w:val="00574CB3"/>
    <w:rsid w:val="00574CC5"/>
    <w:rsid w:val="00574E83"/>
    <w:rsid w:val="00574EF1"/>
    <w:rsid w:val="0057519A"/>
    <w:rsid w:val="00575351"/>
    <w:rsid w:val="00575E97"/>
    <w:rsid w:val="00575EBC"/>
    <w:rsid w:val="00576040"/>
    <w:rsid w:val="005762B6"/>
    <w:rsid w:val="00576827"/>
    <w:rsid w:val="005769B0"/>
    <w:rsid w:val="005771E3"/>
    <w:rsid w:val="005771F7"/>
    <w:rsid w:val="005772AD"/>
    <w:rsid w:val="00577588"/>
    <w:rsid w:val="0057758C"/>
    <w:rsid w:val="00577606"/>
    <w:rsid w:val="00577FB5"/>
    <w:rsid w:val="005805E9"/>
    <w:rsid w:val="0058091E"/>
    <w:rsid w:val="00580A72"/>
    <w:rsid w:val="00580B0A"/>
    <w:rsid w:val="0058133D"/>
    <w:rsid w:val="005819C6"/>
    <w:rsid w:val="00581DC1"/>
    <w:rsid w:val="00581E66"/>
    <w:rsid w:val="00581EFB"/>
    <w:rsid w:val="00581FEA"/>
    <w:rsid w:val="00582349"/>
    <w:rsid w:val="00582621"/>
    <w:rsid w:val="00582C01"/>
    <w:rsid w:val="00582E62"/>
    <w:rsid w:val="00582FE3"/>
    <w:rsid w:val="00583043"/>
    <w:rsid w:val="00583375"/>
    <w:rsid w:val="0058394D"/>
    <w:rsid w:val="00583AFE"/>
    <w:rsid w:val="00583C36"/>
    <w:rsid w:val="005840AB"/>
    <w:rsid w:val="005840FF"/>
    <w:rsid w:val="00584759"/>
    <w:rsid w:val="005847A6"/>
    <w:rsid w:val="00584B1F"/>
    <w:rsid w:val="00585644"/>
    <w:rsid w:val="00585773"/>
    <w:rsid w:val="00585BD8"/>
    <w:rsid w:val="00585BFD"/>
    <w:rsid w:val="00585C8E"/>
    <w:rsid w:val="00585F53"/>
    <w:rsid w:val="00585F9C"/>
    <w:rsid w:val="005864BE"/>
    <w:rsid w:val="00586783"/>
    <w:rsid w:val="005868E5"/>
    <w:rsid w:val="00586D69"/>
    <w:rsid w:val="0058716C"/>
    <w:rsid w:val="0058726B"/>
    <w:rsid w:val="00587292"/>
    <w:rsid w:val="00587465"/>
    <w:rsid w:val="005877E7"/>
    <w:rsid w:val="0058790A"/>
    <w:rsid w:val="00587977"/>
    <w:rsid w:val="00587996"/>
    <w:rsid w:val="0059034B"/>
    <w:rsid w:val="00590505"/>
    <w:rsid w:val="00590560"/>
    <w:rsid w:val="005907DF"/>
    <w:rsid w:val="00590836"/>
    <w:rsid w:val="00590F21"/>
    <w:rsid w:val="005910C8"/>
    <w:rsid w:val="005911C3"/>
    <w:rsid w:val="0059150F"/>
    <w:rsid w:val="00591916"/>
    <w:rsid w:val="00591CA2"/>
    <w:rsid w:val="00591D7F"/>
    <w:rsid w:val="00592385"/>
    <w:rsid w:val="005924FD"/>
    <w:rsid w:val="00592528"/>
    <w:rsid w:val="00592D7D"/>
    <w:rsid w:val="005931E1"/>
    <w:rsid w:val="00593235"/>
    <w:rsid w:val="00593B12"/>
    <w:rsid w:val="00593DB3"/>
    <w:rsid w:val="00593F68"/>
    <w:rsid w:val="005943E9"/>
    <w:rsid w:val="00594627"/>
    <w:rsid w:val="005946C5"/>
    <w:rsid w:val="00594992"/>
    <w:rsid w:val="00594A9C"/>
    <w:rsid w:val="00595021"/>
    <w:rsid w:val="00595205"/>
    <w:rsid w:val="0059521A"/>
    <w:rsid w:val="00595619"/>
    <w:rsid w:val="00595B94"/>
    <w:rsid w:val="00595BE9"/>
    <w:rsid w:val="00595EAA"/>
    <w:rsid w:val="00595EDC"/>
    <w:rsid w:val="005960D0"/>
    <w:rsid w:val="00596547"/>
    <w:rsid w:val="00596A79"/>
    <w:rsid w:val="00596CEE"/>
    <w:rsid w:val="00596D21"/>
    <w:rsid w:val="00596D78"/>
    <w:rsid w:val="00596DB0"/>
    <w:rsid w:val="00596DD3"/>
    <w:rsid w:val="00596F0D"/>
    <w:rsid w:val="005970C5"/>
    <w:rsid w:val="005971DD"/>
    <w:rsid w:val="00597783"/>
    <w:rsid w:val="00597AE2"/>
    <w:rsid w:val="00597B24"/>
    <w:rsid w:val="00597B5C"/>
    <w:rsid w:val="005A0452"/>
    <w:rsid w:val="005A060B"/>
    <w:rsid w:val="005A15FF"/>
    <w:rsid w:val="005A24B8"/>
    <w:rsid w:val="005A252D"/>
    <w:rsid w:val="005A264D"/>
    <w:rsid w:val="005A2688"/>
    <w:rsid w:val="005A28F4"/>
    <w:rsid w:val="005A328E"/>
    <w:rsid w:val="005A34BA"/>
    <w:rsid w:val="005A35F9"/>
    <w:rsid w:val="005A3C31"/>
    <w:rsid w:val="005A3D49"/>
    <w:rsid w:val="005A44D8"/>
    <w:rsid w:val="005A456C"/>
    <w:rsid w:val="005A466F"/>
    <w:rsid w:val="005A47ED"/>
    <w:rsid w:val="005A4AF3"/>
    <w:rsid w:val="005A4B1B"/>
    <w:rsid w:val="005A4EF5"/>
    <w:rsid w:val="005A508C"/>
    <w:rsid w:val="005A5117"/>
    <w:rsid w:val="005A5436"/>
    <w:rsid w:val="005A55EB"/>
    <w:rsid w:val="005A5708"/>
    <w:rsid w:val="005A5CB5"/>
    <w:rsid w:val="005A5DED"/>
    <w:rsid w:val="005A60EE"/>
    <w:rsid w:val="005A6251"/>
    <w:rsid w:val="005A6397"/>
    <w:rsid w:val="005A6474"/>
    <w:rsid w:val="005A679D"/>
    <w:rsid w:val="005A6A44"/>
    <w:rsid w:val="005A76AD"/>
    <w:rsid w:val="005A79D8"/>
    <w:rsid w:val="005A7DCC"/>
    <w:rsid w:val="005A7DF8"/>
    <w:rsid w:val="005A7E1E"/>
    <w:rsid w:val="005B028D"/>
    <w:rsid w:val="005B0628"/>
    <w:rsid w:val="005B069A"/>
    <w:rsid w:val="005B090C"/>
    <w:rsid w:val="005B0DF5"/>
    <w:rsid w:val="005B0F93"/>
    <w:rsid w:val="005B10AF"/>
    <w:rsid w:val="005B173C"/>
    <w:rsid w:val="005B1765"/>
    <w:rsid w:val="005B1844"/>
    <w:rsid w:val="005B1B18"/>
    <w:rsid w:val="005B1D3A"/>
    <w:rsid w:val="005B1EB6"/>
    <w:rsid w:val="005B2008"/>
    <w:rsid w:val="005B2060"/>
    <w:rsid w:val="005B2223"/>
    <w:rsid w:val="005B23DB"/>
    <w:rsid w:val="005B2712"/>
    <w:rsid w:val="005B2763"/>
    <w:rsid w:val="005B2B92"/>
    <w:rsid w:val="005B2BA8"/>
    <w:rsid w:val="005B2D22"/>
    <w:rsid w:val="005B2E1C"/>
    <w:rsid w:val="005B2EC0"/>
    <w:rsid w:val="005B30D7"/>
    <w:rsid w:val="005B4512"/>
    <w:rsid w:val="005B489B"/>
    <w:rsid w:val="005B4AB0"/>
    <w:rsid w:val="005B4E84"/>
    <w:rsid w:val="005B4F47"/>
    <w:rsid w:val="005B57AA"/>
    <w:rsid w:val="005B5D76"/>
    <w:rsid w:val="005B5DBD"/>
    <w:rsid w:val="005B5F97"/>
    <w:rsid w:val="005B61DB"/>
    <w:rsid w:val="005B671B"/>
    <w:rsid w:val="005B6A70"/>
    <w:rsid w:val="005B6D23"/>
    <w:rsid w:val="005B6E73"/>
    <w:rsid w:val="005B7180"/>
    <w:rsid w:val="005B7A93"/>
    <w:rsid w:val="005C02FE"/>
    <w:rsid w:val="005C050D"/>
    <w:rsid w:val="005C05C1"/>
    <w:rsid w:val="005C06F3"/>
    <w:rsid w:val="005C07CB"/>
    <w:rsid w:val="005C0D3B"/>
    <w:rsid w:val="005C0D42"/>
    <w:rsid w:val="005C0EC3"/>
    <w:rsid w:val="005C1300"/>
    <w:rsid w:val="005C131C"/>
    <w:rsid w:val="005C13A8"/>
    <w:rsid w:val="005C1513"/>
    <w:rsid w:val="005C1DEB"/>
    <w:rsid w:val="005C1E6F"/>
    <w:rsid w:val="005C1F57"/>
    <w:rsid w:val="005C1FE7"/>
    <w:rsid w:val="005C2151"/>
    <w:rsid w:val="005C275D"/>
    <w:rsid w:val="005C29DC"/>
    <w:rsid w:val="005C2C96"/>
    <w:rsid w:val="005C2FEB"/>
    <w:rsid w:val="005C3261"/>
    <w:rsid w:val="005C362F"/>
    <w:rsid w:val="005C3646"/>
    <w:rsid w:val="005C3686"/>
    <w:rsid w:val="005C3DE2"/>
    <w:rsid w:val="005C3E5F"/>
    <w:rsid w:val="005C3E62"/>
    <w:rsid w:val="005C40AB"/>
    <w:rsid w:val="005C41D7"/>
    <w:rsid w:val="005C4634"/>
    <w:rsid w:val="005C46FB"/>
    <w:rsid w:val="005C492E"/>
    <w:rsid w:val="005C49F3"/>
    <w:rsid w:val="005C4A5A"/>
    <w:rsid w:val="005C4C4C"/>
    <w:rsid w:val="005C4DEE"/>
    <w:rsid w:val="005C5764"/>
    <w:rsid w:val="005C578F"/>
    <w:rsid w:val="005C5978"/>
    <w:rsid w:val="005C61FA"/>
    <w:rsid w:val="005C64B0"/>
    <w:rsid w:val="005C6756"/>
    <w:rsid w:val="005C6DCE"/>
    <w:rsid w:val="005C6EA8"/>
    <w:rsid w:val="005C7076"/>
    <w:rsid w:val="005C7327"/>
    <w:rsid w:val="005C7548"/>
    <w:rsid w:val="005C76B2"/>
    <w:rsid w:val="005C7732"/>
    <w:rsid w:val="005C78A8"/>
    <w:rsid w:val="005C7E77"/>
    <w:rsid w:val="005C7FC8"/>
    <w:rsid w:val="005D0073"/>
    <w:rsid w:val="005D016F"/>
    <w:rsid w:val="005D03A5"/>
    <w:rsid w:val="005D0647"/>
    <w:rsid w:val="005D0693"/>
    <w:rsid w:val="005D0CA1"/>
    <w:rsid w:val="005D0F7C"/>
    <w:rsid w:val="005D1012"/>
    <w:rsid w:val="005D12AE"/>
    <w:rsid w:val="005D1806"/>
    <w:rsid w:val="005D18DF"/>
    <w:rsid w:val="005D1E7C"/>
    <w:rsid w:val="005D20C0"/>
    <w:rsid w:val="005D282D"/>
    <w:rsid w:val="005D2AA6"/>
    <w:rsid w:val="005D2B1D"/>
    <w:rsid w:val="005D2D3D"/>
    <w:rsid w:val="005D30DB"/>
    <w:rsid w:val="005D3307"/>
    <w:rsid w:val="005D3325"/>
    <w:rsid w:val="005D3929"/>
    <w:rsid w:val="005D3B9A"/>
    <w:rsid w:val="005D3C92"/>
    <w:rsid w:val="005D4915"/>
    <w:rsid w:val="005D4929"/>
    <w:rsid w:val="005D4DC5"/>
    <w:rsid w:val="005D53DE"/>
    <w:rsid w:val="005D5630"/>
    <w:rsid w:val="005D5726"/>
    <w:rsid w:val="005D5D0A"/>
    <w:rsid w:val="005D5E31"/>
    <w:rsid w:val="005D5FA5"/>
    <w:rsid w:val="005D60BA"/>
    <w:rsid w:val="005D60C9"/>
    <w:rsid w:val="005D6493"/>
    <w:rsid w:val="005D6583"/>
    <w:rsid w:val="005D66C7"/>
    <w:rsid w:val="005D6ADC"/>
    <w:rsid w:val="005D6CC3"/>
    <w:rsid w:val="005D700B"/>
    <w:rsid w:val="005D7042"/>
    <w:rsid w:val="005D726F"/>
    <w:rsid w:val="005D7305"/>
    <w:rsid w:val="005D75ED"/>
    <w:rsid w:val="005D7C08"/>
    <w:rsid w:val="005D7C6D"/>
    <w:rsid w:val="005D7F25"/>
    <w:rsid w:val="005E0054"/>
    <w:rsid w:val="005E0184"/>
    <w:rsid w:val="005E06D1"/>
    <w:rsid w:val="005E0727"/>
    <w:rsid w:val="005E0876"/>
    <w:rsid w:val="005E090E"/>
    <w:rsid w:val="005E0CD4"/>
    <w:rsid w:val="005E0F8C"/>
    <w:rsid w:val="005E1425"/>
    <w:rsid w:val="005E188F"/>
    <w:rsid w:val="005E1A77"/>
    <w:rsid w:val="005E1EC2"/>
    <w:rsid w:val="005E2375"/>
    <w:rsid w:val="005E2510"/>
    <w:rsid w:val="005E27B3"/>
    <w:rsid w:val="005E2E65"/>
    <w:rsid w:val="005E2EDD"/>
    <w:rsid w:val="005E2F5E"/>
    <w:rsid w:val="005E2F91"/>
    <w:rsid w:val="005E307A"/>
    <w:rsid w:val="005E3255"/>
    <w:rsid w:val="005E3530"/>
    <w:rsid w:val="005E357B"/>
    <w:rsid w:val="005E379A"/>
    <w:rsid w:val="005E380D"/>
    <w:rsid w:val="005E3932"/>
    <w:rsid w:val="005E39CF"/>
    <w:rsid w:val="005E3A2E"/>
    <w:rsid w:val="005E3A3B"/>
    <w:rsid w:val="005E3B1F"/>
    <w:rsid w:val="005E3B9F"/>
    <w:rsid w:val="005E3C10"/>
    <w:rsid w:val="005E3D5E"/>
    <w:rsid w:val="005E3EC0"/>
    <w:rsid w:val="005E3F46"/>
    <w:rsid w:val="005E43BC"/>
    <w:rsid w:val="005E4720"/>
    <w:rsid w:val="005E4A19"/>
    <w:rsid w:val="005E4A93"/>
    <w:rsid w:val="005E4CE9"/>
    <w:rsid w:val="005E510A"/>
    <w:rsid w:val="005E53E5"/>
    <w:rsid w:val="005E54CF"/>
    <w:rsid w:val="005E55E6"/>
    <w:rsid w:val="005E5A2F"/>
    <w:rsid w:val="005E5ADA"/>
    <w:rsid w:val="005E5D27"/>
    <w:rsid w:val="005E5DDC"/>
    <w:rsid w:val="005E5EF9"/>
    <w:rsid w:val="005E634F"/>
    <w:rsid w:val="005E67EA"/>
    <w:rsid w:val="005E68DC"/>
    <w:rsid w:val="005E7593"/>
    <w:rsid w:val="005E75D8"/>
    <w:rsid w:val="005F00BA"/>
    <w:rsid w:val="005F01A0"/>
    <w:rsid w:val="005F027C"/>
    <w:rsid w:val="005F0714"/>
    <w:rsid w:val="005F0724"/>
    <w:rsid w:val="005F075A"/>
    <w:rsid w:val="005F116F"/>
    <w:rsid w:val="005F11DF"/>
    <w:rsid w:val="005F11F6"/>
    <w:rsid w:val="005F14EF"/>
    <w:rsid w:val="005F1927"/>
    <w:rsid w:val="005F2392"/>
    <w:rsid w:val="005F256D"/>
    <w:rsid w:val="005F2F79"/>
    <w:rsid w:val="005F3247"/>
    <w:rsid w:val="005F33ED"/>
    <w:rsid w:val="005F3A67"/>
    <w:rsid w:val="005F3B9E"/>
    <w:rsid w:val="005F3C03"/>
    <w:rsid w:val="005F3C79"/>
    <w:rsid w:val="005F3D22"/>
    <w:rsid w:val="005F3DBA"/>
    <w:rsid w:val="005F40F8"/>
    <w:rsid w:val="005F44C9"/>
    <w:rsid w:val="005F4523"/>
    <w:rsid w:val="005F4543"/>
    <w:rsid w:val="005F4732"/>
    <w:rsid w:val="005F48D3"/>
    <w:rsid w:val="005F4944"/>
    <w:rsid w:val="005F4CB0"/>
    <w:rsid w:val="005F4CBD"/>
    <w:rsid w:val="005F4D79"/>
    <w:rsid w:val="005F5685"/>
    <w:rsid w:val="005F58CE"/>
    <w:rsid w:val="005F5ECF"/>
    <w:rsid w:val="005F62E2"/>
    <w:rsid w:val="005F6332"/>
    <w:rsid w:val="005F6732"/>
    <w:rsid w:val="005F694D"/>
    <w:rsid w:val="005F6D94"/>
    <w:rsid w:val="005F6EB2"/>
    <w:rsid w:val="005F7627"/>
    <w:rsid w:val="005F7BA5"/>
    <w:rsid w:val="005F7BC1"/>
    <w:rsid w:val="005F7DDA"/>
    <w:rsid w:val="00600184"/>
    <w:rsid w:val="0060046D"/>
    <w:rsid w:val="00600530"/>
    <w:rsid w:val="00600568"/>
    <w:rsid w:val="0060091F"/>
    <w:rsid w:val="00600A41"/>
    <w:rsid w:val="00600E3F"/>
    <w:rsid w:val="00600FA2"/>
    <w:rsid w:val="006010EE"/>
    <w:rsid w:val="006014DC"/>
    <w:rsid w:val="006018C0"/>
    <w:rsid w:val="0060195C"/>
    <w:rsid w:val="006019C3"/>
    <w:rsid w:val="00601E09"/>
    <w:rsid w:val="00601E7B"/>
    <w:rsid w:val="00602084"/>
    <w:rsid w:val="0060210A"/>
    <w:rsid w:val="00602238"/>
    <w:rsid w:val="006024C1"/>
    <w:rsid w:val="006025D3"/>
    <w:rsid w:val="0060270A"/>
    <w:rsid w:val="006029E0"/>
    <w:rsid w:val="00602BFB"/>
    <w:rsid w:val="00602C11"/>
    <w:rsid w:val="00602E02"/>
    <w:rsid w:val="006032FE"/>
    <w:rsid w:val="0060360A"/>
    <w:rsid w:val="00603785"/>
    <w:rsid w:val="006037FA"/>
    <w:rsid w:val="00603C62"/>
    <w:rsid w:val="00603E58"/>
    <w:rsid w:val="00604312"/>
    <w:rsid w:val="00604572"/>
    <w:rsid w:val="006045AC"/>
    <w:rsid w:val="00604BB3"/>
    <w:rsid w:val="00604E1E"/>
    <w:rsid w:val="0060513F"/>
    <w:rsid w:val="006054E2"/>
    <w:rsid w:val="00605509"/>
    <w:rsid w:val="00605730"/>
    <w:rsid w:val="00605A34"/>
    <w:rsid w:val="00605A37"/>
    <w:rsid w:val="00605B90"/>
    <w:rsid w:val="00605CD5"/>
    <w:rsid w:val="00605EC8"/>
    <w:rsid w:val="00605FDB"/>
    <w:rsid w:val="00606233"/>
    <w:rsid w:val="00606263"/>
    <w:rsid w:val="00606975"/>
    <w:rsid w:val="00606B8B"/>
    <w:rsid w:val="00606BD7"/>
    <w:rsid w:val="00606DFD"/>
    <w:rsid w:val="0060735D"/>
    <w:rsid w:val="006076B4"/>
    <w:rsid w:val="00607830"/>
    <w:rsid w:val="00607CC4"/>
    <w:rsid w:val="00607F4D"/>
    <w:rsid w:val="00610242"/>
    <w:rsid w:val="00610298"/>
    <w:rsid w:val="0061040C"/>
    <w:rsid w:val="00610469"/>
    <w:rsid w:val="00610BA7"/>
    <w:rsid w:val="00610BF0"/>
    <w:rsid w:val="00610C7D"/>
    <w:rsid w:val="00610D60"/>
    <w:rsid w:val="00610D71"/>
    <w:rsid w:val="00610EF8"/>
    <w:rsid w:val="00611016"/>
    <w:rsid w:val="00611545"/>
    <w:rsid w:val="006115F1"/>
    <w:rsid w:val="0061192F"/>
    <w:rsid w:val="006123B4"/>
    <w:rsid w:val="0061247F"/>
    <w:rsid w:val="00612879"/>
    <w:rsid w:val="00612C9D"/>
    <w:rsid w:val="00612D29"/>
    <w:rsid w:val="00613729"/>
    <w:rsid w:val="00613761"/>
    <w:rsid w:val="00613832"/>
    <w:rsid w:val="0061396C"/>
    <w:rsid w:val="006139D0"/>
    <w:rsid w:val="00613A24"/>
    <w:rsid w:val="00613E6B"/>
    <w:rsid w:val="00614437"/>
    <w:rsid w:val="00614A8F"/>
    <w:rsid w:val="00614FFE"/>
    <w:rsid w:val="00615074"/>
    <w:rsid w:val="0061526F"/>
    <w:rsid w:val="00615618"/>
    <w:rsid w:val="006158B8"/>
    <w:rsid w:val="006159A3"/>
    <w:rsid w:val="00615A9F"/>
    <w:rsid w:val="00615BF4"/>
    <w:rsid w:val="0061601B"/>
    <w:rsid w:val="0061668B"/>
    <w:rsid w:val="006167D3"/>
    <w:rsid w:val="00616DA1"/>
    <w:rsid w:val="00616F1B"/>
    <w:rsid w:val="00616F4C"/>
    <w:rsid w:val="006170F6"/>
    <w:rsid w:val="0061785E"/>
    <w:rsid w:val="00617A06"/>
    <w:rsid w:val="00617A0E"/>
    <w:rsid w:val="0062046A"/>
    <w:rsid w:val="00620827"/>
    <w:rsid w:val="00620B02"/>
    <w:rsid w:val="00620DCD"/>
    <w:rsid w:val="006210DE"/>
    <w:rsid w:val="0062110C"/>
    <w:rsid w:val="00621279"/>
    <w:rsid w:val="0062129D"/>
    <w:rsid w:val="0062144E"/>
    <w:rsid w:val="00621A50"/>
    <w:rsid w:val="00621B39"/>
    <w:rsid w:val="00621B6E"/>
    <w:rsid w:val="00621D30"/>
    <w:rsid w:val="00621E8D"/>
    <w:rsid w:val="00622097"/>
    <w:rsid w:val="00622187"/>
    <w:rsid w:val="00622390"/>
    <w:rsid w:val="006224CD"/>
    <w:rsid w:val="006224E2"/>
    <w:rsid w:val="00622755"/>
    <w:rsid w:val="00622C17"/>
    <w:rsid w:val="00623106"/>
    <w:rsid w:val="0062346C"/>
    <w:rsid w:val="00623962"/>
    <w:rsid w:val="00623CF0"/>
    <w:rsid w:val="00623EA1"/>
    <w:rsid w:val="00623FE3"/>
    <w:rsid w:val="00624007"/>
    <w:rsid w:val="00624058"/>
    <w:rsid w:val="0062446D"/>
    <w:rsid w:val="00624CA7"/>
    <w:rsid w:val="0062501F"/>
    <w:rsid w:val="00625208"/>
    <w:rsid w:val="0062532C"/>
    <w:rsid w:val="00625429"/>
    <w:rsid w:val="0062551E"/>
    <w:rsid w:val="006258A2"/>
    <w:rsid w:val="0062595A"/>
    <w:rsid w:val="00625B27"/>
    <w:rsid w:val="00625DC8"/>
    <w:rsid w:val="00625FE1"/>
    <w:rsid w:val="00626277"/>
    <w:rsid w:val="006269BB"/>
    <w:rsid w:val="00626B75"/>
    <w:rsid w:val="00626BE9"/>
    <w:rsid w:val="00626C6B"/>
    <w:rsid w:val="00626E6A"/>
    <w:rsid w:val="00626EC4"/>
    <w:rsid w:val="0062700E"/>
    <w:rsid w:val="006273E3"/>
    <w:rsid w:val="00627A33"/>
    <w:rsid w:val="00627B17"/>
    <w:rsid w:val="00627B77"/>
    <w:rsid w:val="006300DA"/>
    <w:rsid w:val="00630163"/>
    <w:rsid w:val="006304EA"/>
    <w:rsid w:val="00630827"/>
    <w:rsid w:val="006309EC"/>
    <w:rsid w:val="00630A45"/>
    <w:rsid w:val="00630BC3"/>
    <w:rsid w:val="0063123A"/>
    <w:rsid w:val="006314AE"/>
    <w:rsid w:val="006315E2"/>
    <w:rsid w:val="00631824"/>
    <w:rsid w:val="00631BC1"/>
    <w:rsid w:val="00631C40"/>
    <w:rsid w:val="00631C42"/>
    <w:rsid w:val="00631C85"/>
    <w:rsid w:val="0063207E"/>
    <w:rsid w:val="00632374"/>
    <w:rsid w:val="006326B0"/>
    <w:rsid w:val="00632806"/>
    <w:rsid w:val="006328B6"/>
    <w:rsid w:val="00632C46"/>
    <w:rsid w:val="00632D50"/>
    <w:rsid w:val="00633508"/>
    <w:rsid w:val="0063385E"/>
    <w:rsid w:val="00633963"/>
    <w:rsid w:val="00633A27"/>
    <w:rsid w:val="00633AF3"/>
    <w:rsid w:val="00633B3C"/>
    <w:rsid w:val="00633C28"/>
    <w:rsid w:val="00633C30"/>
    <w:rsid w:val="00633EB4"/>
    <w:rsid w:val="006342F1"/>
    <w:rsid w:val="00634484"/>
    <w:rsid w:val="0063471E"/>
    <w:rsid w:val="006347BF"/>
    <w:rsid w:val="00634871"/>
    <w:rsid w:val="00634EF3"/>
    <w:rsid w:val="0063516F"/>
    <w:rsid w:val="006352B9"/>
    <w:rsid w:val="006355D6"/>
    <w:rsid w:val="00635C51"/>
    <w:rsid w:val="00635C9F"/>
    <w:rsid w:val="00635DD2"/>
    <w:rsid w:val="00635E40"/>
    <w:rsid w:val="00636C15"/>
    <w:rsid w:val="00636CB0"/>
    <w:rsid w:val="00636CC4"/>
    <w:rsid w:val="006375D4"/>
    <w:rsid w:val="00637949"/>
    <w:rsid w:val="00637AB3"/>
    <w:rsid w:val="00637AF6"/>
    <w:rsid w:val="00637B61"/>
    <w:rsid w:val="00637C69"/>
    <w:rsid w:val="00640054"/>
    <w:rsid w:val="006400AA"/>
    <w:rsid w:val="00640322"/>
    <w:rsid w:val="0064032B"/>
    <w:rsid w:val="00640639"/>
    <w:rsid w:val="006409FF"/>
    <w:rsid w:val="00640D9E"/>
    <w:rsid w:val="00641077"/>
    <w:rsid w:val="00641671"/>
    <w:rsid w:val="00641B6E"/>
    <w:rsid w:val="006422F5"/>
    <w:rsid w:val="00642612"/>
    <w:rsid w:val="00642819"/>
    <w:rsid w:val="00642D67"/>
    <w:rsid w:val="0064307E"/>
    <w:rsid w:val="006437BB"/>
    <w:rsid w:val="00643A7B"/>
    <w:rsid w:val="00643AA0"/>
    <w:rsid w:val="00643E54"/>
    <w:rsid w:val="006441C9"/>
    <w:rsid w:val="006442C3"/>
    <w:rsid w:val="0064432C"/>
    <w:rsid w:val="006446BA"/>
    <w:rsid w:val="006447A2"/>
    <w:rsid w:val="00644893"/>
    <w:rsid w:val="00644A0E"/>
    <w:rsid w:val="00644A74"/>
    <w:rsid w:val="00644B6C"/>
    <w:rsid w:val="00644CDE"/>
    <w:rsid w:val="00644D92"/>
    <w:rsid w:val="00644DF7"/>
    <w:rsid w:val="00644FD3"/>
    <w:rsid w:val="006457F8"/>
    <w:rsid w:val="00645B22"/>
    <w:rsid w:val="00645B57"/>
    <w:rsid w:val="00645ECA"/>
    <w:rsid w:val="0064604F"/>
    <w:rsid w:val="006461D9"/>
    <w:rsid w:val="00646727"/>
    <w:rsid w:val="00646A42"/>
    <w:rsid w:val="00646DE1"/>
    <w:rsid w:val="00646E43"/>
    <w:rsid w:val="00646EC2"/>
    <w:rsid w:val="00646F28"/>
    <w:rsid w:val="00646F5C"/>
    <w:rsid w:val="00647506"/>
    <w:rsid w:val="00647719"/>
    <w:rsid w:val="00647997"/>
    <w:rsid w:val="00647A50"/>
    <w:rsid w:val="00647B8A"/>
    <w:rsid w:val="006500B4"/>
    <w:rsid w:val="00650429"/>
    <w:rsid w:val="00650475"/>
    <w:rsid w:val="006504C7"/>
    <w:rsid w:val="0065075F"/>
    <w:rsid w:val="00650C8A"/>
    <w:rsid w:val="0065105F"/>
    <w:rsid w:val="006511BD"/>
    <w:rsid w:val="006511EC"/>
    <w:rsid w:val="006511EE"/>
    <w:rsid w:val="00651257"/>
    <w:rsid w:val="006516FF"/>
    <w:rsid w:val="00651787"/>
    <w:rsid w:val="0065192B"/>
    <w:rsid w:val="00651C25"/>
    <w:rsid w:val="00651D05"/>
    <w:rsid w:val="00651D55"/>
    <w:rsid w:val="00651DDC"/>
    <w:rsid w:val="0065212B"/>
    <w:rsid w:val="006522A4"/>
    <w:rsid w:val="00652381"/>
    <w:rsid w:val="00652A7B"/>
    <w:rsid w:val="006531B5"/>
    <w:rsid w:val="0065329D"/>
    <w:rsid w:val="0065382D"/>
    <w:rsid w:val="00653903"/>
    <w:rsid w:val="00653A57"/>
    <w:rsid w:val="00653A89"/>
    <w:rsid w:val="00653CA1"/>
    <w:rsid w:val="00653CB1"/>
    <w:rsid w:val="00653F74"/>
    <w:rsid w:val="00653F84"/>
    <w:rsid w:val="006540D2"/>
    <w:rsid w:val="00654202"/>
    <w:rsid w:val="00654BB8"/>
    <w:rsid w:val="00654C60"/>
    <w:rsid w:val="00654EAE"/>
    <w:rsid w:val="00655A8C"/>
    <w:rsid w:val="00655CB2"/>
    <w:rsid w:val="00655CE0"/>
    <w:rsid w:val="00655E8A"/>
    <w:rsid w:val="00656179"/>
    <w:rsid w:val="006564FA"/>
    <w:rsid w:val="00656813"/>
    <w:rsid w:val="00656B10"/>
    <w:rsid w:val="00656BE4"/>
    <w:rsid w:val="00656FE3"/>
    <w:rsid w:val="006570CE"/>
    <w:rsid w:val="00657258"/>
    <w:rsid w:val="006574C4"/>
    <w:rsid w:val="00657AE4"/>
    <w:rsid w:val="00660040"/>
    <w:rsid w:val="006600E3"/>
    <w:rsid w:val="006602FB"/>
    <w:rsid w:val="006603CE"/>
    <w:rsid w:val="006609C9"/>
    <w:rsid w:val="006611E5"/>
    <w:rsid w:val="006614E3"/>
    <w:rsid w:val="00661590"/>
    <w:rsid w:val="00661809"/>
    <w:rsid w:val="00661949"/>
    <w:rsid w:val="006627E6"/>
    <w:rsid w:val="00662B83"/>
    <w:rsid w:val="00662BDD"/>
    <w:rsid w:val="00662DE5"/>
    <w:rsid w:val="00662F14"/>
    <w:rsid w:val="00663247"/>
    <w:rsid w:val="0066388C"/>
    <w:rsid w:val="00663F11"/>
    <w:rsid w:val="006640C0"/>
    <w:rsid w:val="006640FB"/>
    <w:rsid w:val="0066420A"/>
    <w:rsid w:val="0066439B"/>
    <w:rsid w:val="0066498C"/>
    <w:rsid w:val="00664B23"/>
    <w:rsid w:val="00664B89"/>
    <w:rsid w:val="006656AD"/>
    <w:rsid w:val="006659B9"/>
    <w:rsid w:val="00665D38"/>
    <w:rsid w:val="00665E72"/>
    <w:rsid w:val="00666530"/>
    <w:rsid w:val="00666852"/>
    <w:rsid w:val="006669E4"/>
    <w:rsid w:val="00666B54"/>
    <w:rsid w:val="00666C81"/>
    <w:rsid w:val="00666DF4"/>
    <w:rsid w:val="00667088"/>
    <w:rsid w:val="00667385"/>
    <w:rsid w:val="0066788D"/>
    <w:rsid w:val="006678D6"/>
    <w:rsid w:val="00667AB5"/>
    <w:rsid w:val="00667BA1"/>
    <w:rsid w:val="00667C5B"/>
    <w:rsid w:val="00667EFD"/>
    <w:rsid w:val="00670164"/>
    <w:rsid w:val="0067051A"/>
    <w:rsid w:val="0067062E"/>
    <w:rsid w:val="0067068E"/>
    <w:rsid w:val="0067072F"/>
    <w:rsid w:val="00670970"/>
    <w:rsid w:val="00670B7B"/>
    <w:rsid w:val="00670C58"/>
    <w:rsid w:val="00670CC3"/>
    <w:rsid w:val="00670DFC"/>
    <w:rsid w:val="00671305"/>
    <w:rsid w:val="00671695"/>
    <w:rsid w:val="006719C1"/>
    <w:rsid w:val="00671AB5"/>
    <w:rsid w:val="00671E39"/>
    <w:rsid w:val="006722D5"/>
    <w:rsid w:val="0067248B"/>
    <w:rsid w:val="00672AAC"/>
    <w:rsid w:val="00672BD9"/>
    <w:rsid w:val="00672D49"/>
    <w:rsid w:val="00672E97"/>
    <w:rsid w:val="0067300A"/>
    <w:rsid w:val="006731F3"/>
    <w:rsid w:val="00673B68"/>
    <w:rsid w:val="00673B85"/>
    <w:rsid w:val="006741D0"/>
    <w:rsid w:val="006745B7"/>
    <w:rsid w:val="00674CA5"/>
    <w:rsid w:val="00674CE4"/>
    <w:rsid w:val="00674CE6"/>
    <w:rsid w:val="00674E7F"/>
    <w:rsid w:val="00674F65"/>
    <w:rsid w:val="006758CC"/>
    <w:rsid w:val="00675E3D"/>
    <w:rsid w:val="00675FE4"/>
    <w:rsid w:val="006762AA"/>
    <w:rsid w:val="006769A4"/>
    <w:rsid w:val="00676B73"/>
    <w:rsid w:val="006771F5"/>
    <w:rsid w:val="006771F8"/>
    <w:rsid w:val="0067776C"/>
    <w:rsid w:val="00677B90"/>
    <w:rsid w:val="00677FE3"/>
    <w:rsid w:val="00680010"/>
    <w:rsid w:val="00680158"/>
    <w:rsid w:val="00680186"/>
    <w:rsid w:val="006801C5"/>
    <w:rsid w:val="00680460"/>
    <w:rsid w:val="00680885"/>
    <w:rsid w:val="0068093A"/>
    <w:rsid w:val="00680D01"/>
    <w:rsid w:val="00681050"/>
    <w:rsid w:val="00681092"/>
    <w:rsid w:val="00681272"/>
    <w:rsid w:val="00681763"/>
    <w:rsid w:val="0068190D"/>
    <w:rsid w:val="00681E2F"/>
    <w:rsid w:val="0068233E"/>
    <w:rsid w:val="0068266A"/>
    <w:rsid w:val="0068280C"/>
    <w:rsid w:val="00682BB7"/>
    <w:rsid w:val="00682C4D"/>
    <w:rsid w:val="00682FEE"/>
    <w:rsid w:val="00683336"/>
    <w:rsid w:val="00683A4D"/>
    <w:rsid w:val="00683B3E"/>
    <w:rsid w:val="00683EA7"/>
    <w:rsid w:val="00684079"/>
    <w:rsid w:val="00684519"/>
    <w:rsid w:val="006848BB"/>
    <w:rsid w:val="0068496F"/>
    <w:rsid w:val="006849F9"/>
    <w:rsid w:val="00684AAC"/>
    <w:rsid w:val="00684C5E"/>
    <w:rsid w:val="00684C9A"/>
    <w:rsid w:val="00684E84"/>
    <w:rsid w:val="00685229"/>
    <w:rsid w:val="00685236"/>
    <w:rsid w:val="006859AF"/>
    <w:rsid w:val="006859E8"/>
    <w:rsid w:val="00685A11"/>
    <w:rsid w:val="00685DE1"/>
    <w:rsid w:val="006860A9"/>
    <w:rsid w:val="00686352"/>
    <w:rsid w:val="006865FC"/>
    <w:rsid w:val="00686659"/>
    <w:rsid w:val="006868B8"/>
    <w:rsid w:val="00686976"/>
    <w:rsid w:val="00686A65"/>
    <w:rsid w:val="006873AB"/>
    <w:rsid w:val="006875E4"/>
    <w:rsid w:val="0068767D"/>
    <w:rsid w:val="00687778"/>
    <w:rsid w:val="0068786A"/>
    <w:rsid w:val="0068793A"/>
    <w:rsid w:val="006879D1"/>
    <w:rsid w:val="00687CFE"/>
    <w:rsid w:val="00690DF8"/>
    <w:rsid w:val="00691628"/>
    <w:rsid w:val="00691C18"/>
    <w:rsid w:val="00691F7D"/>
    <w:rsid w:val="006921AD"/>
    <w:rsid w:val="006922E3"/>
    <w:rsid w:val="00692422"/>
    <w:rsid w:val="006924CF"/>
    <w:rsid w:val="006924E1"/>
    <w:rsid w:val="006924EA"/>
    <w:rsid w:val="0069276E"/>
    <w:rsid w:val="0069278C"/>
    <w:rsid w:val="00692828"/>
    <w:rsid w:val="006928DF"/>
    <w:rsid w:val="00692BBC"/>
    <w:rsid w:val="00692F5C"/>
    <w:rsid w:val="00692F7A"/>
    <w:rsid w:val="006930CE"/>
    <w:rsid w:val="006931DC"/>
    <w:rsid w:val="00693314"/>
    <w:rsid w:val="0069382F"/>
    <w:rsid w:val="00694367"/>
    <w:rsid w:val="006946B2"/>
    <w:rsid w:val="006946C0"/>
    <w:rsid w:val="0069477B"/>
    <w:rsid w:val="00694797"/>
    <w:rsid w:val="0069483B"/>
    <w:rsid w:val="00694B0E"/>
    <w:rsid w:val="00694C90"/>
    <w:rsid w:val="00694DCB"/>
    <w:rsid w:val="00694DE0"/>
    <w:rsid w:val="0069503B"/>
    <w:rsid w:val="00695260"/>
    <w:rsid w:val="006952FD"/>
    <w:rsid w:val="00695A51"/>
    <w:rsid w:val="00695BF8"/>
    <w:rsid w:val="00695CC2"/>
    <w:rsid w:val="006963EE"/>
    <w:rsid w:val="006964D7"/>
    <w:rsid w:val="00696847"/>
    <w:rsid w:val="0069698E"/>
    <w:rsid w:val="00696A14"/>
    <w:rsid w:val="00696AA2"/>
    <w:rsid w:val="00696B15"/>
    <w:rsid w:val="0069707B"/>
    <w:rsid w:val="00697131"/>
    <w:rsid w:val="006974E5"/>
    <w:rsid w:val="006A03FA"/>
    <w:rsid w:val="006A093F"/>
    <w:rsid w:val="006A0B7C"/>
    <w:rsid w:val="006A11CF"/>
    <w:rsid w:val="006A125E"/>
    <w:rsid w:val="006A13F5"/>
    <w:rsid w:val="006A18F2"/>
    <w:rsid w:val="006A1E95"/>
    <w:rsid w:val="006A1ED9"/>
    <w:rsid w:val="006A1F47"/>
    <w:rsid w:val="006A2131"/>
    <w:rsid w:val="006A2308"/>
    <w:rsid w:val="006A24DC"/>
    <w:rsid w:val="006A272A"/>
    <w:rsid w:val="006A27F2"/>
    <w:rsid w:val="006A294E"/>
    <w:rsid w:val="006A2A2D"/>
    <w:rsid w:val="006A2BC6"/>
    <w:rsid w:val="006A2D2F"/>
    <w:rsid w:val="006A2E18"/>
    <w:rsid w:val="006A34FE"/>
    <w:rsid w:val="006A3579"/>
    <w:rsid w:val="006A360B"/>
    <w:rsid w:val="006A3630"/>
    <w:rsid w:val="006A369D"/>
    <w:rsid w:val="006A39B2"/>
    <w:rsid w:val="006A3D75"/>
    <w:rsid w:val="006A3E04"/>
    <w:rsid w:val="006A3E9F"/>
    <w:rsid w:val="006A4649"/>
    <w:rsid w:val="006A46D8"/>
    <w:rsid w:val="006A46ED"/>
    <w:rsid w:val="006A4A64"/>
    <w:rsid w:val="006A5117"/>
    <w:rsid w:val="006A55A6"/>
    <w:rsid w:val="006A5662"/>
    <w:rsid w:val="006A56D9"/>
    <w:rsid w:val="006A586B"/>
    <w:rsid w:val="006A5958"/>
    <w:rsid w:val="006A5D86"/>
    <w:rsid w:val="006A5F45"/>
    <w:rsid w:val="006A64B7"/>
    <w:rsid w:val="006A65A8"/>
    <w:rsid w:val="006A662B"/>
    <w:rsid w:val="006A678F"/>
    <w:rsid w:val="006A752D"/>
    <w:rsid w:val="006A7F6E"/>
    <w:rsid w:val="006A7FE7"/>
    <w:rsid w:val="006B0E34"/>
    <w:rsid w:val="006B0E6F"/>
    <w:rsid w:val="006B195E"/>
    <w:rsid w:val="006B198B"/>
    <w:rsid w:val="006B1A9B"/>
    <w:rsid w:val="006B1FC8"/>
    <w:rsid w:val="006B235F"/>
    <w:rsid w:val="006B2648"/>
    <w:rsid w:val="006B2D08"/>
    <w:rsid w:val="006B2E5F"/>
    <w:rsid w:val="006B2E7C"/>
    <w:rsid w:val="006B2F9A"/>
    <w:rsid w:val="006B30F3"/>
    <w:rsid w:val="006B324E"/>
    <w:rsid w:val="006B3268"/>
    <w:rsid w:val="006B33F7"/>
    <w:rsid w:val="006B365E"/>
    <w:rsid w:val="006B3666"/>
    <w:rsid w:val="006B366C"/>
    <w:rsid w:val="006B378D"/>
    <w:rsid w:val="006B420F"/>
    <w:rsid w:val="006B46E0"/>
    <w:rsid w:val="006B4C00"/>
    <w:rsid w:val="006B4F08"/>
    <w:rsid w:val="006B52D9"/>
    <w:rsid w:val="006B555F"/>
    <w:rsid w:val="006B573C"/>
    <w:rsid w:val="006B578A"/>
    <w:rsid w:val="006B57BD"/>
    <w:rsid w:val="006B582D"/>
    <w:rsid w:val="006B62CF"/>
    <w:rsid w:val="006B6503"/>
    <w:rsid w:val="006B6A8D"/>
    <w:rsid w:val="006B6AF5"/>
    <w:rsid w:val="006B6D02"/>
    <w:rsid w:val="006B6EE3"/>
    <w:rsid w:val="006B7280"/>
    <w:rsid w:val="006B72CA"/>
    <w:rsid w:val="006B743E"/>
    <w:rsid w:val="006B7965"/>
    <w:rsid w:val="006B7BA8"/>
    <w:rsid w:val="006C03D2"/>
    <w:rsid w:val="006C0735"/>
    <w:rsid w:val="006C0800"/>
    <w:rsid w:val="006C0AD7"/>
    <w:rsid w:val="006C0B8C"/>
    <w:rsid w:val="006C1118"/>
    <w:rsid w:val="006C2432"/>
    <w:rsid w:val="006C2662"/>
    <w:rsid w:val="006C2743"/>
    <w:rsid w:val="006C28D2"/>
    <w:rsid w:val="006C2C29"/>
    <w:rsid w:val="006C30FC"/>
    <w:rsid w:val="006C3346"/>
    <w:rsid w:val="006C34EB"/>
    <w:rsid w:val="006C37E2"/>
    <w:rsid w:val="006C3EE4"/>
    <w:rsid w:val="006C40EC"/>
    <w:rsid w:val="006C41AB"/>
    <w:rsid w:val="006C42AD"/>
    <w:rsid w:val="006C444E"/>
    <w:rsid w:val="006C460F"/>
    <w:rsid w:val="006C4919"/>
    <w:rsid w:val="006C50F3"/>
    <w:rsid w:val="006C5393"/>
    <w:rsid w:val="006C53B5"/>
    <w:rsid w:val="006C5520"/>
    <w:rsid w:val="006C5741"/>
    <w:rsid w:val="006C57AE"/>
    <w:rsid w:val="006C598D"/>
    <w:rsid w:val="006C5C9E"/>
    <w:rsid w:val="006C5E03"/>
    <w:rsid w:val="006C5FAD"/>
    <w:rsid w:val="006C607E"/>
    <w:rsid w:val="006C61FC"/>
    <w:rsid w:val="006C6358"/>
    <w:rsid w:val="006C64F9"/>
    <w:rsid w:val="006C6BC7"/>
    <w:rsid w:val="006C7470"/>
    <w:rsid w:val="006C7736"/>
    <w:rsid w:val="006C7891"/>
    <w:rsid w:val="006D0401"/>
    <w:rsid w:val="006D08DC"/>
    <w:rsid w:val="006D0910"/>
    <w:rsid w:val="006D1268"/>
    <w:rsid w:val="006D1676"/>
    <w:rsid w:val="006D1C2D"/>
    <w:rsid w:val="006D20AF"/>
    <w:rsid w:val="006D22C2"/>
    <w:rsid w:val="006D238B"/>
    <w:rsid w:val="006D2459"/>
    <w:rsid w:val="006D26AD"/>
    <w:rsid w:val="006D2912"/>
    <w:rsid w:val="006D2CA5"/>
    <w:rsid w:val="006D334F"/>
    <w:rsid w:val="006D3405"/>
    <w:rsid w:val="006D377F"/>
    <w:rsid w:val="006D397C"/>
    <w:rsid w:val="006D4417"/>
    <w:rsid w:val="006D4712"/>
    <w:rsid w:val="006D47C5"/>
    <w:rsid w:val="006D4D16"/>
    <w:rsid w:val="006D5212"/>
    <w:rsid w:val="006D5265"/>
    <w:rsid w:val="006D52D5"/>
    <w:rsid w:val="006D5562"/>
    <w:rsid w:val="006D55C3"/>
    <w:rsid w:val="006D5CE3"/>
    <w:rsid w:val="006D5FB6"/>
    <w:rsid w:val="006D611B"/>
    <w:rsid w:val="006D61BC"/>
    <w:rsid w:val="006D6306"/>
    <w:rsid w:val="006D64B0"/>
    <w:rsid w:val="006D650F"/>
    <w:rsid w:val="006D65FC"/>
    <w:rsid w:val="006D6A44"/>
    <w:rsid w:val="006D6AE9"/>
    <w:rsid w:val="006D6BEA"/>
    <w:rsid w:val="006D6F94"/>
    <w:rsid w:val="006D73B1"/>
    <w:rsid w:val="006D75D5"/>
    <w:rsid w:val="006D7737"/>
    <w:rsid w:val="006D77DE"/>
    <w:rsid w:val="006D7940"/>
    <w:rsid w:val="006D7ACE"/>
    <w:rsid w:val="006D7D8B"/>
    <w:rsid w:val="006D7DDD"/>
    <w:rsid w:val="006D7E0C"/>
    <w:rsid w:val="006D7F3B"/>
    <w:rsid w:val="006E014A"/>
    <w:rsid w:val="006E034A"/>
    <w:rsid w:val="006E03DE"/>
    <w:rsid w:val="006E04B3"/>
    <w:rsid w:val="006E0526"/>
    <w:rsid w:val="006E081F"/>
    <w:rsid w:val="006E0902"/>
    <w:rsid w:val="006E0B82"/>
    <w:rsid w:val="006E0D1E"/>
    <w:rsid w:val="006E1606"/>
    <w:rsid w:val="006E1745"/>
    <w:rsid w:val="006E1766"/>
    <w:rsid w:val="006E1A51"/>
    <w:rsid w:val="006E1EB5"/>
    <w:rsid w:val="006E1FCB"/>
    <w:rsid w:val="006E2387"/>
    <w:rsid w:val="006E2394"/>
    <w:rsid w:val="006E2403"/>
    <w:rsid w:val="006E255F"/>
    <w:rsid w:val="006E2872"/>
    <w:rsid w:val="006E28CE"/>
    <w:rsid w:val="006E2D0A"/>
    <w:rsid w:val="006E2E2D"/>
    <w:rsid w:val="006E2F26"/>
    <w:rsid w:val="006E34E4"/>
    <w:rsid w:val="006E3572"/>
    <w:rsid w:val="006E3785"/>
    <w:rsid w:val="006E3C9A"/>
    <w:rsid w:val="006E3DB3"/>
    <w:rsid w:val="006E3F4A"/>
    <w:rsid w:val="006E3F74"/>
    <w:rsid w:val="006E405C"/>
    <w:rsid w:val="006E40E4"/>
    <w:rsid w:val="006E42BF"/>
    <w:rsid w:val="006E44DD"/>
    <w:rsid w:val="006E48E6"/>
    <w:rsid w:val="006E5618"/>
    <w:rsid w:val="006E56A2"/>
    <w:rsid w:val="006E5D18"/>
    <w:rsid w:val="006E60E9"/>
    <w:rsid w:val="006E61AA"/>
    <w:rsid w:val="006E61F8"/>
    <w:rsid w:val="006E6E9F"/>
    <w:rsid w:val="006E6EE1"/>
    <w:rsid w:val="006E7094"/>
    <w:rsid w:val="006E717A"/>
    <w:rsid w:val="006E7261"/>
    <w:rsid w:val="006E7292"/>
    <w:rsid w:val="006E733E"/>
    <w:rsid w:val="006E7383"/>
    <w:rsid w:val="006E77FA"/>
    <w:rsid w:val="006E7E47"/>
    <w:rsid w:val="006F0B01"/>
    <w:rsid w:val="006F16F9"/>
    <w:rsid w:val="006F17EA"/>
    <w:rsid w:val="006F1857"/>
    <w:rsid w:val="006F18D2"/>
    <w:rsid w:val="006F1A3C"/>
    <w:rsid w:val="006F217B"/>
    <w:rsid w:val="006F219D"/>
    <w:rsid w:val="006F224B"/>
    <w:rsid w:val="006F2263"/>
    <w:rsid w:val="006F27B7"/>
    <w:rsid w:val="006F2BD9"/>
    <w:rsid w:val="006F302D"/>
    <w:rsid w:val="006F3289"/>
    <w:rsid w:val="006F329C"/>
    <w:rsid w:val="006F3652"/>
    <w:rsid w:val="006F3D61"/>
    <w:rsid w:val="006F40A3"/>
    <w:rsid w:val="006F421A"/>
    <w:rsid w:val="006F434D"/>
    <w:rsid w:val="006F454F"/>
    <w:rsid w:val="006F464D"/>
    <w:rsid w:val="006F473C"/>
    <w:rsid w:val="006F473F"/>
    <w:rsid w:val="006F49C5"/>
    <w:rsid w:val="006F4C42"/>
    <w:rsid w:val="006F4C95"/>
    <w:rsid w:val="006F50D3"/>
    <w:rsid w:val="006F575B"/>
    <w:rsid w:val="006F5946"/>
    <w:rsid w:val="006F59E7"/>
    <w:rsid w:val="006F5F07"/>
    <w:rsid w:val="006F60FF"/>
    <w:rsid w:val="006F62B0"/>
    <w:rsid w:val="006F6416"/>
    <w:rsid w:val="006F65EB"/>
    <w:rsid w:val="006F66C7"/>
    <w:rsid w:val="006F6943"/>
    <w:rsid w:val="006F6A1B"/>
    <w:rsid w:val="006F6DFA"/>
    <w:rsid w:val="006F711D"/>
    <w:rsid w:val="006F73CE"/>
    <w:rsid w:val="006F7701"/>
    <w:rsid w:val="006F7CC7"/>
    <w:rsid w:val="006F7F64"/>
    <w:rsid w:val="007003B6"/>
    <w:rsid w:val="0070067B"/>
    <w:rsid w:val="00700F80"/>
    <w:rsid w:val="00700FBD"/>
    <w:rsid w:val="00701173"/>
    <w:rsid w:val="007011DB"/>
    <w:rsid w:val="00701430"/>
    <w:rsid w:val="0070190E"/>
    <w:rsid w:val="00701A6F"/>
    <w:rsid w:val="00701E89"/>
    <w:rsid w:val="00702119"/>
    <w:rsid w:val="00702150"/>
    <w:rsid w:val="007023D0"/>
    <w:rsid w:val="0070242E"/>
    <w:rsid w:val="007024AC"/>
    <w:rsid w:val="007024C5"/>
    <w:rsid w:val="00702C2E"/>
    <w:rsid w:val="00702EE8"/>
    <w:rsid w:val="007035A5"/>
    <w:rsid w:val="00703622"/>
    <w:rsid w:val="00703639"/>
    <w:rsid w:val="0070379C"/>
    <w:rsid w:val="00703BFA"/>
    <w:rsid w:val="00703F86"/>
    <w:rsid w:val="007041ED"/>
    <w:rsid w:val="007042A9"/>
    <w:rsid w:val="007043BA"/>
    <w:rsid w:val="00704A51"/>
    <w:rsid w:val="00704A90"/>
    <w:rsid w:val="00704D9B"/>
    <w:rsid w:val="00704FA9"/>
    <w:rsid w:val="007050B0"/>
    <w:rsid w:val="00705115"/>
    <w:rsid w:val="0070522D"/>
    <w:rsid w:val="00705685"/>
    <w:rsid w:val="00705A52"/>
    <w:rsid w:val="00705ADD"/>
    <w:rsid w:val="00705F02"/>
    <w:rsid w:val="007060D1"/>
    <w:rsid w:val="007067AA"/>
    <w:rsid w:val="007068C2"/>
    <w:rsid w:val="00706C9D"/>
    <w:rsid w:val="00706EC7"/>
    <w:rsid w:val="00706EE6"/>
    <w:rsid w:val="00706F45"/>
    <w:rsid w:val="007072BA"/>
    <w:rsid w:val="007074AB"/>
    <w:rsid w:val="0070784E"/>
    <w:rsid w:val="00707A65"/>
    <w:rsid w:val="00707ACF"/>
    <w:rsid w:val="00707E50"/>
    <w:rsid w:val="00707F74"/>
    <w:rsid w:val="00710070"/>
    <w:rsid w:val="007103D6"/>
    <w:rsid w:val="007105F0"/>
    <w:rsid w:val="00710642"/>
    <w:rsid w:val="0071085C"/>
    <w:rsid w:val="0071096D"/>
    <w:rsid w:val="00710B9A"/>
    <w:rsid w:val="00710D3E"/>
    <w:rsid w:val="00710DF3"/>
    <w:rsid w:val="00710E01"/>
    <w:rsid w:val="00710EC6"/>
    <w:rsid w:val="0071129D"/>
    <w:rsid w:val="00711A56"/>
    <w:rsid w:val="00711B0D"/>
    <w:rsid w:val="00711CFD"/>
    <w:rsid w:val="00711FAB"/>
    <w:rsid w:val="00712228"/>
    <w:rsid w:val="0071269D"/>
    <w:rsid w:val="00712721"/>
    <w:rsid w:val="00712AA0"/>
    <w:rsid w:val="00712C4C"/>
    <w:rsid w:val="00712F5A"/>
    <w:rsid w:val="007132BA"/>
    <w:rsid w:val="00713490"/>
    <w:rsid w:val="007134A9"/>
    <w:rsid w:val="007135A9"/>
    <w:rsid w:val="007139A5"/>
    <w:rsid w:val="007139AC"/>
    <w:rsid w:val="007139F3"/>
    <w:rsid w:val="00713D4F"/>
    <w:rsid w:val="00713D7A"/>
    <w:rsid w:val="00713F38"/>
    <w:rsid w:val="00714122"/>
    <w:rsid w:val="0071417C"/>
    <w:rsid w:val="0071432A"/>
    <w:rsid w:val="0071475A"/>
    <w:rsid w:val="0071478F"/>
    <w:rsid w:val="0071488E"/>
    <w:rsid w:val="007150DE"/>
    <w:rsid w:val="0071510A"/>
    <w:rsid w:val="007156BA"/>
    <w:rsid w:val="00715BC0"/>
    <w:rsid w:val="00715CBC"/>
    <w:rsid w:val="00715D0C"/>
    <w:rsid w:val="00715ED5"/>
    <w:rsid w:val="00716544"/>
    <w:rsid w:val="007166CF"/>
    <w:rsid w:val="007166DB"/>
    <w:rsid w:val="00716813"/>
    <w:rsid w:val="00716FEB"/>
    <w:rsid w:val="00717254"/>
    <w:rsid w:val="007174C3"/>
    <w:rsid w:val="007176CB"/>
    <w:rsid w:val="00717864"/>
    <w:rsid w:val="00717927"/>
    <w:rsid w:val="00717DAF"/>
    <w:rsid w:val="00720752"/>
    <w:rsid w:val="00720ABE"/>
    <w:rsid w:val="00720C03"/>
    <w:rsid w:val="00720D1B"/>
    <w:rsid w:val="00720E27"/>
    <w:rsid w:val="00720EB1"/>
    <w:rsid w:val="00720F43"/>
    <w:rsid w:val="007211D7"/>
    <w:rsid w:val="007214E9"/>
    <w:rsid w:val="00721615"/>
    <w:rsid w:val="00721A58"/>
    <w:rsid w:val="00721B14"/>
    <w:rsid w:val="00721E59"/>
    <w:rsid w:val="00721E95"/>
    <w:rsid w:val="00721F4A"/>
    <w:rsid w:val="0072201A"/>
    <w:rsid w:val="007226D9"/>
    <w:rsid w:val="00722834"/>
    <w:rsid w:val="007228E7"/>
    <w:rsid w:val="00723238"/>
    <w:rsid w:val="007232C0"/>
    <w:rsid w:val="007237F8"/>
    <w:rsid w:val="00723D31"/>
    <w:rsid w:val="0072424C"/>
    <w:rsid w:val="0072466C"/>
    <w:rsid w:val="00724D98"/>
    <w:rsid w:val="00724F97"/>
    <w:rsid w:val="007255B6"/>
    <w:rsid w:val="00725743"/>
    <w:rsid w:val="007257B1"/>
    <w:rsid w:val="00725854"/>
    <w:rsid w:val="007258ED"/>
    <w:rsid w:val="00725B52"/>
    <w:rsid w:val="00725D99"/>
    <w:rsid w:val="00725F3F"/>
    <w:rsid w:val="00725F96"/>
    <w:rsid w:val="007260D0"/>
    <w:rsid w:val="00726150"/>
    <w:rsid w:val="007263CF"/>
    <w:rsid w:val="00726DBD"/>
    <w:rsid w:val="007272CB"/>
    <w:rsid w:val="00727490"/>
    <w:rsid w:val="00727D49"/>
    <w:rsid w:val="007305CF"/>
    <w:rsid w:val="0073060B"/>
    <w:rsid w:val="007308AD"/>
    <w:rsid w:val="007309C8"/>
    <w:rsid w:val="00730B89"/>
    <w:rsid w:val="00730BD2"/>
    <w:rsid w:val="00730FDB"/>
    <w:rsid w:val="00731212"/>
    <w:rsid w:val="0073172A"/>
    <w:rsid w:val="00731743"/>
    <w:rsid w:val="00731820"/>
    <w:rsid w:val="007324CC"/>
    <w:rsid w:val="00732650"/>
    <w:rsid w:val="007328F2"/>
    <w:rsid w:val="00732A92"/>
    <w:rsid w:val="00732DD8"/>
    <w:rsid w:val="00733023"/>
    <w:rsid w:val="0073306C"/>
    <w:rsid w:val="00733346"/>
    <w:rsid w:val="00733855"/>
    <w:rsid w:val="0073392D"/>
    <w:rsid w:val="00733958"/>
    <w:rsid w:val="007339D9"/>
    <w:rsid w:val="00733A64"/>
    <w:rsid w:val="007343C3"/>
    <w:rsid w:val="0073480E"/>
    <w:rsid w:val="00734F19"/>
    <w:rsid w:val="007352BF"/>
    <w:rsid w:val="007353C2"/>
    <w:rsid w:val="007357AA"/>
    <w:rsid w:val="00735944"/>
    <w:rsid w:val="00735ADF"/>
    <w:rsid w:val="00735D64"/>
    <w:rsid w:val="00735F34"/>
    <w:rsid w:val="007360CF"/>
    <w:rsid w:val="007362CF"/>
    <w:rsid w:val="007362D3"/>
    <w:rsid w:val="00736412"/>
    <w:rsid w:val="00736485"/>
    <w:rsid w:val="007366A9"/>
    <w:rsid w:val="007367D8"/>
    <w:rsid w:val="00736DC5"/>
    <w:rsid w:val="007378A6"/>
    <w:rsid w:val="007378E9"/>
    <w:rsid w:val="0074005F"/>
    <w:rsid w:val="0074017E"/>
    <w:rsid w:val="00740698"/>
    <w:rsid w:val="007409C3"/>
    <w:rsid w:val="00741043"/>
    <w:rsid w:val="00741564"/>
    <w:rsid w:val="007415F5"/>
    <w:rsid w:val="00741D90"/>
    <w:rsid w:val="00741E06"/>
    <w:rsid w:val="0074220A"/>
    <w:rsid w:val="007426C3"/>
    <w:rsid w:val="0074273C"/>
    <w:rsid w:val="00742A53"/>
    <w:rsid w:val="00742C67"/>
    <w:rsid w:val="00742F7A"/>
    <w:rsid w:val="00743042"/>
    <w:rsid w:val="0074307D"/>
    <w:rsid w:val="0074332A"/>
    <w:rsid w:val="007434B5"/>
    <w:rsid w:val="0074399D"/>
    <w:rsid w:val="00743B33"/>
    <w:rsid w:val="00743F1E"/>
    <w:rsid w:val="007440D7"/>
    <w:rsid w:val="00744223"/>
    <w:rsid w:val="0074471F"/>
    <w:rsid w:val="00745027"/>
    <w:rsid w:val="0074533E"/>
    <w:rsid w:val="00745A79"/>
    <w:rsid w:val="00745AF2"/>
    <w:rsid w:val="00745C8B"/>
    <w:rsid w:val="00746029"/>
    <w:rsid w:val="007463AD"/>
    <w:rsid w:val="007463ED"/>
    <w:rsid w:val="0074650C"/>
    <w:rsid w:val="00746580"/>
    <w:rsid w:val="0074669D"/>
    <w:rsid w:val="007466AA"/>
    <w:rsid w:val="00746994"/>
    <w:rsid w:val="00746BA0"/>
    <w:rsid w:val="00747202"/>
    <w:rsid w:val="007473EC"/>
    <w:rsid w:val="00747480"/>
    <w:rsid w:val="00747B37"/>
    <w:rsid w:val="00747BC5"/>
    <w:rsid w:val="0075041E"/>
    <w:rsid w:val="0075056A"/>
    <w:rsid w:val="00750D35"/>
    <w:rsid w:val="00750E4B"/>
    <w:rsid w:val="00750F5E"/>
    <w:rsid w:val="00751045"/>
    <w:rsid w:val="007517C6"/>
    <w:rsid w:val="00751CD2"/>
    <w:rsid w:val="00752556"/>
    <w:rsid w:val="007526E0"/>
    <w:rsid w:val="007528CF"/>
    <w:rsid w:val="00752F9A"/>
    <w:rsid w:val="007532C7"/>
    <w:rsid w:val="0075338C"/>
    <w:rsid w:val="0075349E"/>
    <w:rsid w:val="00753514"/>
    <w:rsid w:val="007537D5"/>
    <w:rsid w:val="00753821"/>
    <w:rsid w:val="00753B60"/>
    <w:rsid w:val="00753BB6"/>
    <w:rsid w:val="00753C62"/>
    <w:rsid w:val="007541AB"/>
    <w:rsid w:val="00754281"/>
    <w:rsid w:val="007544AB"/>
    <w:rsid w:val="0075463C"/>
    <w:rsid w:val="00754828"/>
    <w:rsid w:val="00754CB0"/>
    <w:rsid w:val="0075538E"/>
    <w:rsid w:val="0075552B"/>
    <w:rsid w:val="0075567D"/>
    <w:rsid w:val="007558FC"/>
    <w:rsid w:val="00755C5B"/>
    <w:rsid w:val="00755D6D"/>
    <w:rsid w:val="0075618C"/>
    <w:rsid w:val="0075625D"/>
    <w:rsid w:val="00756296"/>
    <w:rsid w:val="0075637D"/>
    <w:rsid w:val="0075648B"/>
    <w:rsid w:val="007564BB"/>
    <w:rsid w:val="00756513"/>
    <w:rsid w:val="00756700"/>
    <w:rsid w:val="00756B4C"/>
    <w:rsid w:val="00756D42"/>
    <w:rsid w:val="00756F4A"/>
    <w:rsid w:val="0075731D"/>
    <w:rsid w:val="0075738B"/>
    <w:rsid w:val="007575B6"/>
    <w:rsid w:val="0075798A"/>
    <w:rsid w:val="00757A2D"/>
    <w:rsid w:val="00757A82"/>
    <w:rsid w:val="00757F18"/>
    <w:rsid w:val="00757FCE"/>
    <w:rsid w:val="00760002"/>
    <w:rsid w:val="00760039"/>
    <w:rsid w:val="00760230"/>
    <w:rsid w:val="007603FA"/>
    <w:rsid w:val="007606E8"/>
    <w:rsid w:val="00760A1C"/>
    <w:rsid w:val="00760AED"/>
    <w:rsid w:val="00760B01"/>
    <w:rsid w:val="00760B21"/>
    <w:rsid w:val="00760BF9"/>
    <w:rsid w:val="00760C68"/>
    <w:rsid w:val="00760D2F"/>
    <w:rsid w:val="00760F69"/>
    <w:rsid w:val="007613EB"/>
    <w:rsid w:val="007619EF"/>
    <w:rsid w:val="00761B0C"/>
    <w:rsid w:val="00761F7D"/>
    <w:rsid w:val="007620FA"/>
    <w:rsid w:val="00762180"/>
    <w:rsid w:val="007625B5"/>
    <w:rsid w:val="0076289F"/>
    <w:rsid w:val="007629C3"/>
    <w:rsid w:val="00762A55"/>
    <w:rsid w:val="00762BBE"/>
    <w:rsid w:val="00762FA3"/>
    <w:rsid w:val="007631F4"/>
    <w:rsid w:val="00763674"/>
    <w:rsid w:val="007636C8"/>
    <w:rsid w:val="00763815"/>
    <w:rsid w:val="00763B3D"/>
    <w:rsid w:val="00763BBC"/>
    <w:rsid w:val="00763D6E"/>
    <w:rsid w:val="00763EA9"/>
    <w:rsid w:val="007640A1"/>
    <w:rsid w:val="00764153"/>
    <w:rsid w:val="0076450D"/>
    <w:rsid w:val="007645D3"/>
    <w:rsid w:val="007649A3"/>
    <w:rsid w:val="00764B46"/>
    <w:rsid w:val="00764BE2"/>
    <w:rsid w:val="00765616"/>
    <w:rsid w:val="0076573C"/>
    <w:rsid w:val="007658DA"/>
    <w:rsid w:val="00765D49"/>
    <w:rsid w:val="00765FD6"/>
    <w:rsid w:val="007664E7"/>
    <w:rsid w:val="0076652F"/>
    <w:rsid w:val="00766693"/>
    <w:rsid w:val="00766BEC"/>
    <w:rsid w:val="00767037"/>
    <w:rsid w:val="00767104"/>
    <w:rsid w:val="0076736C"/>
    <w:rsid w:val="0076747C"/>
    <w:rsid w:val="0076756D"/>
    <w:rsid w:val="0076769B"/>
    <w:rsid w:val="00767BAC"/>
    <w:rsid w:val="00767E04"/>
    <w:rsid w:val="007700DF"/>
    <w:rsid w:val="0077069A"/>
    <w:rsid w:val="00770F0C"/>
    <w:rsid w:val="00771030"/>
    <w:rsid w:val="00771533"/>
    <w:rsid w:val="00771853"/>
    <w:rsid w:val="007718D6"/>
    <w:rsid w:val="00771D79"/>
    <w:rsid w:val="00771D7D"/>
    <w:rsid w:val="00771FB6"/>
    <w:rsid w:val="0077223C"/>
    <w:rsid w:val="007722C5"/>
    <w:rsid w:val="00772769"/>
    <w:rsid w:val="00772B2C"/>
    <w:rsid w:val="007730A0"/>
    <w:rsid w:val="0077342F"/>
    <w:rsid w:val="0077357F"/>
    <w:rsid w:val="00773835"/>
    <w:rsid w:val="00773B95"/>
    <w:rsid w:val="00774325"/>
    <w:rsid w:val="00774638"/>
    <w:rsid w:val="007747F1"/>
    <w:rsid w:val="0077480E"/>
    <w:rsid w:val="00774967"/>
    <w:rsid w:val="00774A53"/>
    <w:rsid w:val="00774AA0"/>
    <w:rsid w:val="00774C4B"/>
    <w:rsid w:val="007756F4"/>
    <w:rsid w:val="0077610F"/>
    <w:rsid w:val="007762B9"/>
    <w:rsid w:val="00776392"/>
    <w:rsid w:val="0077655A"/>
    <w:rsid w:val="007766CD"/>
    <w:rsid w:val="00776964"/>
    <w:rsid w:val="00776B42"/>
    <w:rsid w:val="00776BEC"/>
    <w:rsid w:val="00776CEF"/>
    <w:rsid w:val="00776D73"/>
    <w:rsid w:val="0077730B"/>
    <w:rsid w:val="00777705"/>
    <w:rsid w:val="007777C3"/>
    <w:rsid w:val="00777E87"/>
    <w:rsid w:val="00780536"/>
    <w:rsid w:val="00780541"/>
    <w:rsid w:val="00780B57"/>
    <w:rsid w:val="00780C3D"/>
    <w:rsid w:val="00781314"/>
    <w:rsid w:val="00781D26"/>
    <w:rsid w:val="0078220A"/>
    <w:rsid w:val="0078265A"/>
    <w:rsid w:val="00782748"/>
    <w:rsid w:val="0078288F"/>
    <w:rsid w:val="00782C38"/>
    <w:rsid w:val="00783202"/>
    <w:rsid w:val="007833C4"/>
    <w:rsid w:val="007836F2"/>
    <w:rsid w:val="0078372F"/>
    <w:rsid w:val="00783A4A"/>
    <w:rsid w:val="00783AF5"/>
    <w:rsid w:val="00783E28"/>
    <w:rsid w:val="00784762"/>
    <w:rsid w:val="00784A4B"/>
    <w:rsid w:val="00784A56"/>
    <w:rsid w:val="00784BB5"/>
    <w:rsid w:val="00784D74"/>
    <w:rsid w:val="007851B3"/>
    <w:rsid w:val="00785487"/>
    <w:rsid w:val="00785571"/>
    <w:rsid w:val="0078589E"/>
    <w:rsid w:val="00785AD9"/>
    <w:rsid w:val="00785CEA"/>
    <w:rsid w:val="00785EF8"/>
    <w:rsid w:val="0078620D"/>
    <w:rsid w:val="0078674F"/>
    <w:rsid w:val="007867B6"/>
    <w:rsid w:val="007868F9"/>
    <w:rsid w:val="00786A3D"/>
    <w:rsid w:val="00786DEB"/>
    <w:rsid w:val="00786F3A"/>
    <w:rsid w:val="00786F40"/>
    <w:rsid w:val="00786F54"/>
    <w:rsid w:val="007874C3"/>
    <w:rsid w:val="0078769A"/>
    <w:rsid w:val="0078779E"/>
    <w:rsid w:val="00787C63"/>
    <w:rsid w:val="00787DF2"/>
    <w:rsid w:val="00787FB2"/>
    <w:rsid w:val="007902E2"/>
    <w:rsid w:val="00790560"/>
    <w:rsid w:val="007907B8"/>
    <w:rsid w:val="007908F9"/>
    <w:rsid w:val="00790940"/>
    <w:rsid w:val="00790E4C"/>
    <w:rsid w:val="00790E87"/>
    <w:rsid w:val="00790ECA"/>
    <w:rsid w:val="007910DF"/>
    <w:rsid w:val="007915EB"/>
    <w:rsid w:val="00791633"/>
    <w:rsid w:val="00791A35"/>
    <w:rsid w:val="00791B59"/>
    <w:rsid w:val="00791E3A"/>
    <w:rsid w:val="00791E89"/>
    <w:rsid w:val="00791F8C"/>
    <w:rsid w:val="007921DE"/>
    <w:rsid w:val="00792321"/>
    <w:rsid w:val="007927A1"/>
    <w:rsid w:val="0079297C"/>
    <w:rsid w:val="00793035"/>
    <w:rsid w:val="007931EF"/>
    <w:rsid w:val="0079321C"/>
    <w:rsid w:val="00793332"/>
    <w:rsid w:val="00793831"/>
    <w:rsid w:val="00793BDF"/>
    <w:rsid w:val="00793E15"/>
    <w:rsid w:val="00793EDD"/>
    <w:rsid w:val="00794075"/>
    <w:rsid w:val="00794515"/>
    <w:rsid w:val="007945B1"/>
    <w:rsid w:val="00794E8D"/>
    <w:rsid w:val="007951A0"/>
    <w:rsid w:val="007956F7"/>
    <w:rsid w:val="00795BDF"/>
    <w:rsid w:val="00795C43"/>
    <w:rsid w:val="00795CAD"/>
    <w:rsid w:val="00795F8D"/>
    <w:rsid w:val="0079609F"/>
    <w:rsid w:val="007961C1"/>
    <w:rsid w:val="007964A9"/>
    <w:rsid w:val="0079657C"/>
    <w:rsid w:val="0079698F"/>
    <w:rsid w:val="00796BDF"/>
    <w:rsid w:val="00796D5E"/>
    <w:rsid w:val="00796EC7"/>
    <w:rsid w:val="00797380"/>
    <w:rsid w:val="00797958"/>
    <w:rsid w:val="00797A32"/>
    <w:rsid w:val="00797B4C"/>
    <w:rsid w:val="00797C81"/>
    <w:rsid w:val="00797C87"/>
    <w:rsid w:val="00797E5B"/>
    <w:rsid w:val="00797E61"/>
    <w:rsid w:val="007A0204"/>
    <w:rsid w:val="007A071C"/>
    <w:rsid w:val="007A07D4"/>
    <w:rsid w:val="007A0835"/>
    <w:rsid w:val="007A0B20"/>
    <w:rsid w:val="007A0CB7"/>
    <w:rsid w:val="007A0CF4"/>
    <w:rsid w:val="007A0D80"/>
    <w:rsid w:val="007A1140"/>
    <w:rsid w:val="007A1316"/>
    <w:rsid w:val="007A1361"/>
    <w:rsid w:val="007A160C"/>
    <w:rsid w:val="007A1A34"/>
    <w:rsid w:val="007A1DEE"/>
    <w:rsid w:val="007A201F"/>
    <w:rsid w:val="007A2687"/>
    <w:rsid w:val="007A2782"/>
    <w:rsid w:val="007A2969"/>
    <w:rsid w:val="007A2BA7"/>
    <w:rsid w:val="007A31FF"/>
    <w:rsid w:val="007A337D"/>
    <w:rsid w:val="007A39A8"/>
    <w:rsid w:val="007A3A86"/>
    <w:rsid w:val="007A3B62"/>
    <w:rsid w:val="007A3B88"/>
    <w:rsid w:val="007A3C26"/>
    <w:rsid w:val="007A456A"/>
    <w:rsid w:val="007A4576"/>
    <w:rsid w:val="007A4A1D"/>
    <w:rsid w:val="007A4DDF"/>
    <w:rsid w:val="007A55D7"/>
    <w:rsid w:val="007A5CC6"/>
    <w:rsid w:val="007A5E54"/>
    <w:rsid w:val="007A60B1"/>
    <w:rsid w:val="007A61D6"/>
    <w:rsid w:val="007A684B"/>
    <w:rsid w:val="007A6DCF"/>
    <w:rsid w:val="007A74D2"/>
    <w:rsid w:val="007A7583"/>
    <w:rsid w:val="007A76AE"/>
    <w:rsid w:val="007A7DE4"/>
    <w:rsid w:val="007B0286"/>
    <w:rsid w:val="007B0687"/>
    <w:rsid w:val="007B087D"/>
    <w:rsid w:val="007B09C6"/>
    <w:rsid w:val="007B0AF2"/>
    <w:rsid w:val="007B0B36"/>
    <w:rsid w:val="007B0B8F"/>
    <w:rsid w:val="007B0B94"/>
    <w:rsid w:val="007B0BAD"/>
    <w:rsid w:val="007B1001"/>
    <w:rsid w:val="007B129A"/>
    <w:rsid w:val="007B1862"/>
    <w:rsid w:val="007B1B40"/>
    <w:rsid w:val="007B1B76"/>
    <w:rsid w:val="007B1CB2"/>
    <w:rsid w:val="007B1F7A"/>
    <w:rsid w:val="007B2016"/>
    <w:rsid w:val="007B22BB"/>
    <w:rsid w:val="007B237A"/>
    <w:rsid w:val="007B29E1"/>
    <w:rsid w:val="007B2E90"/>
    <w:rsid w:val="007B452D"/>
    <w:rsid w:val="007B494D"/>
    <w:rsid w:val="007B4B7F"/>
    <w:rsid w:val="007B4D70"/>
    <w:rsid w:val="007B4E8F"/>
    <w:rsid w:val="007B4F71"/>
    <w:rsid w:val="007B525D"/>
    <w:rsid w:val="007B5687"/>
    <w:rsid w:val="007B5BE2"/>
    <w:rsid w:val="007B60AC"/>
    <w:rsid w:val="007B61F4"/>
    <w:rsid w:val="007B62D5"/>
    <w:rsid w:val="007B6ABD"/>
    <w:rsid w:val="007B6F0B"/>
    <w:rsid w:val="007B702D"/>
    <w:rsid w:val="007B7065"/>
    <w:rsid w:val="007B7250"/>
    <w:rsid w:val="007B73B6"/>
    <w:rsid w:val="007B73E7"/>
    <w:rsid w:val="007B742D"/>
    <w:rsid w:val="007B74CB"/>
    <w:rsid w:val="007B75CA"/>
    <w:rsid w:val="007B77DF"/>
    <w:rsid w:val="007B7B53"/>
    <w:rsid w:val="007C00D1"/>
    <w:rsid w:val="007C0377"/>
    <w:rsid w:val="007C0D5D"/>
    <w:rsid w:val="007C0E0E"/>
    <w:rsid w:val="007C0FC7"/>
    <w:rsid w:val="007C142C"/>
    <w:rsid w:val="007C15AB"/>
    <w:rsid w:val="007C16A3"/>
    <w:rsid w:val="007C180D"/>
    <w:rsid w:val="007C18E4"/>
    <w:rsid w:val="007C19DC"/>
    <w:rsid w:val="007C1B50"/>
    <w:rsid w:val="007C1DF5"/>
    <w:rsid w:val="007C1FBD"/>
    <w:rsid w:val="007C21B7"/>
    <w:rsid w:val="007C23A2"/>
    <w:rsid w:val="007C23F9"/>
    <w:rsid w:val="007C2421"/>
    <w:rsid w:val="007C2B47"/>
    <w:rsid w:val="007C2D43"/>
    <w:rsid w:val="007C3824"/>
    <w:rsid w:val="007C3AE6"/>
    <w:rsid w:val="007C3E52"/>
    <w:rsid w:val="007C40ED"/>
    <w:rsid w:val="007C456C"/>
    <w:rsid w:val="007C458F"/>
    <w:rsid w:val="007C46B3"/>
    <w:rsid w:val="007C4E21"/>
    <w:rsid w:val="007C4F3D"/>
    <w:rsid w:val="007C583D"/>
    <w:rsid w:val="007C617C"/>
    <w:rsid w:val="007C63DA"/>
    <w:rsid w:val="007C66CC"/>
    <w:rsid w:val="007C6780"/>
    <w:rsid w:val="007C694E"/>
    <w:rsid w:val="007C6A95"/>
    <w:rsid w:val="007C6A98"/>
    <w:rsid w:val="007C6C66"/>
    <w:rsid w:val="007C6D68"/>
    <w:rsid w:val="007C72D1"/>
    <w:rsid w:val="007C77B0"/>
    <w:rsid w:val="007C796A"/>
    <w:rsid w:val="007C7B14"/>
    <w:rsid w:val="007C7C6B"/>
    <w:rsid w:val="007C7D37"/>
    <w:rsid w:val="007C7E96"/>
    <w:rsid w:val="007D01E2"/>
    <w:rsid w:val="007D0324"/>
    <w:rsid w:val="007D0DFD"/>
    <w:rsid w:val="007D0FE6"/>
    <w:rsid w:val="007D101E"/>
    <w:rsid w:val="007D1590"/>
    <w:rsid w:val="007D1666"/>
    <w:rsid w:val="007D1763"/>
    <w:rsid w:val="007D1877"/>
    <w:rsid w:val="007D1AE1"/>
    <w:rsid w:val="007D221B"/>
    <w:rsid w:val="007D26C3"/>
    <w:rsid w:val="007D28A8"/>
    <w:rsid w:val="007D2D06"/>
    <w:rsid w:val="007D2DE7"/>
    <w:rsid w:val="007D3234"/>
    <w:rsid w:val="007D325D"/>
    <w:rsid w:val="007D331C"/>
    <w:rsid w:val="007D33D9"/>
    <w:rsid w:val="007D34C3"/>
    <w:rsid w:val="007D3565"/>
    <w:rsid w:val="007D3665"/>
    <w:rsid w:val="007D372D"/>
    <w:rsid w:val="007D386D"/>
    <w:rsid w:val="007D389C"/>
    <w:rsid w:val="007D395C"/>
    <w:rsid w:val="007D3ACF"/>
    <w:rsid w:val="007D3D01"/>
    <w:rsid w:val="007D3E05"/>
    <w:rsid w:val="007D45CC"/>
    <w:rsid w:val="007D48B4"/>
    <w:rsid w:val="007D4BCA"/>
    <w:rsid w:val="007D4BCC"/>
    <w:rsid w:val="007D4E0E"/>
    <w:rsid w:val="007D4E88"/>
    <w:rsid w:val="007D52B8"/>
    <w:rsid w:val="007D52CE"/>
    <w:rsid w:val="007D55DC"/>
    <w:rsid w:val="007D5DCE"/>
    <w:rsid w:val="007D654E"/>
    <w:rsid w:val="007D6765"/>
    <w:rsid w:val="007D68F3"/>
    <w:rsid w:val="007D6BD1"/>
    <w:rsid w:val="007D6DB9"/>
    <w:rsid w:val="007D7277"/>
    <w:rsid w:val="007D7811"/>
    <w:rsid w:val="007D7CF7"/>
    <w:rsid w:val="007D7D3D"/>
    <w:rsid w:val="007D7D8C"/>
    <w:rsid w:val="007E076B"/>
    <w:rsid w:val="007E0804"/>
    <w:rsid w:val="007E0825"/>
    <w:rsid w:val="007E09BF"/>
    <w:rsid w:val="007E0A9D"/>
    <w:rsid w:val="007E0B9F"/>
    <w:rsid w:val="007E0BA2"/>
    <w:rsid w:val="007E0CDC"/>
    <w:rsid w:val="007E0D40"/>
    <w:rsid w:val="007E1003"/>
    <w:rsid w:val="007E1065"/>
    <w:rsid w:val="007E1165"/>
    <w:rsid w:val="007E1284"/>
    <w:rsid w:val="007E151A"/>
    <w:rsid w:val="007E1554"/>
    <w:rsid w:val="007E16F3"/>
    <w:rsid w:val="007E18D4"/>
    <w:rsid w:val="007E192A"/>
    <w:rsid w:val="007E1B1C"/>
    <w:rsid w:val="007E1B7A"/>
    <w:rsid w:val="007E1DA4"/>
    <w:rsid w:val="007E1EF6"/>
    <w:rsid w:val="007E1EFE"/>
    <w:rsid w:val="007E22DB"/>
    <w:rsid w:val="007E2394"/>
    <w:rsid w:val="007E2425"/>
    <w:rsid w:val="007E276A"/>
    <w:rsid w:val="007E27E8"/>
    <w:rsid w:val="007E27F8"/>
    <w:rsid w:val="007E28FF"/>
    <w:rsid w:val="007E2B4A"/>
    <w:rsid w:val="007E2F3C"/>
    <w:rsid w:val="007E3331"/>
    <w:rsid w:val="007E33B4"/>
    <w:rsid w:val="007E33E5"/>
    <w:rsid w:val="007E34D2"/>
    <w:rsid w:val="007E34E9"/>
    <w:rsid w:val="007E389D"/>
    <w:rsid w:val="007E38BD"/>
    <w:rsid w:val="007E3C84"/>
    <w:rsid w:val="007E3F8F"/>
    <w:rsid w:val="007E3FFE"/>
    <w:rsid w:val="007E42C5"/>
    <w:rsid w:val="007E465E"/>
    <w:rsid w:val="007E4C67"/>
    <w:rsid w:val="007E4EBD"/>
    <w:rsid w:val="007E50A3"/>
    <w:rsid w:val="007E540B"/>
    <w:rsid w:val="007E5416"/>
    <w:rsid w:val="007E5465"/>
    <w:rsid w:val="007E5854"/>
    <w:rsid w:val="007E5ACF"/>
    <w:rsid w:val="007E5CCC"/>
    <w:rsid w:val="007E5F92"/>
    <w:rsid w:val="007E64B3"/>
    <w:rsid w:val="007E64FB"/>
    <w:rsid w:val="007E6A1D"/>
    <w:rsid w:val="007E6DFF"/>
    <w:rsid w:val="007E6F9F"/>
    <w:rsid w:val="007E713F"/>
    <w:rsid w:val="007E7A3C"/>
    <w:rsid w:val="007F0102"/>
    <w:rsid w:val="007F0435"/>
    <w:rsid w:val="007F05CE"/>
    <w:rsid w:val="007F060F"/>
    <w:rsid w:val="007F0B06"/>
    <w:rsid w:val="007F0B8F"/>
    <w:rsid w:val="007F0D5C"/>
    <w:rsid w:val="007F0DC2"/>
    <w:rsid w:val="007F1316"/>
    <w:rsid w:val="007F1422"/>
    <w:rsid w:val="007F19E5"/>
    <w:rsid w:val="007F1E3C"/>
    <w:rsid w:val="007F210B"/>
    <w:rsid w:val="007F2305"/>
    <w:rsid w:val="007F2A6E"/>
    <w:rsid w:val="007F2AF6"/>
    <w:rsid w:val="007F2BF9"/>
    <w:rsid w:val="007F2F9B"/>
    <w:rsid w:val="007F2FB7"/>
    <w:rsid w:val="007F31D4"/>
    <w:rsid w:val="007F3476"/>
    <w:rsid w:val="007F3667"/>
    <w:rsid w:val="007F36E7"/>
    <w:rsid w:val="007F3B48"/>
    <w:rsid w:val="007F3E6D"/>
    <w:rsid w:val="007F442F"/>
    <w:rsid w:val="007F4432"/>
    <w:rsid w:val="007F4B5C"/>
    <w:rsid w:val="007F4C3F"/>
    <w:rsid w:val="007F5932"/>
    <w:rsid w:val="007F596B"/>
    <w:rsid w:val="007F5BD4"/>
    <w:rsid w:val="007F5CC1"/>
    <w:rsid w:val="007F5E5B"/>
    <w:rsid w:val="007F5ED2"/>
    <w:rsid w:val="007F5FD2"/>
    <w:rsid w:val="007F6375"/>
    <w:rsid w:val="007F63D2"/>
    <w:rsid w:val="007F6774"/>
    <w:rsid w:val="007F6945"/>
    <w:rsid w:val="007F6D81"/>
    <w:rsid w:val="007F72BA"/>
    <w:rsid w:val="007F7353"/>
    <w:rsid w:val="007F7399"/>
    <w:rsid w:val="007F7524"/>
    <w:rsid w:val="007F7548"/>
    <w:rsid w:val="007F75B9"/>
    <w:rsid w:val="007F7C82"/>
    <w:rsid w:val="007F7E08"/>
    <w:rsid w:val="007F7FA7"/>
    <w:rsid w:val="00800225"/>
    <w:rsid w:val="008004DC"/>
    <w:rsid w:val="0080061F"/>
    <w:rsid w:val="0080087D"/>
    <w:rsid w:val="00800B71"/>
    <w:rsid w:val="00800FF8"/>
    <w:rsid w:val="00801318"/>
    <w:rsid w:val="008014E8"/>
    <w:rsid w:val="00801594"/>
    <w:rsid w:val="00801840"/>
    <w:rsid w:val="00801A04"/>
    <w:rsid w:val="00801C5E"/>
    <w:rsid w:val="00801D20"/>
    <w:rsid w:val="00801D58"/>
    <w:rsid w:val="00801E2C"/>
    <w:rsid w:val="00802038"/>
    <w:rsid w:val="0080205E"/>
    <w:rsid w:val="0080208F"/>
    <w:rsid w:val="008024D8"/>
    <w:rsid w:val="00802742"/>
    <w:rsid w:val="008027D6"/>
    <w:rsid w:val="00802DDE"/>
    <w:rsid w:val="00802F79"/>
    <w:rsid w:val="00802FF5"/>
    <w:rsid w:val="0080326C"/>
    <w:rsid w:val="008032B6"/>
    <w:rsid w:val="008034CB"/>
    <w:rsid w:val="0080360C"/>
    <w:rsid w:val="00803A1E"/>
    <w:rsid w:val="00803CFB"/>
    <w:rsid w:val="008044CB"/>
    <w:rsid w:val="0080471E"/>
    <w:rsid w:val="0080476C"/>
    <w:rsid w:val="00804A9B"/>
    <w:rsid w:val="00804DE5"/>
    <w:rsid w:val="008050E4"/>
    <w:rsid w:val="00805297"/>
    <w:rsid w:val="00805742"/>
    <w:rsid w:val="00805AED"/>
    <w:rsid w:val="00805D71"/>
    <w:rsid w:val="00806020"/>
    <w:rsid w:val="0080664B"/>
    <w:rsid w:val="0080698E"/>
    <w:rsid w:val="00806A1F"/>
    <w:rsid w:val="00806CA9"/>
    <w:rsid w:val="00806E2C"/>
    <w:rsid w:val="00806F34"/>
    <w:rsid w:val="00806F60"/>
    <w:rsid w:val="0080726C"/>
    <w:rsid w:val="00807C2F"/>
    <w:rsid w:val="00810086"/>
    <w:rsid w:val="00810089"/>
    <w:rsid w:val="00810205"/>
    <w:rsid w:val="008102E6"/>
    <w:rsid w:val="008102E8"/>
    <w:rsid w:val="00810485"/>
    <w:rsid w:val="0081083F"/>
    <w:rsid w:val="00810B33"/>
    <w:rsid w:val="00810CDB"/>
    <w:rsid w:val="00810EDC"/>
    <w:rsid w:val="00810F0B"/>
    <w:rsid w:val="0081128B"/>
    <w:rsid w:val="0081130E"/>
    <w:rsid w:val="008113EF"/>
    <w:rsid w:val="00811913"/>
    <w:rsid w:val="00811AF0"/>
    <w:rsid w:val="00811E56"/>
    <w:rsid w:val="0081223C"/>
    <w:rsid w:val="0081224D"/>
    <w:rsid w:val="0081254F"/>
    <w:rsid w:val="008125D4"/>
    <w:rsid w:val="0081262E"/>
    <w:rsid w:val="008132CB"/>
    <w:rsid w:val="0081339B"/>
    <w:rsid w:val="008134CD"/>
    <w:rsid w:val="008134E9"/>
    <w:rsid w:val="008138FC"/>
    <w:rsid w:val="00814457"/>
    <w:rsid w:val="008146AC"/>
    <w:rsid w:val="008146CC"/>
    <w:rsid w:val="00814C85"/>
    <w:rsid w:val="00814F11"/>
    <w:rsid w:val="00814F77"/>
    <w:rsid w:val="0081514B"/>
    <w:rsid w:val="0081552E"/>
    <w:rsid w:val="00815730"/>
    <w:rsid w:val="0081577F"/>
    <w:rsid w:val="008164F2"/>
    <w:rsid w:val="00816CFD"/>
    <w:rsid w:val="00816DC7"/>
    <w:rsid w:val="0081746B"/>
    <w:rsid w:val="00817AF6"/>
    <w:rsid w:val="00817F4E"/>
    <w:rsid w:val="00817FD2"/>
    <w:rsid w:val="00820104"/>
    <w:rsid w:val="008203D6"/>
    <w:rsid w:val="00820457"/>
    <w:rsid w:val="00820C58"/>
    <w:rsid w:val="00820F1F"/>
    <w:rsid w:val="00820F79"/>
    <w:rsid w:val="008212FA"/>
    <w:rsid w:val="00821699"/>
    <w:rsid w:val="00821810"/>
    <w:rsid w:val="0082195E"/>
    <w:rsid w:val="00821D28"/>
    <w:rsid w:val="00821F2F"/>
    <w:rsid w:val="00822204"/>
    <w:rsid w:val="008222C1"/>
    <w:rsid w:val="00822791"/>
    <w:rsid w:val="00822842"/>
    <w:rsid w:val="00822A9A"/>
    <w:rsid w:val="00822C53"/>
    <w:rsid w:val="00822C6A"/>
    <w:rsid w:val="00822EC2"/>
    <w:rsid w:val="0082304B"/>
    <w:rsid w:val="0082318D"/>
    <w:rsid w:val="00823921"/>
    <w:rsid w:val="00823A2D"/>
    <w:rsid w:val="00823A3D"/>
    <w:rsid w:val="00823ADD"/>
    <w:rsid w:val="00823BA2"/>
    <w:rsid w:val="0082408D"/>
    <w:rsid w:val="0082438F"/>
    <w:rsid w:val="00824689"/>
    <w:rsid w:val="00824BD9"/>
    <w:rsid w:val="00824EC9"/>
    <w:rsid w:val="0082527A"/>
    <w:rsid w:val="00825600"/>
    <w:rsid w:val="00825671"/>
    <w:rsid w:val="0082572D"/>
    <w:rsid w:val="00825743"/>
    <w:rsid w:val="0082580B"/>
    <w:rsid w:val="008258C2"/>
    <w:rsid w:val="00825A98"/>
    <w:rsid w:val="00825C94"/>
    <w:rsid w:val="00825D79"/>
    <w:rsid w:val="00826550"/>
    <w:rsid w:val="00826A68"/>
    <w:rsid w:val="00827050"/>
    <w:rsid w:val="00827090"/>
    <w:rsid w:val="00827773"/>
    <w:rsid w:val="00827784"/>
    <w:rsid w:val="008278E6"/>
    <w:rsid w:val="008301D7"/>
    <w:rsid w:val="00830280"/>
    <w:rsid w:val="0083031B"/>
    <w:rsid w:val="008303B3"/>
    <w:rsid w:val="008304DF"/>
    <w:rsid w:val="00830BE7"/>
    <w:rsid w:val="00830E82"/>
    <w:rsid w:val="00830E8A"/>
    <w:rsid w:val="00830F6F"/>
    <w:rsid w:val="008310BE"/>
    <w:rsid w:val="008310F3"/>
    <w:rsid w:val="00831505"/>
    <w:rsid w:val="0083197D"/>
    <w:rsid w:val="00831D5F"/>
    <w:rsid w:val="00831FCD"/>
    <w:rsid w:val="00832457"/>
    <w:rsid w:val="008329FE"/>
    <w:rsid w:val="00832A1C"/>
    <w:rsid w:val="00832C57"/>
    <w:rsid w:val="00832FDB"/>
    <w:rsid w:val="00833009"/>
    <w:rsid w:val="0083308E"/>
    <w:rsid w:val="008333F9"/>
    <w:rsid w:val="008336FE"/>
    <w:rsid w:val="008338F4"/>
    <w:rsid w:val="008339D1"/>
    <w:rsid w:val="00833ABA"/>
    <w:rsid w:val="00833B89"/>
    <w:rsid w:val="00833D7F"/>
    <w:rsid w:val="00833FFA"/>
    <w:rsid w:val="008342B0"/>
    <w:rsid w:val="008342DE"/>
    <w:rsid w:val="00834703"/>
    <w:rsid w:val="008348E8"/>
    <w:rsid w:val="008349E1"/>
    <w:rsid w:val="00834EE8"/>
    <w:rsid w:val="0083519C"/>
    <w:rsid w:val="00835401"/>
    <w:rsid w:val="00835BA5"/>
    <w:rsid w:val="00835F1F"/>
    <w:rsid w:val="00835F8B"/>
    <w:rsid w:val="008361E8"/>
    <w:rsid w:val="0083623B"/>
    <w:rsid w:val="00836279"/>
    <w:rsid w:val="0083636B"/>
    <w:rsid w:val="008367AD"/>
    <w:rsid w:val="00836832"/>
    <w:rsid w:val="00836BE1"/>
    <w:rsid w:val="00836DC7"/>
    <w:rsid w:val="00836F04"/>
    <w:rsid w:val="0083701C"/>
    <w:rsid w:val="008370B5"/>
    <w:rsid w:val="00837F8B"/>
    <w:rsid w:val="008401F0"/>
    <w:rsid w:val="008402C7"/>
    <w:rsid w:val="0084052E"/>
    <w:rsid w:val="008406D0"/>
    <w:rsid w:val="0084097C"/>
    <w:rsid w:val="0084113F"/>
    <w:rsid w:val="0084159C"/>
    <w:rsid w:val="00841708"/>
    <w:rsid w:val="00841731"/>
    <w:rsid w:val="00841760"/>
    <w:rsid w:val="00841770"/>
    <w:rsid w:val="00841848"/>
    <w:rsid w:val="00841C11"/>
    <w:rsid w:val="00841D6E"/>
    <w:rsid w:val="00841E11"/>
    <w:rsid w:val="00842046"/>
    <w:rsid w:val="00842385"/>
    <w:rsid w:val="008424F2"/>
    <w:rsid w:val="0084261E"/>
    <w:rsid w:val="00842754"/>
    <w:rsid w:val="00842824"/>
    <w:rsid w:val="00842ECC"/>
    <w:rsid w:val="008432A9"/>
    <w:rsid w:val="0084331E"/>
    <w:rsid w:val="00843641"/>
    <w:rsid w:val="00843B4C"/>
    <w:rsid w:val="00843C58"/>
    <w:rsid w:val="0084427F"/>
    <w:rsid w:val="00844407"/>
    <w:rsid w:val="00844B24"/>
    <w:rsid w:val="00844C6D"/>
    <w:rsid w:val="00844E62"/>
    <w:rsid w:val="00844E9D"/>
    <w:rsid w:val="008452D1"/>
    <w:rsid w:val="0084550B"/>
    <w:rsid w:val="008457C3"/>
    <w:rsid w:val="00845D7F"/>
    <w:rsid w:val="00845F19"/>
    <w:rsid w:val="00845F3B"/>
    <w:rsid w:val="008464A0"/>
    <w:rsid w:val="008466DF"/>
    <w:rsid w:val="008468A1"/>
    <w:rsid w:val="008469EF"/>
    <w:rsid w:val="00846D2A"/>
    <w:rsid w:val="00846E88"/>
    <w:rsid w:val="008470C8"/>
    <w:rsid w:val="008471C6"/>
    <w:rsid w:val="00847373"/>
    <w:rsid w:val="008473BB"/>
    <w:rsid w:val="00847419"/>
    <w:rsid w:val="00847473"/>
    <w:rsid w:val="0084759D"/>
    <w:rsid w:val="008475B8"/>
    <w:rsid w:val="00847A1E"/>
    <w:rsid w:val="00847B8E"/>
    <w:rsid w:val="00850509"/>
    <w:rsid w:val="00850B07"/>
    <w:rsid w:val="00850FDD"/>
    <w:rsid w:val="00850FFA"/>
    <w:rsid w:val="00851074"/>
    <w:rsid w:val="008510F4"/>
    <w:rsid w:val="0085112B"/>
    <w:rsid w:val="0085158B"/>
    <w:rsid w:val="00851665"/>
    <w:rsid w:val="008519F3"/>
    <w:rsid w:val="00851BF3"/>
    <w:rsid w:val="00852119"/>
    <w:rsid w:val="00852286"/>
    <w:rsid w:val="008525AF"/>
    <w:rsid w:val="00852B08"/>
    <w:rsid w:val="00852CAA"/>
    <w:rsid w:val="008533EE"/>
    <w:rsid w:val="00853576"/>
    <w:rsid w:val="008539D7"/>
    <w:rsid w:val="00853E39"/>
    <w:rsid w:val="00853FA6"/>
    <w:rsid w:val="00854206"/>
    <w:rsid w:val="008546EF"/>
    <w:rsid w:val="0085494F"/>
    <w:rsid w:val="00854A0C"/>
    <w:rsid w:val="00854A66"/>
    <w:rsid w:val="00854C16"/>
    <w:rsid w:val="00855054"/>
    <w:rsid w:val="008550D7"/>
    <w:rsid w:val="008553E7"/>
    <w:rsid w:val="00855580"/>
    <w:rsid w:val="00855609"/>
    <w:rsid w:val="008556B9"/>
    <w:rsid w:val="00855909"/>
    <w:rsid w:val="0085598F"/>
    <w:rsid w:val="00855BDC"/>
    <w:rsid w:val="00855DC3"/>
    <w:rsid w:val="00855EF3"/>
    <w:rsid w:val="00856050"/>
    <w:rsid w:val="008562A2"/>
    <w:rsid w:val="008562C9"/>
    <w:rsid w:val="008562D1"/>
    <w:rsid w:val="0085630D"/>
    <w:rsid w:val="00856492"/>
    <w:rsid w:val="008566E4"/>
    <w:rsid w:val="0085699E"/>
    <w:rsid w:val="00856ABE"/>
    <w:rsid w:val="00856D2E"/>
    <w:rsid w:val="0085756C"/>
    <w:rsid w:val="008575CB"/>
    <w:rsid w:val="008575DE"/>
    <w:rsid w:val="00857A37"/>
    <w:rsid w:val="00857BE1"/>
    <w:rsid w:val="00860035"/>
    <w:rsid w:val="00860098"/>
    <w:rsid w:val="00860290"/>
    <w:rsid w:val="008604C9"/>
    <w:rsid w:val="008606D5"/>
    <w:rsid w:val="0086072D"/>
    <w:rsid w:val="00860790"/>
    <w:rsid w:val="008608B6"/>
    <w:rsid w:val="00860D33"/>
    <w:rsid w:val="00860F0A"/>
    <w:rsid w:val="0086115D"/>
    <w:rsid w:val="00861228"/>
    <w:rsid w:val="00861244"/>
    <w:rsid w:val="008612A3"/>
    <w:rsid w:val="0086141E"/>
    <w:rsid w:val="0086191A"/>
    <w:rsid w:val="00862183"/>
    <w:rsid w:val="0086227B"/>
    <w:rsid w:val="00862732"/>
    <w:rsid w:val="008629D9"/>
    <w:rsid w:val="00862AF3"/>
    <w:rsid w:val="00862D41"/>
    <w:rsid w:val="00862D88"/>
    <w:rsid w:val="00862FDA"/>
    <w:rsid w:val="008630E2"/>
    <w:rsid w:val="0086326D"/>
    <w:rsid w:val="00863B18"/>
    <w:rsid w:val="0086404A"/>
    <w:rsid w:val="00864A4B"/>
    <w:rsid w:val="00864E62"/>
    <w:rsid w:val="00864F67"/>
    <w:rsid w:val="008656B0"/>
    <w:rsid w:val="00865ABF"/>
    <w:rsid w:val="00865E44"/>
    <w:rsid w:val="008661A5"/>
    <w:rsid w:val="00866249"/>
    <w:rsid w:val="0086634B"/>
    <w:rsid w:val="00866433"/>
    <w:rsid w:val="00866B79"/>
    <w:rsid w:val="00866CE8"/>
    <w:rsid w:val="00866F2A"/>
    <w:rsid w:val="00866F35"/>
    <w:rsid w:val="00866FDF"/>
    <w:rsid w:val="00867134"/>
    <w:rsid w:val="0086728F"/>
    <w:rsid w:val="008677AA"/>
    <w:rsid w:val="00867BD9"/>
    <w:rsid w:val="00867E44"/>
    <w:rsid w:val="0087064B"/>
    <w:rsid w:val="00870695"/>
    <w:rsid w:val="0087102E"/>
    <w:rsid w:val="0087130F"/>
    <w:rsid w:val="00871401"/>
    <w:rsid w:val="00871429"/>
    <w:rsid w:val="008716BC"/>
    <w:rsid w:val="0087178C"/>
    <w:rsid w:val="008717BE"/>
    <w:rsid w:val="00871976"/>
    <w:rsid w:val="00871E83"/>
    <w:rsid w:val="00872033"/>
    <w:rsid w:val="0087219E"/>
    <w:rsid w:val="00872267"/>
    <w:rsid w:val="008723DE"/>
    <w:rsid w:val="0087285D"/>
    <w:rsid w:val="00872DB8"/>
    <w:rsid w:val="00872E14"/>
    <w:rsid w:val="00872E96"/>
    <w:rsid w:val="00872F01"/>
    <w:rsid w:val="0087312D"/>
    <w:rsid w:val="008733EA"/>
    <w:rsid w:val="00873762"/>
    <w:rsid w:val="00873AB6"/>
    <w:rsid w:val="00873B3B"/>
    <w:rsid w:val="0087404D"/>
    <w:rsid w:val="008742A9"/>
    <w:rsid w:val="008742B8"/>
    <w:rsid w:val="008743EA"/>
    <w:rsid w:val="008743ED"/>
    <w:rsid w:val="00874675"/>
    <w:rsid w:val="008746CB"/>
    <w:rsid w:val="008746F7"/>
    <w:rsid w:val="00874743"/>
    <w:rsid w:val="00874792"/>
    <w:rsid w:val="00875134"/>
    <w:rsid w:val="00875708"/>
    <w:rsid w:val="00875850"/>
    <w:rsid w:val="00875A57"/>
    <w:rsid w:val="008760AF"/>
    <w:rsid w:val="00876437"/>
    <w:rsid w:val="008768BD"/>
    <w:rsid w:val="008768E0"/>
    <w:rsid w:val="00876A56"/>
    <w:rsid w:val="00876BA1"/>
    <w:rsid w:val="00876F1D"/>
    <w:rsid w:val="0087722E"/>
    <w:rsid w:val="00877282"/>
    <w:rsid w:val="008772BF"/>
    <w:rsid w:val="008772C2"/>
    <w:rsid w:val="008776B1"/>
    <w:rsid w:val="00877A50"/>
    <w:rsid w:val="00877ACA"/>
    <w:rsid w:val="00877AF5"/>
    <w:rsid w:val="008800A9"/>
    <w:rsid w:val="00880104"/>
    <w:rsid w:val="0088024C"/>
    <w:rsid w:val="0088024E"/>
    <w:rsid w:val="0088066A"/>
    <w:rsid w:val="00880B58"/>
    <w:rsid w:val="00880D63"/>
    <w:rsid w:val="00880E31"/>
    <w:rsid w:val="00880E6C"/>
    <w:rsid w:val="00880FC1"/>
    <w:rsid w:val="0088109C"/>
    <w:rsid w:val="0088160B"/>
    <w:rsid w:val="00881941"/>
    <w:rsid w:val="00881C7B"/>
    <w:rsid w:val="00881CAA"/>
    <w:rsid w:val="00881F1F"/>
    <w:rsid w:val="00881F32"/>
    <w:rsid w:val="0088216B"/>
    <w:rsid w:val="0088229F"/>
    <w:rsid w:val="00882370"/>
    <w:rsid w:val="00882693"/>
    <w:rsid w:val="00883074"/>
    <w:rsid w:val="008830B4"/>
    <w:rsid w:val="008832E6"/>
    <w:rsid w:val="00883749"/>
    <w:rsid w:val="0088398C"/>
    <w:rsid w:val="0088399C"/>
    <w:rsid w:val="00883B9D"/>
    <w:rsid w:val="00883DA8"/>
    <w:rsid w:val="00883EE5"/>
    <w:rsid w:val="008842A5"/>
    <w:rsid w:val="00884531"/>
    <w:rsid w:val="00884EFE"/>
    <w:rsid w:val="00885387"/>
    <w:rsid w:val="008853C2"/>
    <w:rsid w:val="00885952"/>
    <w:rsid w:val="008864A9"/>
    <w:rsid w:val="00886765"/>
    <w:rsid w:val="00886AA7"/>
    <w:rsid w:val="00886C48"/>
    <w:rsid w:val="00886DA3"/>
    <w:rsid w:val="0088704D"/>
    <w:rsid w:val="008870CF"/>
    <w:rsid w:val="0088718C"/>
    <w:rsid w:val="00887216"/>
    <w:rsid w:val="00887918"/>
    <w:rsid w:val="00887C30"/>
    <w:rsid w:val="00887DE4"/>
    <w:rsid w:val="008905F2"/>
    <w:rsid w:val="00890683"/>
    <w:rsid w:val="00890924"/>
    <w:rsid w:val="00890E8B"/>
    <w:rsid w:val="00891028"/>
    <w:rsid w:val="0089114A"/>
    <w:rsid w:val="00891164"/>
    <w:rsid w:val="008911CE"/>
    <w:rsid w:val="00891452"/>
    <w:rsid w:val="008914C8"/>
    <w:rsid w:val="0089172C"/>
    <w:rsid w:val="00891A59"/>
    <w:rsid w:val="00891BC3"/>
    <w:rsid w:val="00892045"/>
    <w:rsid w:val="0089220A"/>
    <w:rsid w:val="00892607"/>
    <w:rsid w:val="008928B2"/>
    <w:rsid w:val="008929C5"/>
    <w:rsid w:val="00892A87"/>
    <w:rsid w:val="00892D95"/>
    <w:rsid w:val="00892E2E"/>
    <w:rsid w:val="00893844"/>
    <w:rsid w:val="008941D2"/>
    <w:rsid w:val="00894440"/>
    <w:rsid w:val="00894522"/>
    <w:rsid w:val="0089494F"/>
    <w:rsid w:val="00894B82"/>
    <w:rsid w:val="00894C97"/>
    <w:rsid w:val="008953B8"/>
    <w:rsid w:val="008953CD"/>
    <w:rsid w:val="008959D3"/>
    <w:rsid w:val="00895E16"/>
    <w:rsid w:val="00895F12"/>
    <w:rsid w:val="00895F7C"/>
    <w:rsid w:val="00895F7F"/>
    <w:rsid w:val="00896093"/>
    <w:rsid w:val="00896153"/>
    <w:rsid w:val="00896722"/>
    <w:rsid w:val="00897034"/>
    <w:rsid w:val="008973D9"/>
    <w:rsid w:val="00897485"/>
    <w:rsid w:val="00897511"/>
    <w:rsid w:val="008977B7"/>
    <w:rsid w:val="00897C35"/>
    <w:rsid w:val="00897E72"/>
    <w:rsid w:val="00897E9F"/>
    <w:rsid w:val="008A064D"/>
    <w:rsid w:val="008A092C"/>
    <w:rsid w:val="008A09BE"/>
    <w:rsid w:val="008A0BD0"/>
    <w:rsid w:val="008A0D24"/>
    <w:rsid w:val="008A1304"/>
    <w:rsid w:val="008A18A0"/>
    <w:rsid w:val="008A208E"/>
    <w:rsid w:val="008A2130"/>
    <w:rsid w:val="008A28E5"/>
    <w:rsid w:val="008A2999"/>
    <w:rsid w:val="008A2BA9"/>
    <w:rsid w:val="008A2DBE"/>
    <w:rsid w:val="008A3205"/>
    <w:rsid w:val="008A3553"/>
    <w:rsid w:val="008A36A7"/>
    <w:rsid w:val="008A386E"/>
    <w:rsid w:val="008A3C67"/>
    <w:rsid w:val="008A407F"/>
    <w:rsid w:val="008A432B"/>
    <w:rsid w:val="008A433C"/>
    <w:rsid w:val="008A462D"/>
    <w:rsid w:val="008A4630"/>
    <w:rsid w:val="008A4737"/>
    <w:rsid w:val="008A4AB1"/>
    <w:rsid w:val="008A4B5A"/>
    <w:rsid w:val="008A4DC7"/>
    <w:rsid w:val="008A4E12"/>
    <w:rsid w:val="008A574A"/>
    <w:rsid w:val="008A58C6"/>
    <w:rsid w:val="008A5AC4"/>
    <w:rsid w:val="008A5DD0"/>
    <w:rsid w:val="008A5F9D"/>
    <w:rsid w:val="008A5FFD"/>
    <w:rsid w:val="008A690B"/>
    <w:rsid w:val="008A6C5F"/>
    <w:rsid w:val="008A6F68"/>
    <w:rsid w:val="008A7263"/>
    <w:rsid w:val="008A72A4"/>
    <w:rsid w:val="008A7BB6"/>
    <w:rsid w:val="008A7DE3"/>
    <w:rsid w:val="008B0216"/>
    <w:rsid w:val="008B02A3"/>
    <w:rsid w:val="008B063D"/>
    <w:rsid w:val="008B0754"/>
    <w:rsid w:val="008B0D67"/>
    <w:rsid w:val="008B0D89"/>
    <w:rsid w:val="008B1443"/>
    <w:rsid w:val="008B1A06"/>
    <w:rsid w:val="008B1A62"/>
    <w:rsid w:val="008B1A79"/>
    <w:rsid w:val="008B1BAC"/>
    <w:rsid w:val="008B1E88"/>
    <w:rsid w:val="008B1FC2"/>
    <w:rsid w:val="008B2099"/>
    <w:rsid w:val="008B24AC"/>
    <w:rsid w:val="008B3266"/>
    <w:rsid w:val="008B328F"/>
    <w:rsid w:val="008B3535"/>
    <w:rsid w:val="008B3692"/>
    <w:rsid w:val="008B3ADC"/>
    <w:rsid w:val="008B419D"/>
    <w:rsid w:val="008B4586"/>
    <w:rsid w:val="008B46F1"/>
    <w:rsid w:val="008B4CA3"/>
    <w:rsid w:val="008B5206"/>
    <w:rsid w:val="008B5352"/>
    <w:rsid w:val="008B5713"/>
    <w:rsid w:val="008B5834"/>
    <w:rsid w:val="008B62D5"/>
    <w:rsid w:val="008B6545"/>
    <w:rsid w:val="008B6BC8"/>
    <w:rsid w:val="008B6FC2"/>
    <w:rsid w:val="008B7415"/>
    <w:rsid w:val="008B7584"/>
    <w:rsid w:val="008B776D"/>
    <w:rsid w:val="008C0264"/>
    <w:rsid w:val="008C03A0"/>
    <w:rsid w:val="008C0A6D"/>
    <w:rsid w:val="008C0AF0"/>
    <w:rsid w:val="008C0F0F"/>
    <w:rsid w:val="008C0FD5"/>
    <w:rsid w:val="008C1199"/>
    <w:rsid w:val="008C159F"/>
    <w:rsid w:val="008C16E3"/>
    <w:rsid w:val="008C1783"/>
    <w:rsid w:val="008C1C8A"/>
    <w:rsid w:val="008C1CDE"/>
    <w:rsid w:val="008C1FF0"/>
    <w:rsid w:val="008C21DE"/>
    <w:rsid w:val="008C2312"/>
    <w:rsid w:val="008C2854"/>
    <w:rsid w:val="008C2A4E"/>
    <w:rsid w:val="008C2BA5"/>
    <w:rsid w:val="008C2BBB"/>
    <w:rsid w:val="008C2D86"/>
    <w:rsid w:val="008C2F99"/>
    <w:rsid w:val="008C31B0"/>
    <w:rsid w:val="008C32A4"/>
    <w:rsid w:val="008C3CCD"/>
    <w:rsid w:val="008C3FBD"/>
    <w:rsid w:val="008C4190"/>
    <w:rsid w:val="008C421C"/>
    <w:rsid w:val="008C44DD"/>
    <w:rsid w:val="008C4E41"/>
    <w:rsid w:val="008C4F39"/>
    <w:rsid w:val="008C4F79"/>
    <w:rsid w:val="008C5046"/>
    <w:rsid w:val="008C50AE"/>
    <w:rsid w:val="008C6052"/>
    <w:rsid w:val="008C61E8"/>
    <w:rsid w:val="008C66B5"/>
    <w:rsid w:val="008C6940"/>
    <w:rsid w:val="008C69D4"/>
    <w:rsid w:val="008C6C66"/>
    <w:rsid w:val="008C6D99"/>
    <w:rsid w:val="008C7233"/>
    <w:rsid w:val="008C7250"/>
    <w:rsid w:val="008C72D7"/>
    <w:rsid w:val="008C7383"/>
    <w:rsid w:val="008C7411"/>
    <w:rsid w:val="008C7423"/>
    <w:rsid w:val="008C74E8"/>
    <w:rsid w:val="008C76C6"/>
    <w:rsid w:val="008C780A"/>
    <w:rsid w:val="008C796B"/>
    <w:rsid w:val="008C7DAA"/>
    <w:rsid w:val="008D0378"/>
    <w:rsid w:val="008D0A9E"/>
    <w:rsid w:val="008D0DFD"/>
    <w:rsid w:val="008D0E21"/>
    <w:rsid w:val="008D110C"/>
    <w:rsid w:val="008D11CA"/>
    <w:rsid w:val="008D1589"/>
    <w:rsid w:val="008D16FD"/>
    <w:rsid w:val="008D1966"/>
    <w:rsid w:val="008D1A2C"/>
    <w:rsid w:val="008D1EBD"/>
    <w:rsid w:val="008D1F9C"/>
    <w:rsid w:val="008D2155"/>
    <w:rsid w:val="008D241E"/>
    <w:rsid w:val="008D2B44"/>
    <w:rsid w:val="008D2CEE"/>
    <w:rsid w:val="008D2CF9"/>
    <w:rsid w:val="008D34D2"/>
    <w:rsid w:val="008D3556"/>
    <w:rsid w:val="008D3D5E"/>
    <w:rsid w:val="008D3F01"/>
    <w:rsid w:val="008D41CA"/>
    <w:rsid w:val="008D47C5"/>
    <w:rsid w:val="008D4B0C"/>
    <w:rsid w:val="008D4C51"/>
    <w:rsid w:val="008D4ECC"/>
    <w:rsid w:val="008D557D"/>
    <w:rsid w:val="008D5C92"/>
    <w:rsid w:val="008D5C95"/>
    <w:rsid w:val="008D6082"/>
    <w:rsid w:val="008D658F"/>
    <w:rsid w:val="008D6609"/>
    <w:rsid w:val="008D6734"/>
    <w:rsid w:val="008D678E"/>
    <w:rsid w:val="008D6A73"/>
    <w:rsid w:val="008D6C0E"/>
    <w:rsid w:val="008D6CFD"/>
    <w:rsid w:val="008D6F61"/>
    <w:rsid w:val="008D70E8"/>
    <w:rsid w:val="008D712F"/>
    <w:rsid w:val="008D774F"/>
    <w:rsid w:val="008D77DF"/>
    <w:rsid w:val="008D7913"/>
    <w:rsid w:val="008D7A4B"/>
    <w:rsid w:val="008D7B86"/>
    <w:rsid w:val="008D7C77"/>
    <w:rsid w:val="008E0005"/>
    <w:rsid w:val="008E00A8"/>
    <w:rsid w:val="008E00D6"/>
    <w:rsid w:val="008E0633"/>
    <w:rsid w:val="008E0A89"/>
    <w:rsid w:val="008E11F0"/>
    <w:rsid w:val="008E141E"/>
    <w:rsid w:val="008E1750"/>
    <w:rsid w:val="008E18A6"/>
    <w:rsid w:val="008E18D6"/>
    <w:rsid w:val="008E19C4"/>
    <w:rsid w:val="008E1A1C"/>
    <w:rsid w:val="008E1E5B"/>
    <w:rsid w:val="008E20CC"/>
    <w:rsid w:val="008E26C1"/>
    <w:rsid w:val="008E2F13"/>
    <w:rsid w:val="008E30B1"/>
    <w:rsid w:val="008E32C2"/>
    <w:rsid w:val="008E337B"/>
    <w:rsid w:val="008E37F4"/>
    <w:rsid w:val="008E3F52"/>
    <w:rsid w:val="008E454C"/>
    <w:rsid w:val="008E4735"/>
    <w:rsid w:val="008E476B"/>
    <w:rsid w:val="008E4958"/>
    <w:rsid w:val="008E497A"/>
    <w:rsid w:val="008E4C0E"/>
    <w:rsid w:val="008E4E6E"/>
    <w:rsid w:val="008E512B"/>
    <w:rsid w:val="008E5548"/>
    <w:rsid w:val="008E5732"/>
    <w:rsid w:val="008E5894"/>
    <w:rsid w:val="008E5A9A"/>
    <w:rsid w:val="008E5E99"/>
    <w:rsid w:val="008E5F9C"/>
    <w:rsid w:val="008E6081"/>
    <w:rsid w:val="008E625E"/>
    <w:rsid w:val="008E64BD"/>
    <w:rsid w:val="008E66DB"/>
    <w:rsid w:val="008E677C"/>
    <w:rsid w:val="008E6846"/>
    <w:rsid w:val="008E6A25"/>
    <w:rsid w:val="008E6B82"/>
    <w:rsid w:val="008E6F9A"/>
    <w:rsid w:val="008E704A"/>
    <w:rsid w:val="008E74D8"/>
    <w:rsid w:val="008E76B0"/>
    <w:rsid w:val="008E7BE7"/>
    <w:rsid w:val="008E7C7A"/>
    <w:rsid w:val="008E7C86"/>
    <w:rsid w:val="008E7D39"/>
    <w:rsid w:val="008E7DCE"/>
    <w:rsid w:val="008F00B3"/>
    <w:rsid w:val="008F01E2"/>
    <w:rsid w:val="008F022E"/>
    <w:rsid w:val="008F05B9"/>
    <w:rsid w:val="008F0751"/>
    <w:rsid w:val="008F0939"/>
    <w:rsid w:val="008F0A75"/>
    <w:rsid w:val="008F0AA7"/>
    <w:rsid w:val="008F0C7E"/>
    <w:rsid w:val="008F11A4"/>
    <w:rsid w:val="008F1838"/>
    <w:rsid w:val="008F1AE4"/>
    <w:rsid w:val="008F1E8E"/>
    <w:rsid w:val="008F212C"/>
    <w:rsid w:val="008F23AF"/>
    <w:rsid w:val="008F23FB"/>
    <w:rsid w:val="008F2725"/>
    <w:rsid w:val="008F2B04"/>
    <w:rsid w:val="008F2D0A"/>
    <w:rsid w:val="008F32FB"/>
    <w:rsid w:val="008F370C"/>
    <w:rsid w:val="008F4280"/>
    <w:rsid w:val="008F4359"/>
    <w:rsid w:val="008F4617"/>
    <w:rsid w:val="008F46DC"/>
    <w:rsid w:val="008F4C3A"/>
    <w:rsid w:val="008F4CEA"/>
    <w:rsid w:val="008F4E70"/>
    <w:rsid w:val="008F4F71"/>
    <w:rsid w:val="008F525D"/>
    <w:rsid w:val="008F5459"/>
    <w:rsid w:val="008F5494"/>
    <w:rsid w:val="008F5525"/>
    <w:rsid w:val="008F5612"/>
    <w:rsid w:val="008F58C0"/>
    <w:rsid w:val="008F5978"/>
    <w:rsid w:val="008F5D46"/>
    <w:rsid w:val="008F5F37"/>
    <w:rsid w:val="008F62F3"/>
    <w:rsid w:val="008F639C"/>
    <w:rsid w:val="008F71EF"/>
    <w:rsid w:val="008F7205"/>
    <w:rsid w:val="008F7425"/>
    <w:rsid w:val="008F75E4"/>
    <w:rsid w:val="008F7CB0"/>
    <w:rsid w:val="008F7D51"/>
    <w:rsid w:val="008F7E2D"/>
    <w:rsid w:val="008F7E92"/>
    <w:rsid w:val="008F7F8E"/>
    <w:rsid w:val="009000C6"/>
    <w:rsid w:val="009004E4"/>
    <w:rsid w:val="00900560"/>
    <w:rsid w:val="00900671"/>
    <w:rsid w:val="00900A61"/>
    <w:rsid w:val="00900ACB"/>
    <w:rsid w:val="00900B51"/>
    <w:rsid w:val="00900BB8"/>
    <w:rsid w:val="00900CBF"/>
    <w:rsid w:val="00901266"/>
    <w:rsid w:val="00901509"/>
    <w:rsid w:val="009016AB"/>
    <w:rsid w:val="009017D0"/>
    <w:rsid w:val="00901837"/>
    <w:rsid w:val="009020A3"/>
    <w:rsid w:val="0090242B"/>
    <w:rsid w:val="009024BC"/>
    <w:rsid w:val="00902523"/>
    <w:rsid w:val="00902580"/>
    <w:rsid w:val="00902A25"/>
    <w:rsid w:val="00902B9F"/>
    <w:rsid w:val="00902BAD"/>
    <w:rsid w:val="00902F41"/>
    <w:rsid w:val="0090305B"/>
    <w:rsid w:val="009030DE"/>
    <w:rsid w:val="00903200"/>
    <w:rsid w:val="009039B1"/>
    <w:rsid w:val="00903C53"/>
    <w:rsid w:val="009040E4"/>
    <w:rsid w:val="009048CE"/>
    <w:rsid w:val="00904F11"/>
    <w:rsid w:val="00905307"/>
    <w:rsid w:val="00905480"/>
    <w:rsid w:val="00905954"/>
    <w:rsid w:val="00905C15"/>
    <w:rsid w:val="009060AA"/>
    <w:rsid w:val="009061AD"/>
    <w:rsid w:val="009062BE"/>
    <w:rsid w:val="00906512"/>
    <w:rsid w:val="00906603"/>
    <w:rsid w:val="009066A5"/>
    <w:rsid w:val="00906A21"/>
    <w:rsid w:val="00906DA4"/>
    <w:rsid w:val="00907003"/>
    <w:rsid w:val="0090705B"/>
    <w:rsid w:val="00907283"/>
    <w:rsid w:val="00907696"/>
    <w:rsid w:val="00907757"/>
    <w:rsid w:val="009079F1"/>
    <w:rsid w:val="00907BB8"/>
    <w:rsid w:val="0091010B"/>
    <w:rsid w:val="0091012C"/>
    <w:rsid w:val="00910279"/>
    <w:rsid w:val="009102E8"/>
    <w:rsid w:val="009102F0"/>
    <w:rsid w:val="009102F2"/>
    <w:rsid w:val="00910536"/>
    <w:rsid w:val="0091097E"/>
    <w:rsid w:val="00910B6F"/>
    <w:rsid w:val="00910D12"/>
    <w:rsid w:val="00910D65"/>
    <w:rsid w:val="00911105"/>
    <w:rsid w:val="009113FD"/>
    <w:rsid w:val="00911420"/>
    <w:rsid w:val="00911998"/>
    <w:rsid w:val="00912325"/>
    <w:rsid w:val="00912615"/>
    <w:rsid w:val="009128E7"/>
    <w:rsid w:val="00912A59"/>
    <w:rsid w:val="00912A78"/>
    <w:rsid w:val="00912E13"/>
    <w:rsid w:val="00913029"/>
    <w:rsid w:val="0091321F"/>
    <w:rsid w:val="00913908"/>
    <w:rsid w:val="00913F09"/>
    <w:rsid w:val="0091415B"/>
    <w:rsid w:val="009147E3"/>
    <w:rsid w:val="009148BC"/>
    <w:rsid w:val="00914A8B"/>
    <w:rsid w:val="00915069"/>
    <w:rsid w:val="009150B9"/>
    <w:rsid w:val="009153E5"/>
    <w:rsid w:val="009155C0"/>
    <w:rsid w:val="00915845"/>
    <w:rsid w:val="00915E7F"/>
    <w:rsid w:val="00915F9D"/>
    <w:rsid w:val="00916590"/>
    <w:rsid w:val="00916840"/>
    <w:rsid w:val="00916BDF"/>
    <w:rsid w:val="009171A3"/>
    <w:rsid w:val="009173BD"/>
    <w:rsid w:val="00917485"/>
    <w:rsid w:val="009175BA"/>
    <w:rsid w:val="00917635"/>
    <w:rsid w:val="00917C92"/>
    <w:rsid w:val="00917CBA"/>
    <w:rsid w:val="00917E8A"/>
    <w:rsid w:val="00917F17"/>
    <w:rsid w:val="00920536"/>
    <w:rsid w:val="00920634"/>
    <w:rsid w:val="00920701"/>
    <w:rsid w:val="00920842"/>
    <w:rsid w:val="00920AB8"/>
    <w:rsid w:val="00920F1A"/>
    <w:rsid w:val="00920F64"/>
    <w:rsid w:val="009212A8"/>
    <w:rsid w:val="009214DD"/>
    <w:rsid w:val="009217AB"/>
    <w:rsid w:val="009217C6"/>
    <w:rsid w:val="0092195B"/>
    <w:rsid w:val="00921A17"/>
    <w:rsid w:val="00921BE4"/>
    <w:rsid w:val="00921E49"/>
    <w:rsid w:val="00921EBE"/>
    <w:rsid w:val="009220BF"/>
    <w:rsid w:val="00922543"/>
    <w:rsid w:val="00922C11"/>
    <w:rsid w:val="00922E57"/>
    <w:rsid w:val="00922EFB"/>
    <w:rsid w:val="00923027"/>
    <w:rsid w:val="00923386"/>
    <w:rsid w:val="00923B64"/>
    <w:rsid w:val="00923D49"/>
    <w:rsid w:val="00923FDB"/>
    <w:rsid w:val="00924101"/>
    <w:rsid w:val="00924528"/>
    <w:rsid w:val="0092454E"/>
    <w:rsid w:val="00924577"/>
    <w:rsid w:val="0092458A"/>
    <w:rsid w:val="009248EB"/>
    <w:rsid w:val="00925018"/>
    <w:rsid w:val="00925819"/>
    <w:rsid w:val="00925EF0"/>
    <w:rsid w:val="00926305"/>
    <w:rsid w:val="00926633"/>
    <w:rsid w:val="00926653"/>
    <w:rsid w:val="009267B3"/>
    <w:rsid w:val="00926A29"/>
    <w:rsid w:val="00926AF0"/>
    <w:rsid w:val="0092701A"/>
    <w:rsid w:val="00927117"/>
    <w:rsid w:val="009271EC"/>
    <w:rsid w:val="009272DE"/>
    <w:rsid w:val="00927576"/>
    <w:rsid w:val="009277AB"/>
    <w:rsid w:val="009278C3"/>
    <w:rsid w:val="00927967"/>
    <w:rsid w:val="00927CA1"/>
    <w:rsid w:val="00927ECA"/>
    <w:rsid w:val="00927F49"/>
    <w:rsid w:val="00930020"/>
    <w:rsid w:val="00930329"/>
    <w:rsid w:val="00930416"/>
    <w:rsid w:val="00930923"/>
    <w:rsid w:val="00930AC9"/>
    <w:rsid w:val="00930B95"/>
    <w:rsid w:val="0093101F"/>
    <w:rsid w:val="00931676"/>
    <w:rsid w:val="0093198C"/>
    <w:rsid w:val="00931A28"/>
    <w:rsid w:val="00931ADC"/>
    <w:rsid w:val="00931CD3"/>
    <w:rsid w:val="00931DD7"/>
    <w:rsid w:val="00931E17"/>
    <w:rsid w:val="00932323"/>
    <w:rsid w:val="00932384"/>
    <w:rsid w:val="0093238A"/>
    <w:rsid w:val="00932601"/>
    <w:rsid w:val="00932BFE"/>
    <w:rsid w:val="00932C74"/>
    <w:rsid w:val="00933078"/>
    <w:rsid w:val="00933339"/>
    <w:rsid w:val="0093352E"/>
    <w:rsid w:val="00933E59"/>
    <w:rsid w:val="00933E6F"/>
    <w:rsid w:val="00933EB3"/>
    <w:rsid w:val="009348AD"/>
    <w:rsid w:val="00934F05"/>
    <w:rsid w:val="00935074"/>
    <w:rsid w:val="009354E4"/>
    <w:rsid w:val="0093577F"/>
    <w:rsid w:val="00935B36"/>
    <w:rsid w:val="00935C4F"/>
    <w:rsid w:val="00936067"/>
    <w:rsid w:val="00936A40"/>
    <w:rsid w:val="00936B9F"/>
    <w:rsid w:val="00936BC1"/>
    <w:rsid w:val="0093707A"/>
    <w:rsid w:val="00937103"/>
    <w:rsid w:val="00937292"/>
    <w:rsid w:val="009372DE"/>
    <w:rsid w:val="009372F3"/>
    <w:rsid w:val="009376DE"/>
    <w:rsid w:val="00937702"/>
    <w:rsid w:val="00937AFB"/>
    <w:rsid w:val="00940362"/>
    <w:rsid w:val="00940521"/>
    <w:rsid w:val="0094065C"/>
    <w:rsid w:val="0094072E"/>
    <w:rsid w:val="009407DC"/>
    <w:rsid w:val="00940859"/>
    <w:rsid w:val="00940C8C"/>
    <w:rsid w:val="00940EFE"/>
    <w:rsid w:val="00941367"/>
    <w:rsid w:val="00941427"/>
    <w:rsid w:val="00941501"/>
    <w:rsid w:val="009417A3"/>
    <w:rsid w:val="00941AFC"/>
    <w:rsid w:val="00941BC9"/>
    <w:rsid w:val="00941D95"/>
    <w:rsid w:val="00941F78"/>
    <w:rsid w:val="0094273F"/>
    <w:rsid w:val="00942A23"/>
    <w:rsid w:val="00942A7C"/>
    <w:rsid w:val="00942DF0"/>
    <w:rsid w:val="00943435"/>
    <w:rsid w:val="0094366C"/>
    <w:rsid w:val="00943B9A"/>
    <w:rsid w:val="00943D4C"/>
    <w:rsid w:val="009440A4"/>
    <w:rsid w:val="00944100"/>
    <w:rsid w:val="009444C5"/>
    <w:rsid w:val="00944512"/>
    <w:rsid w:val="00944A35"/>
    <w:rsid w:val="00944CE0"/>
    <w:rsid w:val="00944F39"/>
    <w:rsid w:val="00944F48"/>
    <w:rsid w:val="009452BE"/>
    <w:rsid w:val="0094535B"/>
    <w:rsid w:val="009453ED"/>
    <w:rsid w:val="00945C5B"/>
    <w:rsid w:val="00945ECA"/>
    <w:rsid w:val="00946803"/>
    <w:rsid w:val="00946DBA"/>
    <w:rsid w:val="00946DF2"/>
    <w:rsid w:val="00946E66"/>
    <w:rsid w:val="00946F54"/>
    <w:rsid w:val="009471EB"/>
    <w:rsid w:val="00947348"/>
    <w:rsid w:val="009476A3"/>
    <w:rsid w:val="009476CF"/>
    <w:rsid w:val="00947A4C"/>
    <w:rsid w:val="00947A64"/>
    <w:rsid w:val="00947B75"/>
    <w:rsid w:val="00950549"/>
    <w:rsid w:val="00950573"/>
    <w:rsid w:val="009506FF"/>
    <w:rsid w:val="00950787"/>
    <w:rsid w:val="009509AD"/>
    <w:rsid w:val="00950B6C"/>
    <w:rsid w:val="009513C2"/>
    <w:rsid w:val="009515F9"/>
    <w:rsid w:val="0095168C"/>
    <w:rsid w:val="009518C4"/>
    <w:rsid w:val="0095196F"/>
    <w:rsid w:val="009519BD"/>
    <w:rsid w:val="009520DC"/>
    <w:rsid w:val="009524A7"/>
    <w:rsid w:val="00952FC5"/>
    <w:rsid w:val="00952FFD"/>
    <w:rsid w:val="0095303F"/>
    <w:rsid w:val="009531E9"/>
    <w:rsid w:val="00953420"/>
    <w:rsid w:val="009534B5"/>
    <w:rsid w:val="0095352B"/>
    <w:rsid w:val="009535B6"/>
    <w:rsid w:val="00953695"/>
    <w:rsid w:val="009536B1"/>
    <w:rsid w:val="00953D70"/>
    <w:rsid w:val="00954A4B"/>
    <w:rsid w:val="00954B47"/>
    <w:rsid w:val="00954E9C"/>
    <w:rsid w:val="00954F17"/>
    <w:rsid w:val="0095507B"/>
    <w:rsid w:val="00955316"/>
    <w:rsid w:val="009559B4"/>
    <w:rsid w:val="00955AAD"/>
    <w:rsid w:val="00955C2E"/>
    <w:rsid w:val="00955CF9"/>
    <w:rsid w:val="00955E26"/>
    <w:rsid w:val="00955E90"/>
    <w:rsid w:val="00956024"/>
    <w:rsid w:val="009564BB"/>
    <w:rsid w:val="00956624"/>
    <w:rsid w:val="00956800"/>
    <w:rsid w:val="00956B1E"/>
    <w:rsid w:val="00956BE8"/>
    <w:rsid w:val="00956DD3"/>
    <w:rsid w:val="00956E25"/>
    <w:rsid w:val="00956F05"/>
    <w:rsid w:val="009572E5"/>
    <w:rsid w:val="009574BB"/>
    <w:rsid w:val="009576C6"/>
    <w:rsid w:val="009577B4"/>
    <w:rsid w:val="0095784F"/>
    <w:rsid w:val="0095792C"/>
    <w:rsid w:val="00957B9E"/>
    <w:rsid w:val="00957FB6"/>
    <w:rsid w:val="00960355"/>
    <w:rsid w:val="00960AE6"/>
    <w:rsid w:val="00960BE2"/>
    <w:rsid w:val="00960D08"/>
    <w:rsid w:val="0096146B"/>
    <w:rsid w:val="0096167F"/>
    <w:rsid w:val="009616AD"/>
    <w:rsid w:val="009617FD"/>
    <w:rsid w:val="0096188F"/>
    <w:rsid w:val="00961A0E"/>
    <w:rsid w:val="00961A1A"/>
    <w:rsid w:val="00961B74"/>
    <w:rsid w:val="00961B89"/>
    <w:rsid w:val="00961CB8"/>
    <w:rsid w:val="00962042"/>
    <w:rsid w:val="009620C2"/>
    <w:rsid w:val="00962530"/>
    <w:rsid w:val="00962578"/>
    <w:rsid w:val="00962D82"/>
    <w:rsid w:val="00962F0C"/>
    <w:rsid w:val="009630B3"/>
    <w:rsid w:val="00963100"/>
    <w:rsid w:val="0096333D"/>
    <w:rsid w:val="009634E7"/>
    <w:rsid w:val="009635BD"/>
    <w:rsid w:val="00963AD1"/>
    <w:rsid w:val="00963B7B"/>
    <w:rsid w:val="00963CE8"/>
    <w:rsid w:val="00963EFF"/>
    <w:rsid w:val="009641DE"/>
    <w:rsid w:val="0096470C"/>
    <w:rsid w:val="009648F6"/>
    <w:rsid w:val="0096492E"/>
    <w:rsid w:val="00964C8A"/>
    <w:rsid w:val="00964CC4"/>
    <w:rsid w:val="00964D15"/>
    <w:rsid w:val="00964EC2"/>
    <w:rsid w:val="009650C2"/>
    <w:rsid w:val="009654B0"/>
    <w:rsid w:val="00965719"/>
    <w:rsid w:val="00965BAA"/>
    <w:rsid w:val="00965C01"/>
    <w:rsid w:val="00965D53"/>
    <w:rsid w:val="0096601B"/>
    <w:rsid w:val="0096606B"/>
    <w:rsid w:val="00966099"/>
    <w:rsid w:val="0096614E"/>
    <w:rsid w:val="00966661"/>
    <w:rsid w:val="009667C1"/>
    <w:rsid w:val="009669EB"/>
    <w:rsid w:val="00967B8A"/>
    <w:rsid w:val="00967BF3"/>
    <w:rsid w:val="00967C4A"/>
    <w:rsid w:val="00967C74"/>
    <w:rsid w:val="00970677"/>
    <w:rsid w:val="00970A1D"/>
    <w:rsid w:val="00970D5D"/>
    <w:rsid w:val="00970E9A"/>
    <w:rsid w:val="00970F8D"/>
    <w:rsid w:val="00971347"/>
    <w:rsid w:val="00971554"/>
    <w:rsid w:val="00971775"/>
    <w:rsid w:val="009719C9"/>
    <w:rsid w:val="00971DC9"/>
    <w:rsid w:val="0097220C"/>
    <w:rsid w:val="009722DB"/>
    <w:rsid w:val="009724A5"/>
    <w:rsid w:val="0097262B"/>
    <w:rsid w:val="00972769"/>
    <w:rsid w:val="009728B3"/>
    <w:rsid w:val="00972B3D"/>
    <w:rsid w:val="00972DE2"/>
    <w:rsid w:val="00972E94"/>
    <w:rsid w:val="00972EB7"/>
    <w:rsid w:val="00972F49"/>
    <w:rsid w:val="009730B1"/>
    <w:rsid w:val="00973254"/>
    <w:rsid w:val="00973278"/>
    <w:rsid w:val="00973366"/>
    <w:rsid w:val="009733A2"/>
    <w:rsid w:val="009737C5"/>
    <w:rsid w:val="0097382B"/>
    <w:rsid w:val="0097392E"/>
    <w:rsid w:val="00973B31"/>
    <w:rsid w:val="00973C56"/>
    <w:rsid w:val="00973E90"/>
    <w:rsid w:val="00974009"/>
    <w:rsid w:val="00974191"/>
    <w:rsid w:val="00974239"/>
    <w:rsid w:val="00974AB6"/>
    <w:rsid w:val="00974E1A"/>
    <w:rsid w:val="00975042"/>
    <w:rsid w:val="0097514B"/>
    <w:rsid w:val="00975616"/>
    <w:rsid w:val="00975649"/>
    <w:rsid w:val="00975A2F"/>
    <w:rsid w:val="00975E0C"/>
    <w:rsid w:val="00975FAB"/>
    <w:rsid w:val="009762F0"/>
    <w:rsid w:val="00976889"/>
    <w:rsid w:val="009769E3"/>
    <w:rsid w:val="00976A7D"/>
    <w:rsid w:val="00976CA7"/>
    <w:rsid w:val="00977650"/>
    <w:rsid w:val="009779E7"/>
    <w:rsid w:val="009800FF"/>
    <w:rsid w:val="00980647"/>
    <w:rsid w:val="00980E13"/>
    <w:rsid w:val="00981225"/>
    <w:rsid w:val="009812D2"/>
    <w:rsid w:val="00981B1C"/>
    <w:rsid w:val="00981DFD"/>
    <w:rsid w:val="00982135"/>
    <w:rsid w:val="009822DF"/>
    <w:rsid w:val="0098233A"/>
    <w:rsid w:val="0098233F"/>
    <w:rsid w:val="009824BC"/>
    <w:rsid w:val="0098275C"/>
    <w:rsid w:val="00982BE1"/>
    <w:rsid w:val="00982C13"/>
    <w:rsid w:val="00982DAB"/>
    <w:rsid w:val="00982DCE"/>
    <w:rsid w:val="00983DD7"/>
    <w:rsid w:val="00983F90"/>
    <w:rsid w:val="009842F9"/>
    <w:rsid w:val="00984340"/>
    <w:rsid w:val="00984610"/>
    <w:rsid w:val="009846E9"/>
    <w:rsid w:val="00984889"/>
    <w:rsid w:val="0098490A"/>
    <w:rsid w:val="00984A58"/>
    <w:rsid w:val="00984A91"/>
    <w:rsid w:val="00984BFF"/>
    <w:rsid w:val="00984F76"/>
    <w:rsid w:val="00985106"/>
    <w:rsid w:val="009853F6"/>
    <w:rsid w:val="0098553B"/>
    <w:rsid w:val="0098590B"/>
    <w:rsid w:val="00985D35"/>
    <w:rsid w:val="00985FC1"/>
    <w:rsid w:val="0098612B"/>
    <w:rsid w:val="0098633F"/>
    <w:rsid w:val="009865DE"/>
    <w:rsid w:val="00986CAD"/>
    <w:rsid w:val="00986F4E"/>
    <w:rsid w:val="00987112"/>
    <w:rsid w:val="0098717C"/>
    <w:rsid w:val="00987E7D"/>
    <w:rsid w:val="00987F87"/>
    <w:rsid w:val="009906E4"/>
    <w:rsid w:val="0099073A"/>
    <w:rsid w:val="0099090D"/>
    <w:rsid w:val="00990C85"/>
    <w:rsid w:val="00990D81"/>
    <w:rsid w:val="00990FAE"/>
    <w:rsid w:val="0099142E"/>
    <w:rsid w:val="0099145A"/>
    <w:rsid w:val="009916B2"/>
    <w:rsid w:val="00991751"/>
    <w:rsid w:val="00991BEA"/>
    <w:rsid w:val="00991C76"/>
    <w:rsid w:val="00991D44"/>
    <w:rsid w:val="00991E35"/>
    <w:rsid w:val="00991E86"/>
    <w:rsid w:val="0099269D"/>
    <w:rsid w:val="009928F2"/>
    <w:rsid w:val="0099297C"/>
    <w:rsid w:val="009929C8"/>
    <w:rsid w:val="009931AD"/>
    <w:rsid w:val="009931AE"/>
    <w:rsid w:val="0099376D"/>
    <w:rsid w:val="009937CE"/>
    <w:rsid w:val="00993844"/>
    <w:rsid w:val="00993B42"/>
    <w:rsid w:val="00993ED3"/>
    <w:rsid w:val="00994091"/>
    <w:rsid w:val="00995116"/>
    <w:rsid w:val="009953BD"/>
    <w:rsid w:val="00995555"/>
    <w:rsid w:val="009956BF"/>
    <w:rsid w:val="009958C0"/>
    <w:rsid w:val="00995A4E"/>
    <w:rsid w:val="00995E9B"/>
    <w:rsid w:val="009961DF"/>
    <w:rsid w:val="009969E9"/>
    <w:rsid w:val="00996CFB"/>
    <w:rsid w:val="0099718F"/>
    <w:rsid w:val="009972E5"/>
    <w:rsid w:val="00997591"/>
    <w:rsid w:val="009977E5"/>
    <w:rsid w:val="00997BBA"/>
    <w:rsid w:val="00997BE8"/>
    <w:rsid w:val="00997C62"/>
    <w:rsid w:val="009A0157"/>
    <w:rsid w:val="009A0572"/>
    <w:rsid w:val="009A06EF"/>
    <w:rsid w:val="009A0806"/>
    <w:rsid w:val="009A0AC3"/>
    <w:rsid w:val="009A0B44"/>
    <w:rsid w:val="009A0FFF"/>
    <w:rsid w:val="009A1202"/>
    <w:rsid w:val="009A12A4"/>
    <w:rsid w:val="009A179B"/>
    <w:rsid w:val="009A180E"/>
    <w:rsid w:val="009A1BA3"/>
    <w:rsid w:val="009A1E55"/>
    <w:rsid w:val="009A258C"/>
    <w:rsid w:val="009A25BF"/>
    <w:rsid w:val="009A2646"/>
    <w:rsid w:val="009A2658"/>
    <w:rsid w:val="009A26DB"/>
    <w:rsid w:val="009A28D4"/>
    <w:rsid w:val="009A2AFC"/>
    <w:rsid w:val="009A2DF4"/>
    <w:rsid w:val="009A3242"/>
    <w:rsid w:val="009A356B"/>
    <w:rsid w:val="009A37B5"/>
    <w:rsid w:val="009A384C"/>
    <w:rsid w:val="009A3DE9"/>
    <w:rsid w:val="009A3E7D"/>
    <w:rsid w:val="009A3EDA"/>
    <w:rsid w:val="009A3F19"/>
    <w:rsid w:val="009A4082"/>
    <w:rsid w:val="009A42F3"/>
    <w:rsid w:val="009A4D71"/>
    <w:rsid w:val="009A5214"/>
    <w:rsid w:val="009A5351"/>
    <w:rsid w:val="009A5590"/>
    <w:rsid w:val="009A559D"/>
    <w:rsid w:val="009A55FE"/>
    <w:rsid w:val="009A561E"/>
    <w:rsid w:val="009A568A"/>
    <w:rsid w:val="009A5A96"/>
    <w:rsid w:val="009A5F55"/>
    <w:rsid w:val="009A6201"/>
    <w:rsid w:val="009A6582"/>
    <w:rsid w:val="009A65B9"/>
    <w:rsid w:val="009A6763"/>
    <w:rsid w:val="009A679D"/>
    <w:rsid w:val="009A68C9"/>
    <w:rsid w:val="009A68E0"/>
    <w:rsid w:val="009A69F4"/>
    <w:rsid w:val="009A6A2A"/>
    <w:rsid w:val="009A6C1B"/>
    <w:rsid w:val="009A704E"/>
    <w:rsid w:val="009A7103"/>
    <w:rsid w:val="009A742F"/>
    <w:rsid w:val="009A77B5"/>
    <w:rsid w:val="009A7C58"/>
    <w:rsid w:val="009A7CF9"/>
    <w:rsid w:val="009A7D59"/>
    <w:rsid w:val="009A7F1A"/>
    <w:rsid w:val="009A7F35"/>
    <w:rsid w:val="009B001A"/>
    <w:rsid w:val="009B013E"/>
    <w:rsid w:val="009B0312"/>
    <w:rsid w:val="009B0481"/>
    <w:rsid w:val="009B086C"/>
    <w:rsid w:val="009B0CB6"/>
    <w:rsid w:val="009B0E06"/>
    <w:rsid w:val="009B1018"/>
    <w:rsid w:val="009B152F"/>
    <w:rsid w:val="009B1FB4"/>
    <w:rsid w:val="009B20EE"/>
    <w:rsid w:val="009B21AA"/>
    <w:rsid w:val="009B21C7"/>
    <w:rsid w:val="009B23C9"/>
    <w:rsid w:val="009B2430"/>
    <w:rsid w:val="009B25BE"/>
    <w:rsid w:val="009B2667"/>
    <w:rsid w:val="009B290E"/>
    <w:rsid w:val="009B2B9C"/>
    <w:rsid w:val="009B2CC4"/>
    <w:rsid w:val="009B2D69"/>
    <w:rsid w:val="009B2D8C"/>
    <w:rsid w:val="009B2F1E"/>
    <w:rsid w:val="009B357B"/>
    <w:rsid w:val="009B35F5"/>
    <w:rsid w:val="009B36A8"/>
    <w:rsid w:val="009B3A9D"/>
    <w:rsid w:val="009B3CEB"/>
    <w:rsid w:val="009B3F0D"/>
    <w:rsid w:val="009B4136"/>
    <w:rsid w:val="009B4B36"/>
    <w:rsid w:val="009B4D37"/>
    <w:rsid w:val="009B4DF2"/>
    <w:rsid w:val="009B5385"/>
    <w:rsid w:val="009B543A"/>
    <w:rsid w:val="009B54EE"/>
    <w:rsid w:val="009B55BF"/>
    <w:rsid w:val="009B55C1"/>
    <w:rsid w:val="009B5913"/>
    <w:rsid w:val="009B59FF"/>
    <w:rsid w:val="009B5A3D"/>
    <w:rsid w:val="009B5ADF"/>
    <w:rsid w:val="009B5B8E"/>
    <w:rsid w:val="009B5BA6"/>
    <w:rsid w:val="009B5EB2"/>
    <w:rsid w:val="009B63EE"/>
    <w:rsid w:val="009B66A0"/>
    <w:rsid w:val="009B66FF"/>
    <w:rsid w:val="009B6747"/>
    <w:rsid w:val="009B6949"/>
    <w:rsid w:val="009B6DB5"/>
    <w:rsid w:val="009B7145"/>
    <w:rsid w:val="009B733B"/>
    <w:rsid w:val="009B75BC"/>
    <w:rsid w:val="009B79A2"/>
    <w:rsid w:val="009B7A66"/>
    <w:rsid w:val="009B7AEE"/>
    <w:rsid w:val="009B7B37"/>
    <w:rsid w:val="009C00B1"/>
    <w:rsid w:val="009C02F9"/>
    <w:rsid w:val="009C0313"/>
    <w:rsid w:val="009C0470"/>
    <w:rsid w:val="009C0674"/>
    <w:rsid w:val="009C08E8"/>
    <w:rsid w:val="009C0ABA"/>
    <w:rsid w:val="009C0B0C"/>
    <w:rsid w:val="009C0B34"/>
    <w:rsid w:val="009C0C98"/>
    <w:rsid w:val="009C0D85"/>
    <w:rsid w:val="009C0E5F"/>
    <w:rsid w:val="009C116E"/>
    <w:rsid w:val="009C1499"/>
    <w:rsid w:val="009C162B"/>
    <w:rsid w:val="009C1792"/>
    <w:rsid w:val="009C19CA"/>
    <w:rsid w:val="009C1A86"/>
    <w:rsid w:val="009C1B10"/>
    <w:rsid w:val="009C1B9F"/>
    <w:rsid w:val="009C1F83"/>
    <w:rsid w:val="009C207F"/>
    <w:rsid w:val="009C2113"/>
    <w:rsid w:val="009C227E"/>
    <w:rsid w:val="009C23FF"/>
    <w:rsid w:val="009C2564"/>
    <w:rsid w:val="009C26C2"/>
    <w:rsid w:val="009C26CD"/>
    <w:rsid w:val="009C4509"/>
    <w:rsid w:val="009C4596"/>
    <w:rsid w:val="009C4AFD"/>
    <w:rsid w:val="009C4E9F"/>
    <w:rsid w:val="009C534D"/>
    <w:rsid w:val="009C5546"/>
    <w:rsid w:val="009C5720"/>
    <w:rsid w:val="009C580A"/>
    <w:rsid w:val="009C5AC0"/>
    <w:rsid w:val="009C60AC"/>
    <w:rsid w:val="009C646B"/>
    <w:rsid w:val="009C6629"/>
    <w:rsid w:val="009C68C0"/>
    <w:rsid w:val="009C6993"/>
    <w:rsid w:val="009C69B2"/>
    <w:rsid w:val="009C6BCF"/>
    <w:rsid w:val="009C6FB7"/>
    <w:rsid w:val="009C72B9"/>
    <w:rsid w:val="009C7B56"/>
    <w:rsid w:val="009C7C94"/>
    <w:rsid w:val="009C7ECB"/>
    <w:rsid w:val="009C7EDF"/>
    <w:rsid w:val="009C7F61"/>
    <w:rsid w:val="009D0027"/>
    <w:rsid w:val="009D012D"/>
    <w:rsid w:val="009D03DC"/>
    <w:rsid w:val="009D06C8"/>
    <w:rsid w:val="009D07AB"/>
    <w:rsid w:val="009D0905"/>
    <w:rsid w:val="009D091E"/>
    <w:rsid w:val="009D0B7B"/>
    <w:rsid w:val="009D0E59"/>
    <w:rsid w:val="009D13EC"/>
    <w:rsid w:val="009D174B"/>
    <w:rsid w:val="009D1A2F"/>
    <w:rsid w:val="009D1AB6"/>
    <w:rsid w:val="009D1CFC"/>
    <w:rsid w:val="009D2421"/>
    <w:rsid w:val="009D2D51"/>
    <w:rsid w:val="009D2F09"/>
    <w:rsid w:val="009D2FBC"/>
    <w:rsid w:val="009D3249"/>
    <w:rsid w:val="009D34B3"/>
    <w:rsid w:val="009D35BA"/>
    <w:rsid w:val="009D36B0"/>
    <w:rsid w:val="009D4106"/>
    <w:rsid w:val="009D4116"/>
    <w:rsid w:val="009D4322"/>
    <w:rsid w:val="009D445D"/>
    <w:rsid w:val="009D4820"/>
    <w:rsid w:val="009D49E9"/>
    <w:rsid w:val="009D4AB8"/>
    <w:rsid w:val="009D4F25"/>
    <w:rsid w:val="009D510B"/>
    <w:rsid w:val="009D5253"/>
    <w:rsid w:val="009D528F"/>
    <w:rsid w:val="009D5440"/>
    <w:rsid w:val="009D5A08"/>
    <w:rsid w:val="009D6058"/>
    <w:rsid w:val="009D607C"/>
    <w:rsid w:val="009D628B"/>
    <w:rsid w:val="009D667F"/>
    <w:rsid w:val="009D6910"/>
    <w:rsid w:val="009D694F"/>
    <w:rsid w:val="009D7A95"/>
    <w:rsid w:val="009E0123"/>
    <w:rsid w:val="009E0425"/>
    <w:rsid w:val="009E045D"/>
    <w:rsid w:val="009E064E"/>
    <w:rsid w:val="009E0830"/>
    <w:rsid w:val="009E0A32"/>
    <w:rsid w:val="009E1611"/>
    <w:rsid w:val="009E19CD"/>
    <w:rsid w:val="009E1C7E"/>
    <w:rsid w:val="009E1ECD"/>
    <w:rsid w:val="009E2018"/>
    <w:rsid w:val="009E27E2"/>
    <w:rsid w:val="009E2C8B"/>
    <w:rsid w:val="009E2FFD"/>
    <w:rsid w:val="009E30F2"/>
    <w:rsid w:val="009E3115"/>
    <w:rsid w:val="009E33D1"/>
    <w:rsid w:val="009E3459"/>
    <w:rsid w:val="009E37EE"/>
    <w:rsid w:val="009E397B"/>
    <w:rsid w:val="009E3BF6"/>
    <w:rsid w:val="009E3DB0"/>
    <w:rsid w:val="009E40D8"/>
    <w:rsid w:val="009E421D"/>
    <w:rsid w:val="009E437F"/>
    <w:rsid w:val="009E45AD"/>
    <w:rsid w:val="009E45C7"/>
    <w:rsid w:val="009E47D2"/>
    <w:rsid w:val="009E5395"/>
    <w:rsid w:val="009E540C"/>
    <w:rsid w:val="009E5882"/>
    <w:rsid w:val="009E5B90"/>
    <w:rsid w:val="009E5D28"/>
    <w:rsid w:val="009E5DFA"/>
    <w:rsid w:val="009E5E63"/>
    <w:rsid w:val="009E630E"/>
    <w:rsid w:val="009E6462"/>
    <w:rsid w:val="009E68B8"/>
    <w:rsid w:val="009E695C"/>
    <w:rsid w:val="009E69EA"/>
    <w:rsid w:val="009E736B"/>
    <w:rsid w:val="009E7AE4"/>
    <w:rsid w:val="009E7CAB"/>
    <w:rsid w:val="009F07AF"/>
    <w:rsid w:val="009F0A1E"/>
    <w:rsid w:val="009F0D6E"/>
    <w:rsid w:val="009F109A"/>
    <w:rsid w:val="009F15B8"/>
    <w:rsid w:val="009F1653"/>
    <w:rsid w:val="009F1A60"/>
    <w:rsid w:val="009F1CA5"/>
    <w:rsid w:val="009F2286"/>
    <w:rsid w:val="009F2611"/>
    <w:rsid w:val="009F29D5"/>
    <w:rsid w:val="009F2EB9"/>
    <w:rsid w:val="009F2FA6"/>
    <w:rsid w:val="009F2FB3"/>
    <w:rsid w:val="009F3196"/>
    <w:rsid w:val="009F3C5F"/>
    <w:rsid w:val="009F40E3"/>
    <w:rsid w:val="009F4135"/>
    <w:rsid w:val="009F4166"/>
    <w:rsid w:val="009F43B9"/>
    <w:rsid w:val="009F4783"/>
    <w:rsid w:val="009F47DB"/>
    <w:rsid w:val="009F4B45"/>
    <w:rsid w:val="009F55BB"/>
    <w:rsid w:val="009F561C"/>
    <w:rsid w:val="009F5C6B"/>
    <w:rsid w:val="009F6021"/>
    <w:rsid w:val="009F626F"/>
    <w:rsid w:val="009F6429"/>
    <w:rsid w:val="009F67EE"/>
    <w:rsid w:val="009F687A"/>
    <w:rsid w:val="009F7166"/>
    <w:rsid w:val="009F719A"/>
    <w:rsid w:val="009F7502"/>
    <w:rsid w:val="009F7633"/>
    <w:rsid w:val="009F7A9E"/>
    <w:rsid w:val="009F7C82"/>
    <w:rsid w:val="009F7E02"/>
    <w:rsid w:val="009F7E1F"/>
    <w:rsid w:val="00A0007D"/>
    <w:rsid w:val="00A001AF"/>
    <w:rsid w:val="00A00EC7"/>
    <w:rsid w:val="00A013F3"/>
    <w:rsid w:val="00A01B84"/>
    <w:rsid w:val="00A0243C"/>
    <w:rsid w:val="00A02BAD"/>
    <w:rsid w:val="00A03345"/>
    <w:rsid w:val="00A034BB"/>
    <w:rsid w:val="00A03790"/>
    <w:rsid w:val="00A03AD9"/>
    <w:rsid w:val="00A03F3A"/>
    <w:rsid w:val="00A0404C"/>
    <w:rsid w:val="00A040F0"/>
    <w:rsid w:val="00A047D4"/>
    <w:rsid w:val="00A04D91"/>
    <w:rsid w:val="00A0514F"/>
    <w:rsid w:val="00A05246"/>
    <w:rsid w:val="00A055AB"/>
    <w:rsid w:val="00A057D4"/>
    <w:rsid w:val="00A05DFC"/>
    <w:rsid w:val="00A066ED"/>
    <w:rsid w:val="00A066FC"/>
    <w:rsid w:val="00A06954"/>
    <w:rsid w:val="00A06C17"/>
    <w:rsid w:val="00A06E05"/>
    <w:rsid w:val="00A06E8A"/>
    <w:rsid w:val="00A06FF8"/>
    <w:rsid w:val="00A074D8"/>
    <w:rsid w:val="00A078B1"/>
    <w:rsid w:val="00A07BE0"/>
    <w:rsid w:val="00A1010F"/>
    <w:rsid w:val="00A10B34"/>
    <w:rsid w:val="00A10DD7"/>
    <w:rsid w:val="00A10E81"/>
    <w:rsid w:val="00A10F95"/>
    <w:rsid w:val="00A110B6"/>
    <w:rsid w:val="00A113AF"/>
    <w:rsid w:val="00A11667"/>
    <w:rsid w:val="00A11680"/>
    <w:rsid w:val="00A116B4"/>
    <w:rsid w:val="00A117AC"/>
    <w:rsid w:val="00A1198B"/>
    <w:rsid w:val="00A11C6C"/>
    <w:rsid w:val="00A11F70"/>
    <w:rsid w:val="00A12356"/>
    <w:rsid w:val="00A123FE"/>
    <w:rsid w:val="00A124CF"/>
    <w:rsid w:val="00A12D2E"/>
    <w:rsid w:val="00A137C2"/>
    <w:rsid w:val="00A13C65"/>
    <w:rsid w:val="00A13D8A"/>
    <w:rsid w:val="00A1423D"/>
    <w:rsid w:val="00A14645"/>
    <w:rsid w:val="00A14D4F"/>
    <w:rsid w:val="00A14E25"/>
    <w:rsid w:val="00A152CD"/>
    <w:rsid w:val="00A15319"/>
    <w:rsid w:val="00A156C1"/>
    <w:rsid w:val="00A157C8"/>
    <w:rsid w:val="00A15957"/>
    <w:rsid w:val="00A15BA5"/>
    <w:rsid w:val="00A15C04"/>
    <w:rsid w:val="00A15E80"/>
    <w:rsid w:val="00A1604D"/>
    <w:rsid w:val="00A1659C"/>
    <w:rsid w:val="00A16971"/>
    <w:rsid w:val="00A16BD2"/>
    <w:rsid w:val="00A16E87"/>
    <w:rsid w:val="00A16F63"/>
    <w:rsid w:val="00A16F90"/>
    <w:rsid w:val="00A17285"/>
    <w:rsid w:val="00A175E6"/>
    <w:rsid w:val="00A178C8"/>
    <w:rsid w:val="00A2001B"/>
    <w:rsid w:val="00A2007B"/>
    <w:rsid w:val="00A201C5"/>
    <w:rsid w:val="00A207F3"/>
    <w:rsid w:val="00A20901"/>
    <w:rsid w:val="00A20CF9"/>
    <w:rsid w:val="00A20DD4"/>
    <w:rsid w:val="00A20FE2"/>
    <w:rsid w:val="00A21230"/>
    <w:rsid w:val="00A21548"/>
    <w:rsid w:val="00A215BC"/>
    <w:rsid w:val="00A21938"/>
    <w:rsid w:val="00A21D79"/>
    <w:rsid w:val="00A21F1F"/>
    <w:rsid w:val="00A220E4"/>
    <w:rsid w:val="00A2217E"/>
    <w:rsid w:val="00A222DE"/>
    <w:rsid w:val="00A22966"/>
    <w:rsid w:val="00A22D11"/>
    <w:rsid w:val="00A22DA3"/>
    <w:rsid w:val="00A22E00"/>
    <w:rsid w:val="00A231DF"/>
    <w:rsid w:val="00A2337C"/>
    <w:rsid w:val="00A23D2C"/>
    <w:rsid w:val="00A23D79"/>
    <w:rsid w:val="00A23E4A"/>
    <w:rsid w:val="00A23F84"/>
    <w:rsid w:val="00A240ED"/>
    <w:rsid w:val="00A24530"/>
    <w:rsid w:val="00A246B1"/>
    <w:rsid w:val="00A24929"/>
    <w:rsid w:val="00A249AF"/>
    <w:rsid w:val="00A24FC6"/>
    <w:rsid w:val="00A253E0"/>
    <w:rsid w:val="00A253ED"/>
    <w:rsid w:val="00A25406"/>
    <w:rsid w:val="00A26327"/>
    <w:rsid w:val="00A264DB"/>
    <w:rsid w:val="00A26BF6"/>
    <w:rsid w:val="00A26E7D"/>
    <w:rsid w:val="00A26EEB"/>
    <w:rsid w:val="00A273C2"/>
    <w:rsid w:val="00A2749F"/>
    <w:rsid w:val="00A27DD9"/>
    <w:rsid w:val="00A30027"/>
    <w:rsid w:val="00A30035"/>
    <w:rsid w:val="00A3004A"/>
    <w:rsid w:val="00A307A5"/>
    <w:rsid w:val="00A30925"/>
    <w:rsid w:val="00A30A62"/>
    <w:rsid w:val="00A3104D"/>
    <w:rsid w:val="00A31DE4"/>
    <w:rsid w:val="00A31E80"/>
    <w:rsid w:val="00A32118"/>
    <w:rsid w:val="00A3212F"/>
    <w:rsid w:val="00A3223E"/>
    <w:rsid w:val="00A32589"/>
    <w:rsid w:val="00A32C85"/>
    <w:rsid w:val="00A33064"/>
    <w:rsid w:val="00A335CA"/>
    <w:rsid w:val="00A3390D"/>
    <w:rsid w:val="00A3407C"/>
    <w:rsid w:val="00A3407D"/>
    <w:rsid w:val="00A34112"/>
    <w:rsid w:val="00A341DA"/>
    <w:rsid w:val="00A34906"/>
    <w:rsid w:val="00A34F4A"/>
    <w:rsid w:val="00A35107"/>
    <w:rsid w:val="00A35687"/>
    <w:rsid w:val="00A357A7"/>
    <w:rsid w:val="00A35E65"/>
    <w:rsid w:val="00A36061"/>
    <w:rsid w:val="00A3646C"/>
    <w:rsid w:val="00A36478"/>
    <w:rsid w:val="00A365EE"/>
    <w:rsid w:val="00A36C73"/>
    <w:rsid w:val="00A36D8D"/>
    <w:rsid w:val="00A36F74"/>
    <w:rsid w:val="00A370EB"/>
    <w:rsid w:val="00A374C4"/>
    <w:rsid w:val="00A375AD"/>
    <w:rsid w:val="00A37657"/>
    <w:rsid w:val="00A37B58"/>
    <w:rsid w:val="00A37D2B"/>
    <w:rsid w:val="00A37E45"/>
    <w:rsid w:val="00A37F97"/>
    <w:rsid w:val="00A409D7"/>
    <w:rsid w:val="00A40C9C"/>
    <w:rsid w:val="00A4132F"/>
    <w:rsid w:val="00A413BF"/>
    <w:rsid w:val="00A415AF"/>
    <w:rsid w:val="00A41AC6"/>
    <w:rsid w:val="00A41E03"/>
    <w:rsid w:val="00A41E92"/>
    <w:rsid w:val="00A425D0"/>
    <w:rsid w:val="00A426AD"/>
    <w:rsid w:val="00A426B4"/>
    <w:rsid w:val="00A4292B"/>
    <w:rsid w:val="00A429C5"/>
    <w:rsid w:val="00A42BE8"/>
    <w:rsid w:val="00A42CAE"/>
    <w:rsid w:val="00A42F43"/>
    <w:rsid w:val="00A4336D"/>
    <w:rsid w:val="00A43688"/>
    <w:rsid w:val="00A443F1"/>
    <w:rsid w:val="00A448EA"/>
    <w:rsid w:val="00A44984"/>
    <w:rsid w:val="00A44FB3"/>
    <w:rsid w:val="00A4507A"/>
    <w:rsid w:val="00A45587"/>
    <w:rsid w:val="00A45971"/>
    <w:rsid w:val="00A45B9C"/>
    <w:rsid w:val="00A45E0D"/>
    <w:rsid w:val="00A45F0C"/>
    <w:rsid w:val="00A4615B"/>
    <w:rsid w:val="00A464EB"/>
    <w:rsid w:val="00A4660D"/>
    <w:rsid w:val="00A468DD"/>
    <w:rsid w:val="00A46B97"/>
    <w:rsid w:val="00A46BA3"/>
    <w:rsid w:val="00A46D2E"/>
    <w:rsid w:val="00A46E45"/>
    <w:rsid w:val="00A46F53"/>
    <w:rsid w:val="00A46F99"/>
    <w:rsid w:val="00A47080"/>
    <w:rsid w:val="00A47725"/>
    <w:rsid w:val="00A4794B"/>
    <w:rsid w:val="00A47ECB"/>
    <w:rsid w:val="00A5008F"/>
    <w:rsid w:val="00A5013B"/>
    <w:rsid w:val="00A50545"/>
    <w:rsid w:val="00A505E0"/>
    <w:rsid w:val="00A5093D"/>
    <w:rsid w:val="00A509DB"/>
    <w:rsid w:val="00A50A5D"/>
    <w:rsid w:val="00A50DE1"/>
    <w:rsid w:val="00A50F00"/>
    <w:rsid w:val="00A50F77"/>
    <w:rsid w:val="00A51027"/>
    <w:rsid w:val="00A5111C"/>
    <w:rsid w:val="00A514A4"/>
    <w:rsid w:val="00A5201C"/>
    <w:rsid w:val="00A52108"/>
    <w:rsid w:val="00A523AF"/>
    <w:rsid w:val="00A52446"/>
    <w:rsid w:val="00A5252C"/>
    <w:rsid w:val="00A5262B"/>
    <w:rsid w:val="00A527CA"/>
    <w:rsid w:val="00A527D0"/>
    <w:rsid w:val="00A529E7"/>
    <w:rsid w:val="00A52C1F"/>
    <w:rsid w:val="00A537AD"/>
    <w:rsid w:val="00A53961"/>
    <w:rsid w:val="00A53ABD"/>
    <w:rsid w:val="00A53E7F"/>
    <w:rsid w:val="00A54060"/>
    <w:rsid w:val="00A540BF"/>
    <w:rsid w:val="00A542FA"/>
    <w:rsid w:val="00A54620"/>
    <w:rsid w:val="00A546F9"/>
    <w:rsid w:val="00A54725"/>
    <w:rsid w:val="00A5485C"/>
    <w:rsid w:val="00A5488E"/>
    <w:rsid w:val="00A5490C"/>
    <w:rsid w:val="00A54D93"/>
    <w:rsid w:val="00A54DB8"/>
    <w:rsid w:val="00A54DE4"/>
    <w:rsid w:val="00A54E96"/>
    <w:rsid w:val="00A54FBE"/>
    <w:rsid w:val="00A55063"/>
    <w:rsid w:val="00A55133"/>
    <w:rsid w:val="00A55596"/>
    <w:rsid w:val="00A5562E"/>
    <w:rsid w:val="00A5569E"/>
    <w:rsid w:val="00A55838"/>
    <w:rsid w:val="00A5610B"/>
    <w:rsid w:val="00A562AA"/>
    <w:rsid w:val="00A568B0"/>
    <w:rsid w:val="00A56A90"/>
    <w:rsid w:val="00A57C16"/>
    <w:rsid w:val="00A60152"/>
    <w:rsid w:val="00A6054D"/>
    <w:rsid w:val="00A6055E"/>
    <w:rsid w:val="00A60968"/>
    <w:rsid w:val="00A60B58"/>
    <w:rsid w:val="00A60B66"/>
    <w:rsid w:val="00A60F35"/>
    <w:rsid w:val="00A60F47"/>
    <w:rsid w:val="00A618B7"/>
    <w:rsid w:val="00A61CD6"/>
    <w:rsid w:val="00A6241B"/>
    <w:rsid w:val="00A6252D"/>
    <w:rsid w:val="00A626BA"/>
    <w:rsid w:val="00A62749"/>
    <w:rsid w:val="00A62BE9"/>
    <w:rsid w:val="00A62CD9"/>
    <w:rsid w:val="00A62D60"/>
    <w:rsid w:val="00A63048"/>
    <w:rsid w:val="00A63186"/>
    <w:rsid w:val="00A6332B"/>
    <w:rsid w:val="00A63BA5"/>
    <w:rsid w:val="00A63FB5"/>
    <w:rsid w:val="00A641B0"/>
    <w:rsid w:val="00A642B4"/>
    <w:rsid w:val="00A642B8"/>
    <w:rsid w:val="00A64541"/>
    <w:rsid w:val="00A64823"/>
    <w:rsid w:val="00A64AE4"/>
    <w:rsid w:val="00A64C5A"/>
    <w:rsid w:val="00A64D54"/>
    <w:rsid w:val="00A652C7"/>
    <w:rsid w:val="00A655CD"/>
    <w:rsid w:val="00A65B44"/>
    <w:rsid w:val="00A65C84"/>
    <w:rsid w:val="00A66BAD"/>
    <w:rsid w:val="00A6703E"/>
    <w:rsid w:val="00A674C4"/>
    <w:rsid w:val="00A67505"/>
    <w:rsid w:val="00A67806"/>
    <w:rsid w:val="00A678E0"/>
    <w:rsid w:val="00A67A5D"/>
    <w:rsid w:val="00A67A9E"/>
    <w:rsid w:val="00A7086E"/>
    <w:rsid w:val="00A709FF"/>
    <w:rsid w:val="00A70AC6"/>
    <w:rsid w:val="00A70B28"/>
    <w:rsid w:val="00A70B93"/>
    <w:rsid w:val="00A71034"/>
    <w:rsid w:val="00A711A0"/>
    <w:rsid w:val="00A713D2"/>
    <w:rsid w:val="00A713E6"/>
    <w:rsid w:val="00A7184F"/>
    <w:rsid w:val="00A719D0"/>
    <w:rsid w:val="00A71B17"/>
    <w:rsid w:val="00A72657"/>
    <w:rsid w:val="00A7267E"/>
    <w:rsid w:val="00A7290E"/>
    <w:rsid w:val="00A72B1B"/>
    <w:rsid w:val="00A72F34"/>
    <w:rsid w:val="00A73511"/>
    <w:rsid w:val="00A73B14"/>
    <w:rsid w:val="00A73B3F"/>
    <w:rsid w:val="00A73C8A"/>
    <w:rsid w:val="00A73DAE"/>
    <w:rsid w:val="00A73DCD"/>
    <w:rsid w:val="00A73EC0"/>
    <w:rsid w:val="00A740F8"/>
    <w:rsid w:val="00A742F5"/>
    <w:rsid w:val="00A744BD"/>
    <w:rsid w:val="00A748BE"/>
    <w:rsid w:val="00A74E88"/>
    <w:rsid w:val="00A74EEB"/>
    <w:rsid w:val="00A74F29"/>
    <w:rsid w:val="00A75228"/>
    <w:rsid w:val="00A7559B"/>
    <w:rsid w:val="00A75A59"/>
    <w:rsid w:val="00A75C2E"/>
    <w:rsid w:val="00A75EC4"/>
    <w:rsid w:val="00A7621C"/>
    <w:rsid w:val="00A76491"/>
    <w:rsid w:val="00A76747"/>
    <w:rsid w:val="00A7680B"/>
    <w:rsid w:val="00A76939"/>
    <w:rsid w:val="00A76AF1"/>
    <w:rsid w:val="00A76B50"/>
    <w:rsid w:val="00A76EA1"/>
    <w:rsid w:val="00A76EE4"/>
    <w:rsid w:val="00A770FB"/>
    <w:rsid w:val="00A77822"/>
    <w:rsid w:val="00A77E67"/>
    <w:rsid w:val="00A77FD7"/>
    <w:rsid w:val="00A806F5"/>
    <w:rsid w:val="00A809AB"/>
    <w:rsid w:val="00A80A4E"/>
    <w:rsid w:val="00A80C09"/>
    <w:rsid w:val="00A8117D"/>
    <w:rsid w:val="00A811E3"/>
    <w:rsid w:val="00A815A5"/>
    <w:rsid w:val="00A818E0"/>
    <w:rsid w:val="00A81BA2"/>
    <w:rsid w:val="00A8221B"/>
    <w:rsid w:val="00A82737"/>
    <w:rsid w:val="00A829D5"/>
    <w:rsid w:val="00A8325A"/>
    <w:rsid w:val="00A83868"/>
    <w:rsid w:val="00A838F8"/>
    <w:rsid w:val="00A83912"/>
    <w:rsid w:val="00A83930"/>
    <w:rsid w:val="00A83942"/>
    <w:rsid w:val="00A83AB4"/>
    <w:rsid w:val="00A83D6A"/>
    <w:rsid w:val="00A84220"/>
    <w:rsid w:val="00A84266"/>
    <w:rsid w:val="00A84951"/>
    <w:rsid w:val="00A84DAD"/>
    <w:rsid w:val="00A84EBD"/>
    <w:rsid w:val="00A84FAB"/>
    <w:rsid w:val="00A851AD"/>
    <w:rsid w:val="00A857FD"/>
    <w:rsid w:val="00A858D0"/>
    <w:rsid w:val="00A85F7B"/>
    <w:rsid w:val="00A86713"/>
    <w:rsid w:val="00A86B0B"/>
    <w:rsid w:val="00A86FAD"/>
    <w:rsid w:val="00A87743"/>
    <w:rsid w:val="00A87CA0"/>
    <w:rsid w:val="00A90D00"/>
    <w:rsid w:val="00A90E9F"/>
    <w:rsid w:val="00A90F75"/>
    <w:rsid w:val="00A90F83"/>
    <w:rsid w:val="00A91439"/>
    <w:rsid w:val="00A918CA"/>
    <w:rsid w:val="00A91B2E"/>
    <w:rsid w:val="00A91D0E"/>
    <w:rsid w:val="00A920AD"/>
    <w:rsid w:val="00A92DDA"/>
    <w:rsid w:val="00A931E5"/>
    <w:rsid w:val="00A9355D"/>
    <w:rsid w:val="00A936CA"/>
    <w:rsid w:val="00A936CB"/>
    <w:rsid w:val="00A9393B"/>
    <w:rsid w:val="00A93A9D"/>
    <w:rsid w:val="00A93F89"/>
    <w:rsid w:val="00A945C4"/>
    <w:rsid w:val="00A94DF3"/>
    <w:rsid w:val="00A95306"/>
    <w:rsid w:val="00A9579B"/>
    <w:rsid w:val="00A957BA"/>
    <w:rsid w:val="00A95D5E"/>
    <w:rsid w:val="00A95DA9"/>
    <w:rsid w:val="00A95E70"/>
    <w:rsid w:val="00A962CD"/>
    <w:rsid w:val="00A96944"/>
    <w:rsid w:val="00A96BB3"/>
    <w:rsid w:val="00A96CFF"/>
    <w:rsid w:val="00A971F7"/>
    <w:rsid w:val="00A97255"/>
    <w:rsid w:val="00A97536"/>
    <w:rsid w:val="00A97A79"/>
    <w:rsid w:val="00A97BE5"/>
    <w:rsid w:val="00A97EF4"/>
    <w:rsid w:val="00AA005C"/>
    <w:rsid w:val="00AA0140"/>
    <w:rsid w:val="00AA050E"/>
    <w:rsid w:val="00AA0A65"/>
    <w:rsid w:val="00AA0B55"/>
    <w:rsid w:val="00AA0D9E"/>
    <w:rsid w:val="00AA0FE2"/>
    <w:rsid w:val="00AA109E"/>
    <w:rsid w:val="00AA12A1"/>
    <w:rsid w:val="00AA1598"/>
    <w:rsid w:val="00AA1888"/>
    <w:rsid w:val="00AA18F1"/>
    <w:rsid w:val="00AA1B00"/>
    <w:rsid w:val="00AA218E"/>
    <w:rsid w:val="00AA2190"/>
    <w:rsid w:val="00AA22BE"/>
    <w:rsid w:val="00AA230A"/>
    <w:rsid w:val="00AA265D"/>
    <w:rsid w:val="00AA2726"/>
    <w:rsid w:val="00AA2B25"/>
    <w:rsid w:val="00AA2D27"/>
    <w:rsid w:val="00AA32B3"/>
    <w:rsid w:val="00AA3495"/>
    <w:rsid w:val="00AA34D0"/>
    <w:rsid w:val="00AA395C"/>
    <w:rsid w:val="00AA3C07"/>
    <w:rsid w:val="00AA3D90"/>
    <w:rsid w:val="00AA443C"/>
    <w:rsid w:val="00AA4649"/>
    <w:rsid w:val="00AA4B01"/>
    <w:rsid w:val="00AA4B39"/>
    <w:rsid w:val="00AA4E7A"/>
    <w:rsid w:val="00AA560D"/>
    <w:rsid w:val="00AA574F"/>
    <w:rsid w:val="00AA5835"/>
    <w:rsid w:val="00AA5B85"/>
    <w:rsid w:val="00AA5C27"/>
    <w:rsid w:val="00AA5C8C"/>
    <w:rsid w:val="00AA5E07"/>
    <w:rsid w:val="00AA5EA0"/>
    <w:rsid w:val="00AA5FA6"/>
    <w:rsid w:val="00AA5FBB"/>
    <w:rsid w:val="00AA609C"/>
    <w:rsid w:val="00AA6120"/>
    <w:rsid w:val="00AA6165"/>
    <w:rsid w:val="00AA65C5"/>
    <w:rsid w:val="00AA6B38"/>
    <w:rsid w:val="00AA6E77"/>
    <w:rsid w:val="00AA746C"/>
    <w:rsid w:val="00AA757F"/>
    <w:rsid w:val="00AA7699"/>
    <w:rsid w:val="00AA7B9C"/>
    <w:rsid w:val="00AA7F5A"/>
    <w:rsid w:val="00AB054C"/>
    <w:rsid w:val="00AB05FE"/>
    <w:rsid w:val="00AB083D"/>
    <w:rsid w:val="00AB0CE0"/>
    <w:rsid w:val="00AB1375"/>
    <w:rsid w:val="00AB1D4F"/>
    <w:rsid w:val="00AB1E8E"/>
    <w:rsid w:val="00AB1FBE"/>
    <w:rsid w:val="00AB221E"/>
    <w:rsid w:val="00AB23AB"/>
    <w:rsid w:val="00AB23FE"/>
    <w:rsid w:val="00AB2564"/>
    <w:rsid w:val="00AB296C"/>
    <w:rsid w:val="00AB2AAB"/>
    <w:rsid w:val="00AB3A1C"/>
    <w:rsid w:val="00AB3E7E"/>
    <w:rsid w:val="00AB4071"/>
    <w:rsid w:val="00AB4448"/>
    <w:rsid w:val="00AB447D"/>
    <w:rsid w:val="00AB46E4"/>
    <w:rsid w:val="00AB485D"/>
    <w:rsid w:val="00AB48C2"/>
    <w:rsid w:val="00AB498B"/>
    <w:rsid w:val="00AB4BF0"/>
    <w:rsid w:val="00AB4C55"/>
    <w:rsid w:val="00AB4EC1"/>
    <w:rsid w:val="00AB4FE1"/>
    <w:rsid w:val="00AB52ED"/>
    <w:rsid w:val="00AB5305"/>
    <w:rsid w:val="00AB58A5"/>
    <w:rsid w:val="00AB5970"/>
    <w:rsid w:val="00AB5DB6"/>
    <w:rsid w:val="00AB5E02"/>
    <w:rsid w:val="00AB6264"/>
    <w:rsid w:val="00AB6511"/>
    <w:rsid w:val="00AB67A6"/>
    <w:rsid w:val="00AB6A7C"/>
    <w:rsid w:val="00AB6B68"/>
    <w:rsid w:val="00AB6FC0"/>
    <w:rsid w:val="00AB7501"/>
    <w:rsid w:val="00AB7B7A"/>
    <w:rsid w:val="00AC0044"/>
    <w:rsid w:val="00AC018A"/>
    <w:rsid w:val="00AC0384"/>
    <w:rsid w:val="00AC03A6"/>
    <w:rsid w:val="00AC061D"/>
    <w:rsid w:val="00AC06D6"/>
    <w:rsid w:val="00AC0A29"/>
    <w:rsid w:val="00AC1049"/>
    <w:rsid w:val="00AC1595"/>
    <w:rsid w:val="00AC1750"/>
    <w:rsid w:val="00AC19A0"/>
    <w:rsid w:val="00AC216F"/>
    <w:rsid w:val="00AC26FC"/>
    <w:rsid w:val="00AC28C8"/>
    <w:rsid w:val="00AC2A76"/>
    <w:rsid w:val="00AC3481"/>
    <w:rsid w:val="00AC36B7"/>
    <w:rsid w:val="00AC3C7D"/>
    <w:rsid w:val="00AC3CAD"/>
    <w:rsid w:val="00AC3EC0"/>
    <w:rsid w:val="00AC4086"/>
    <w:rsid w:val="00AC452E"/>
    <w:rsid w:val="00AC47F2"/>
    <w:rsid w:val="00AC4910"/>
    <w:rsid w:val="00AC4C2C"/>
    <w:rsid w:val="00AC50B6"/>
    <w:rsid w:val="00AC5338"/>
    <w:rsid w:val="00AC55E8"/>
    <w:rsid w:val="00AC5B7C"/>
    <w:rsid w:val="00AC5BDE"/>
    <w:rsid w:val="00AC6091"/>
    <w:rsid w:val="00AC6612"/>
    <w:rsid w:val="00AC6931"/>
    <w:rsid w:val="00AC6C85"/>
    <w:rsid w:val="00AC6F72"/>
    <w:rsid w:val="00AC7262"/>
    <w:rsid w:val="00AC7371"/>
    <w:rsid w:val="00AC73F4"/>
    <w:rsid w:val="00AC7532"/>
    <w:rsid w:val="00AC7821"/>
    <w:rsid w:val="00AC78A4"/>
    <w:rsid w:val="00AC79FD"/>
    <w:rsid w:val="00AC7BA7"/>
    <w:rsid w:val="00AC7D31"/>
    <w:rsid w:val="00AC7EC0"/>
    <w:rsid w:val="00AC7EC2"/>
    <w:rsid w:val="00AC7FDB"/>
    <w:rsid w:val="00AD03A4"/>
    <w:rsid w:val="00AD0446"/>
    <w:rsid w:val="00AD0AF2"/>
    <w:rsid w:val="00AD0B14"/>
    <w:rsid w:val="00AD0B2E"/>
    <w:rsid w:val="00AD0B41"/>
    <w:rsid w:val="00AD0BDE"/>
    <w:rsid w:val="00AD113E"/>
    <w:rsid w:val="00AD139B"/>
    <w:rsid w:val="00AD1415"/>
    <w:rsid w:val="00AD1546"/>
    <w:rsid w:val="00AD18A8"/>
    <w:rsid w:val="00AD1BE3"/>
    <w:rsid w:val="00AD1F21"/>
    <w:rsid w:val="00AD299C"/>
    <w:rsid w:val="00AD2BBD"/>
    <w:rsid w:val="00AD2CAC"/>
    <w:rsid w:val="00AD2DF1"/>
    <w:rsid w:val="00AD2F1C"/>
    <w:rsid w:val="00AD345E"/>
    <w:rsid w:val="00AD3C9F"/>
    <w:rsid w:val="00AD3D8D"/>
    <w:rsid w:val="00AD3D93"/>
    <w:rsid w:val="00AD442E"/>
    <w:rsid w:val="00AD44A4"/>
    <w:rsid w:val="00AD463E"/>
    <w:rsid w:val="00AD49DC"/>
    <w:rsid w:val="00AD4A54"/>
    <w:rsid w:val="00AD4B02"/>
    <w:rsid w:val="00AD4B1C"/>
    <w:rsid w:val="00AD4BF1"/>
    <w:rsid w:val="00AD50D7"/>
    <w:rsid w:val="00AD5295"/>
    <w:rsid w:val="00AD59D9"/>
    <w:rsid w:val="00AD5EA0"/>
    <w:rsid w:val="00AD5FAF"/>
    <w:rsid w:val="00AD62FD"/>
    <w:rsid w:val="00AD631B"/>
    <w:rsid w:val="00AD66B2"/>
    <w:rsid w:val="00AD6CAB"/>
    <w:rsid w:val="00AD6E69"/>
    <w:rsid w:val="00AD765B"/>
    <w:rsid w:val="00AD79FD"/>
    <w:rsid w:val="00AD7A9A"/>
    <w:rsid w:val="00AD7CC0"/>
    <w:rsid w:val="00AD7EB0"/>
    <w:rsid w:val="00AE01F5"/>
    <w:rsid w:val="00AE0330"/>
    <w:rsid w:val="00AE04DD"/>
    <w:rsid w:val="00AE05FD"/>
    <w:rsid w:val="00AE0645"/>
    <w:rsid w:val="00AE064B"/>
    <w:rsid w:val="00AE07BC"/>
    <w:rsid w:val="00AE0915"/>
    <w:rsid w:val="00AE0A67"/>
    <w:rsid w:val="00AE0C09"/>
    <w:rsid w:val="00AE0CD4"/>
    <w:rsid w:val="00AE112A"/>
    <w:rsid w:val="00AE1443"/>
    <w:rsid w:val="00AE1583"/>
    <w:rsid w:val="00AE1737"/>
    <w:rsid w:val="00AE17E2"/>
    <w:rsid w:val="00AE17F2"/>
    <w:rsid w:val="00AE1B02"/>
    <w:rsid w:val="00AE1B86"/>
    <w:rsid w:val="00AE1EC9"/>
    <w:rsid w:val="00AE2378"/>
    <w:rsid w:val="00AE270B"/>
    <w:rsid w:val="00AE28A5"/>
    <w:rsid w:val="00AE28DA"/>
    <w:rsid w:val="00AE29CD"/>
    <w:rsid w:val="00AE36D6"/>
    <w:rsid w:val="00AE3D79"/>
    <w:rsid w:val="00AE3E08"/>
    <w:rsid w:val="00AE3F67"/>
    <w:rsid w:val="00AE3F9A"/>
    <w:rsid w:val="00AE454B"/>
    <w:rsid w:val="00AE49C1"/>
    <w:rsid w:val="00AE524F"/>
    <w:rsid w:val="00AE546A"/>
    <w:rsid w:val="00AE563E"/>
    <w:rsid w:val="00AE568D"/>
    <w:rsid w:val="00AE59FE"/>
    <w:rsid w:val="00AE5E6F"/>
    <w:rsid w:val="00AE5FF2"/>
    <w:rsid w:val="00AE65AC"/>
    <w:rsid w:val="00AE65CD"/>
    <w:rsid w:val="00AE6956"/>
    <w:rsid w:val="00AE6C5D"/>
    <w:rsid w:val="00AE70BC"/>
    <w:rsid w:val="00AE719C"/>
    <w:rsid w:val="00AE72F5"/>
    <w:rsid w:val="00AE76CB"/>
    <w:rsid w:val="00AE77A6"/>
    <w:rsid w:val="00AE7844"/>
    <w:rsid w:val="00AE7882"/>
    <w:rsid w:val="00AE78D9"/>
    <w:rsid w:val="00AE7985"/>
    <w:rsid w:val="00AE7BB6"/>
    <w:rsid w:val="00AE7E10"/>
    <w:rsid w:val="00AE7E93"/>
    <w:rsid w:val="00AF0512"/>
    <w:rsid w:val="00AF062C"/>
    <w:rsid w:val="00AF063A"/>
    <w:rsid w:val="00AF0846"/>
    <w:rsid w:val="00AF0B3A"/>
    <w:rsid w:val="00AF0B7C"/>
    <w:rsid w:val="00AF0C8F"/>
    <w:rsid w:val="00AF0D89"/>
    <w:rsid w:val="00AF0F3E"/>
    <w:rsid w:val="00AF1261"/>
    <w:rsid w:val="00AF1365"/>
    <w:rsid w:val="00AF18F9"/>
    <w:rsid w:val="00AF2033"/>
    <w:rsid w:val="00AF2330"/>
    <w:rsid w:val="00AF31A1"/>
    <w:rsid w:val="00AF321B"/>
    <w:rsid w:val="00AF329C"/>
    <w:rsid w:val="00AF3E0D"/>
    <w:rsid w:val="00AF3E53"/>
    <w:rsid w:val="00AF3E68"/>
    <w:rsid w:val="00AF3E7C"/>
    <w:rsid w:val="00AF3F0A"/>
    <w:rsid w:val="00AF417F"/>
    <w:rsid w:val="00AF4783"/>
    <w:rsid w:val="00AF49A7"/>
    <w:rsid w:val="00AF49D9"/>
    <w:rsid w:val="00AF4B88"/>
    <w:rsid w:val="00AF4CD5"/>
    <w:rsid w:val="00AF4D91"/>
    <w:rsid w:val="00AF4F18"/>
    <w:rsid w:val="00AF5057"/>
    <w:rsid w:val="00AF51FB"/>
    <w:rsid w:val="00AF5285"/>
    <w:rsid w:val="00AF53D1"/>
    <w:rsid w:val="00AF553F"/>
    <w:rsid w:val="00AF58D4"/>
    <w:rsid w:val="00AF5E59"/>
    <w:rsid w:val="00AF60CE"/>
    <w:rsid w:val="00AF63A2"/>
    <w:rsid w:val="00AF65F8"/>
    <w:rsid w:val="00AF6642"/>
    <w:rsid w:val="00AF667E"/>
    <w:rsid w:val="00AF6807"/>
    <w:rsid w:val="00AF6A57"/>
    <w:rsid w:val="00AF6AC2"/>
    <w:rsid w:val="00AF6F10"/>
    <w:rsid w:val="00AF7221"/>
    <w:rsid w:val="00AF73EF"/>
    <w:rsid w:val="00AF7636"/>
    <w:rsid w:val="00AF7701"/>
    <w:rsid w:val="00AF7A14"/>
    <w:rsid w:val="00AF7B85"/>
    <w:rsid w:val="00B00109"/>
    <w:rsid w:val="00B00130"/>
    <w:rsid w:val="00B00284"/>
    <w:rsid w:val="00B002BC"/>
    <w:rsid w:val="00B007F0"/>
    <w:rsid w:val="00B00966"/>
    <w:rsid w:val="00B00AA1"/>
    <w:rsid w:val="00B0126A"/>
    <w:rsid w:val="00B012A2"/>
    <w:rsid w:val="00B01570"/>
    <w:rsid w:val="00B01583"/>
    <w:rsid w:val="00B01592"/>
    <w:rsid w:val="00B01631"/>
    <w:rsid w:val="00B016EF"/>
    <w:rsid w:val="00B0203F"/>
    <w:rsid w:val="00B021F1"/>
    <w:rsid w:val="00B0241F"/>
    <w:rsid w:val="00B0257C"/>
    <w:rsid w:val="00B027FA"/>
    <w:rsid w:val="00B02949"/>
    <w:rsid w:val="00B02C6C"/>
    <w:rsid w:val="00B030C8"/>
    <w:rsid w:val="00B03165"/>
    <w:rsid w:val="00B032A0"/>
    <w:rsid w:val="00B032AB"/>
    <w:rsid w:val="00B03309"/>
    <w:rsid w:val="00B0357C"/>
    <w:rsid w:val="00B0379D"/>
    <w:rsid w:val="00B038CB"/>
    <w:rsid w:val="00B03D36"/>
    <w:rsid w:val="00B03EE1"/>
    <w:rsid w:val="00B04092"/>
    <w:rsid w:val="00B0437A"/>
    <w:rsid w:val="00B04560"/>
    <w:rsid w:val="00B04843"/>
    <w:rsid w:val="00B0484F"/>
    <w:rsid w:val="00B04DF9"/>
    <w:rsid w:val="00B04F4F"/>
    <w:rsid w:val="00B0501F"/>
    <w:rsid w:val="00B05176"/>
    <w:rsid w:val="00B053FD"/>
    <w:rsid w:val="00B05801"/>
    <w:rsid w:val="00B0598B"/>
    <w:rsid w:val="00B05AC7"/>
    <w:rsid w:val="00B060B0"/>
    <w:rsid w:val="00B0620F"/>
    <w:rsid w:val="00B0632B"/>
    <w:rsid w:val="00B0680F"/>
    <w:rsid w:val="00B06976"/>
    <w:rsid w:val="00B06BD2"/>
    <w:rsid w:val="00B06D0F"/>
    <w:rsid w:val="00B06D72"/>
    <w:rsid w:val="00B06EA3"/>
    <w:rsid w:val="00B06F84"/>
    <w:rsid w:val="00B07212"/>
    <w:rsid w:val="00B0736E"/>
    <w:rsid w:val="00B07483"/>
    <w:rsid w:val="00B078D7"/>
    <w:rsid w:val="00B0793A"/>
    <w:rsid w:val="00B07DC3"/>
    <w:rsid w:val="00B07FC7"/>
    <w:rsid w:val="00B07FCC"/>
    <w:rsid w:val="00B07FF4"/>
    <w:rsid w:val="00B10050"/>
    <w:rsid w:val="00B1005F"/>
    <w:rsid w:val="00B10278"/>
    <w:rsid w:val="00B103B8"/>
    <w:rsid w:val="00B1055D"/>
    <w:rsid w:val="00B105C7"/>
    <w:rsid w:val="00B10E65"/>
    <w:rsid w:val="00B111BF"/>
    <w:rsid w:val="00B118A3"/>
    <w:rsid w:val="00B118AC"/>
    <w:rsid w:val="00B119C4"/>
    <w:rsid w:val="00B11DFE"/>
    <w:rsid w:val="00B12C95"/>
    <w:rsid w:val="00B12D48"/>
    <w:rsid w:val="00B12E3A"/>
    <w:rsid w:val="00B12F60"/>
    <w:rsid w:val="00B13709"/>
    <w:rsid w:val="00B1381C"/>
    <w:rsid w:val="00B13EF6"/>
    <w:rsid w:val="00B14272"/>
    <w:rsid w:val="00B1442C"/>
    <w:rsid w:val="00B14430"/>
    <w:rsid w:val="00B1452B"/>
    <w:rsid w:val="00B14833"/>
    <w:rsid w:val="00B1494F"/>
    <w:rsid w:val="00B14BD4"/>
    <w:rsid w:val="00B14C07"/>
    <w:rsid w:val="00B14F39"/>
    <w:rsid w:val="00B153F0"/>
    <w:rsid w:val="00B15494"/>
    <w:rsid w:val="00B1556E"/>
    <w:rsid w:val="00B15C11"/>
    <w:rsid w:val="00B16186"/>
    <w:rsid w:val="00B1625A"/>
    <w:rsid w:val="00B16682"/>
    <w:rsid w:val="00B167C6"/>
    <w:rsid w:val="00B1687B"/>
    <w:rsid w:val="00B16A97"/>
    <w:rsid w:val="00B16B28"/>
    <w:rsid w:val="00B16BC1"/>
    <w:rsid w:val="00B16ED3"/>
    <w:rsid w:val="00B16FE7"/>
    <w:rsid w:val="00B175E0"/>
    <w:rsid w:val="00B176FD"/>
    <w:rsid w:val="00B17743"/>
    <w:rsid w:val="00B17893"/>
    <w:rsid w:val="00B17A6D"/>
    <w:rsid w:val="00B17E04"/>
    <w:rsid w:val="00B17E20"/>
    <w:rsid w:val="00B17FEE"/>
    <w:rsid w:val="00B20323"/>
    <w:rsid w:val="00B2083A"/>
    <w:rsid w:val="00B20F68"/>
    <w:rsid w:val="00B21266"/>
    <w:rsid w:val="00B21345"/>
    <w:rsid w:val="00B21576"/>
    <w:rsid w:val="00B21735"/>
    <w:rsid w:val="00B217CD"/>
    <w:rsid w:val="00B218CA"/>
    <w:rsid w:val="00B21D36"/>
    <w:rsid w:val="00B21E83"/>
    <w:rsid w:val="00B22DB8"/>
    <w:rsid w:val="00B22E11"/>
    <w:rsid w:val="00B22F98"/>
    <w:rsid w:val="00B231B3"/>
    <w:rsid w:val="00B233EF"/>
    <w:rsid w:val="00B236D1"/>
    <w:rsid w:val="00B236DF"/>
    <w:rsid w:val="00B238E0"/>
    <w:rsid w:val="00B23B53"/>
    <w:rsid w:val="00B23E74"/>
    <w:rsid w:val="00B23EED"/>
    <w:rsid w:val="00B244DA"/>
    <w:rsid w:val="00B2464A"/>
    <w:rsid w:val="00B24801"/>
    <w:rsid w:val="00B2490A"/>
    <w:rsid w:val="00B24AF8"/>
    <w:rsid w:val="00B24D6C"/>
    <w:rsid w:val="00B24DDF"/>
    <w:rsid w:val="00B24F35"/>
    <w:rsid w:val="00B24FD9"/>
    <w:rsid w:val="00B25136"/>
    <w:rsid w:val="00B253E1"/>
    <w:rsid w:val="00B255FA"/>
    <w:rsid w:val="00B2588F"/>
    <w:rsid w:val="00B25944"/>
    <w:rsid w:val="00B2598E"/>
    <w:rsid w:val="00B25A9F"/>
    <w:rsid w:val="00B25C56"/>
    <w:rsid w:val="00B25D9D"/>
    <w:rsid w:val="00B25E2B"/>
    <w:rsid w:val="00B263C1"/>
    <w:rsid w:val="00B26530"/>
    <w:rsid w:val="00B2689C"/>
    <w:rsid w:val="00B269CB"/>
    <w:rsid w:val="00B26AED"/>
    <w:rsid w:val="00B26B4D"/>
    <w:rsid w:val="00B26D43"/>
    <w:rsid w:val="00B27395"/>
    <w:rsid w:val="00B27BAB"/>
    <w:rsid w:val="00B301F5"/>
    <w:rsid w:val="00B304E9"/>
    <w:rsid w:val="00B305D1"/>
    <w:rsid w:val="00B309FE"/>
    <w:rsid w:val="00B30B55"/>
    <w:rsid w:val="00B30B94"/>
    <w:rsid w:val="00B30F43"/>
    <w:rsid w:val="00B3123F"/>
    <w:rsid w:val="00B3125D"/>
    <w:rsid w:val="00B3131E"/>
    <w:rsid w:val="00B3145E"/>
    <w:rsid w:val="00B31671"/>
    <w:rsid w:val="00B31686"/>
    <w:rsid w:val="00B31742"/>
    <w:rsid w:val="00B31BD8"/>
    <w:rsid w:val="00B31E02"/>
    <w:rsid w:val="00B31ED8"/>
    <w:rsid w:val="00B32013"/>
    <w:rsid w:val="00B3221B"/>
    <w:rsid w:val="00B324F4"/>
    <w:rsid w:val="00B32636"/>
    <w:rsid w:val="00B32C02"/>
    <w:rsid w:val="00B32F1E"/>
    <w:rsid w:val="00B33300"/>
    <w:rsid w:val="00B336EF"/>
    <w:rsid w:val="00B33D7F"/>
    <w:rsid w:val="00B33DC9"/>
    <w:rsid w:val="00B33F5D"/>
    <w:rsid w:val="00B33FC7"/>
    <w:rsid w:val="00B34185"/>
    <w:rsid w:val="00B349E9"/>
    <w:rsid w:val="00B3514D"/>
    <w:rsid w:val="00B356B1"/>
    <w:rsid w:val="00B35863"/>
    <w:rsid w:val="00B35927"/>
    <w:rsid w:val="00B35C61"/>
    <w:rsid w:val="00B36058"/>
    <w:rsid w:val="00B36314"/>
    <w:rsid w:val="00B3637D"/>
    <w:rsid w:val="00B36782"/>
    <w:rsid w:val="00B3698B"/>
    <w:rsid w:val="00B36DB9"/>
    <w:rsid w:val="00B36F4C"/>
    <w:rsid w:val="00B3745C"/>
    <w:rsid w:val="00B3769F"/>
    <w:rsid w:val="00B37734"/>
    <w:rsid w:val="00B377C0"/>
    <w:rsid w:val="00B378E4"/>
    <w:rsid w:val="00B37C27"/>
    <w:rsid w:val="00B37EA7"/>
    <w:rsid w:val="00B37ED0"/>
    <w:rsid w:val="00B40159"/>
    <w:rsid w:val="00B401F4"/>
    <w:rsid w:val="00B403EB"/>
    <w:rsid w:val="00B404B7"/>
    <w:rsid w:val="00B407E6"/>
    <w:rsid w:val="00B4083A"/>
    <w:rsid w:val="00B40864"/>
    <w:rsid w:val="00B409D3"/>
    <w:rsid w:val="00B409E1"/>
    <w:rsid w:val="00B40C13"/>
    <w:rsid w:val="00B40D58"/>
    <w:rsid w:val="00B40E4F"/>
    <w:rsid w:val="00B40EF7"/>
    <w:rsid w:val="00B40F45"/>
    <w:rsid w:val="00B4126D"/>
    <w:rsid w:val="00B4166D"/>
    <w:rsid w:val="00B41901"/>
    <w:rsid w:val="00B419A3"/>
    <w:rsid w:val="00B41AF3"/>
    <w:rsid w:val="00B41F37"/>
    <w:rsid w:val="00B42302"/>
    <w:rsid w:val="00B424C4"/>
    <w:rsid w:val="00B4277F"/>
    <w:rsid w:val="00B428AD"/>
    <w:rsid w:val="00B42BC1"/>
    <w:rsid w:val="00B430A7"/>
    <w:rsid w:val="00B430C2"/>
    <w:rsid w:val="00B433C9"/>
    <w:rsid w:val="00B43425"/>
    <w:rsid w:val="00B43497"/>
    <w:rsid w:val="00B4364C"/>
    <w:rsid w:val="00B43F59"/>
    <w:rsid w:val="00B4400A"/>
    <w:rsid w:val="00B445A4"/>
    <w:rsid w:val="00B44FDC"/>
    <w:rsid w:val="00B4504F"/>
    <w:rsid w:val="00B45136"/>
    <w:rsid w:val="00B451D9"/>
    <w:rsid w:val="00B453C9"/>
    <w:rsid w:val="00B453CE"/>
    <w:rsid w:val="00B4540E"/>
    <w:rsid w:val="00B45457"/>
    <w:rsid w:val="00B454D2"/>
    <w:rsid w:val="00B454EF"/>
    <w:rsid w:val="00B45568"/>
    <w:rsid w:val="00B4565E"/>
    <w:rsid w:val="00B45AFE"/>
    <w:rsid w:val="00B45D35"/>
    <w:rsid w:val="00B45D68"/>
    <w:rsid w:val="00B45F19"/>
    <w:rsid w:val="00B460F3"/>
    <w:rsid w:val="00B46104"/>
    <w:rsid w:val="00B464FD"/>
    <w:rsid w:val="00B46BD9"/>
    <w:rsid w:val="00B46C84"/>
    <w:rsid w:val="00B46CF7"/>
    <w:rsid w:val="00B46E98"/>
    <w:rsid w:val="00B472BA"/>
    <w:rsid w:val="00B47509"/>
    <w:rsid w:val="00B4770A"/>
    <w:rsid w:val="00B477AB"/>
    <w:rsid w:val="00B47ACE"/>
    <w:rsid w:val="00B47BA2"/>
    <w:rsid w:val="00B47CCA"/>
    <w:rsid w:val="00B47D16"/>
    <w:rsid w:val="00B47D56"/>
    <w:rsid w:val="00B47FCC"/>
    <w:rsid w:val="00B47FEE"/>
    <w:rsid w:val="00B5018A"/>
    <w:rsid w:val="00B502E3"/>
    <w:rsid w:val="00B50432"/>
    <w:rsid w:val="00B5061E"/>
    <w:rsid w:val="00B5083C"/>
    <w:rsid w:val="00B50B2A"/>
    <w:rsid w:val="00B50BA8"/>
    <w:rsid w:val="00B50E97"/>
    <w:rsid w:val="00B51017"/>
    <w:rsid w:val="00B51125"/>
    <w:rsid w:val="00B5142D"/>
    <w:rsid w:val="00B51659"/>
    <w:rsid w:val="00B517CA"/>
    <w:rsid w:val="00B51BB3"/>
    <w:rsid w:val="00B51F6F"/>
    <w:rsid w:val="00B52059"/>
    <w:rsid w:val="00B521E8"/>
    <w:rsid w:val="00B52A8A"/>
    <w:rsid w:val="00B52C89"/>
    <w:rsid w:val="00B52E52"/>
    <w:rsid w:val="00B53130"/>
    <w:rsid w:val="00B531F6"/>
    <w:rsid w:val="00B532D0"/>
    <w:rsid w:val="00B536CD"/>
    <w:rsid w:val="00B5371D"/>
    <w:rsid w:val="00B53AE3"/>
    <w:rsid w:val="00B5421D"/>
    <w:rsid w:val="00B54522"/>
    <w:rsid w:val="00B5454F"/>
    <w:rsid w:val="00B54741"/>
    <w:rsid w:val="00B54D06"/>
    <w:rsid w:val="00B54D28"/>
    <w:rsid w:val="00B54D8E"/>
    <w:rsid w:val="00B54EA5"/>
    <w:rsid w:val="00B55190"/>
    <w:rsid w:val="00B55677"/>
    <w:rsid w:val="00B556F5"/>
    <w:rsid w:val="00B5572C"/>
    <w:rsid w:val="00B55863"/>
    <w:rsid w:val="00B55CD0"/>
    <w:rsid w:val="00B55D71"/>
    <w:rsid w:val="00B5631F"/>
    <w:rsid w:val="00B56537"/>
    <w:rsid w:val="00B56554"/>
    <w:rsid w:val="00B56806"/>
    <w:rsid w:val="00B56B73"/>
    <w:rsid w:val="00B5729D"/>
    <w:rsid w:val="00B57439"/>
    <w:rsid w:val="00B575A5"/>
    <w:rsid w:val="00B576E5"/>
    <w:rsid w:val="00B5779F"/>
    <w:rsid w:val="00B578ED"/>
    <w:rsid w:val="00B57ADE"/>
    <w:rsid w:val="00B57B4E"/>
    <w:rsid w:val="00B6036A"/>
    <w:rsid w:val="00B60946"/>
    <w:rsid w:val="00B60D28"/>
    <w:rsid w:val="00B60D2B"/>
    <w:rsid w:val="00B60E2B"/>
    <w:rsid w:val="00B61051"/>
    <w:rsid w:val="00B61294"/>
    <w:rsid w:val="00B615E4"/>
    <w:rsid w:val="00B6184C"/>
    <w:rsid w:val="00B61A0A"/>
    <w:rsid w:val="00B61F88"/>
    <w:rsid w:val="00B621A9"/>
    <w:rsid w:val="00B62595"/>
    <w:rsid w:val="00B62947"/>
    <w:rsid w:val="00B62A87"/>
    <w:rsid w:val="00B62B7B"/>
    <w:rsid w:val="00B62BE7"/>
    <w:rsid w:val="00B62D7D"/>
    <w:rsid w:val="00B62FC0"/>
    <w:rsid w:val="00B63120"/>
    <w:rsid w:val="00B6314F"/>
    <w:rsid w:val="00B632D3"/>
    <w:rsid w:val="00B639A1"/>
    <w:rsid w:val="00B63BD3"/>
    <w:rsid w:val="00B63C3E"/>
    <w:rsid w:val="00B640E6"/>
    <w:rsid w:val="00B64259"/>
    <w:rsid w:val="00B64305"/>
    <w:rsid w:val="00B644A0"/>
    <w:rsid w:val="00B64A64"/>
    <w:rsid w:val="00B64B57"/>
    <w:rsid w:val="00B65045"/>
    <w:rsid w:val="00B65178"/>
    <w:rsid w:val="00B65366"/>
    <w:rsid w:val="00B65BDA"/>
    <w:rsid w:val="00B6603F"/>
    <w:rsid w:val="00B66078"/>
    <w:rsid w:val="00B66493"/>
    <w:rsid w:val="00B66A28"/>
    <w:rsid w:val="00B67096"/>
    <w:rsid w:val="00B672DC"/>
    <w:rsid w:val="00B6762B"/>
    <w:rsid w:val="00B67AEF"/>
    <w:rsid w:val="00B67C61"/>
    <w:rsid w:val="00B67EC5"/>
    <w:rsid w:val="00B67FE9"/>
    <w:rsid w:val="00B700D7"/>
    <w:rsid w:val="00B70528"/>
    <w:rsid w:val="00B708A2"/>
    <w:rsid w:val="00B709D7"/>
    <w:rsid w:val="00B70AC1"/>
    <w:rsid w:val="00B70AD7"/>
    <w:rsid w:val="00B70DF0"/>
    <w:rsid w:val="00B70E7F"/>
    <w:rsid w:val="00B71479"/>
    <w:rsid w:val="00B714B3"/>
    <w:rsid w:val="00B71C89"/>
    <w:rsid w:val="00B71CE6"/>
    <w:rsid w:val="00B72999"/>
    <w:rsid w:val="00B72A8F"/>
    <w:rsid w:val="00B72BCC"/>
    <w:rsid w:val="00B72C1B"/>
    <w:rsid w:val="00B7304B"/>
    <w:rsid w:val="00B7309A"/>
    <w:rsid w:val="00B7311F"/>
    <w:rsid w:val="00B7389B"/>
    <w:rsid w:val="00B73930"/>
    <w:rsid w:val="00B73ACD"/>
    <w:rsid w:val="00B7424A"/>
    <w:rsid w:val="00B7433C"/>
    <w:rsid w:val="00B746B1"/>
    <w:rsid w:val="00B746F0"/>
    <w:rsid w:val="00B74983"/>
    <w:rsid w:val="00B74AE4"/>
    <w:rsid w:val="00B74BDB"/>
    <w:rsid w:val="00B74BE3"/>
    <w:rsid w:val="00B74DEC"/>
    <w:rsid w:val="00B74EFE"/>
    <w:rsid w:val="00B75194"/>
    <w:rsid w:val="00B752CF"/>
    <w:rsid w:val="00B7559A"/>
    <w:rsid w:val="00B75947"/>
    <w:rsid w:val="00B75B2C"/>
    <w:rsid w:val="00B75D8D"/>
    <w:rsid w:val="00B75FAD"/>
    <w:rsid w:val="00B76200"/>
    <w:rsid w:val="00B762AC"/>
    <w:rsid w:val="00B76419"/>
    <w:rsid w:val="00B767F6"/>
    <w:rsid w:val="00B76988"/>
    <w:rsid w:val="00B77385"/>
    <w:rsid w:val="00B774B7"/>
    <w:rsid w:val="00B7750B"/>
    <w:rsid w:val="00B77617"/>
    <w:rsid w:val="00B77792"/>
    <w:rsid w:val="00B779E6"/>
    <w:rsid w:val="00B77B42"/>
    <w:rsid w:val="00B77B5B"/>
    <w:rsid w:val="00B77D93"/>
    <w:rsid w:val="00B77E3C"/>
    <w:rsid w:val="00B77E50"/>
    <w:rsid w:val="00B80414"/>
    <w:rsid w:val="00B80756"/>
    <w:rsid w:val="00B81132"/>
    <w:rsid w:val="00B81441"/>
    <w:rsid w:val="00B816B0"/>
    <w:rsid w:val="00B81CA0"/>
    <w:rsid w:val="00B81EF8"/>
    <w:rsid w:val="00B82078"/>
    <w:rsid w:val="00B8267F"/>
    <w:rsid w:val="00B82694"/>
    <w:rsid w:val="00B827A8"/>
    <w:rsid w:val="00B82B54"/>
    <w:rsid w:val="00B82BCF"/>
    <w:rsid w:val="00B83128"/>
    <w:rsid w:val="00B83531"/>
    <w:rsid w:val="00B83A5B"/>
    <w:rsid w:val="00B83E89"/>
    <w:rsid w:val="00B83ED3"/>
    <w:rsid w:val="00B83FAB"/>
    <w:rsid w:val="00B843F0"/>
    <w:rsid w:val="00B84CFA"/>
    <w:rsid w:val="00B84EF6"/>
    <w:rsid w:val="00B84F69"/>
    <w:rsid w:val="00B851DC"/>
    <w:rsid w:val="00B851F4"/>
    <w:rsid w:val="00B85278"/>
    <w:rsid w:val="00B85331"/>
    <w:rsid w:val="00B858D3"/>
    <w:rsid w:val="00B85EE2"/>
    <w:rsid w:val="00B864DE"/>
    <w:rsid w:val="00B8655A"/>
    <w:rsid w:val="00B86837"/>
    <w:rsid w:val="00B86A7B"/>
    <w:rsid w:val="00B86DCB"/>
    <w:rsid w:val="00B87087"/>
    <w:rsid w:val="00B87328"/>
    <w:rsid w:val="00B87846"/>
    <w:rsid w:val="00B879FB"/>
    <w:rsid w:val="00B87BF6"/>
    <w:rsid w:val="00B90047"/>
    <w:rsid w:val="00B906B4"/>
    <w:rsid w:val="00B906CA"/>
    <w:rsid w:val="00B90B40"/>
    <w:rsid w:val="00B90B47"/>
    <w:rsid w:val="00B90E5A"/>
    <w:rsid w:val="00B90F2C"/>
    <w:rsid w:val="00B90FE8"/>
    <w:rsid w:val="00B91026"/>
    <w:rsid w:val="00B91128"/>
    <w:rsid w:val="00B915BD"/>
    <w:rsid w:val="00B91844"/>
    <w:rsid w:val="00B91865"/>
    <w:rsid w:val="00B918A9"/>
    <w:rsid w:val="00B918B9"/>
    <w:rsid w:val="00B91937"/>
    <w:rsid w:val="00B91A0E"/>
    <w:rsid w:val="00B91B7A"/>
    <w:rsid w:val="00B91FB4"/>
    <w:rsid w:val="00B921E2"/>
    <w:rsid w:val="00B9225F"/>
    <w:rsid w:val="00B9231F"/>
    <w:rsid w:val="00B927D3"/>
    <w:rsid w:val="00B927E2"/>
    <w:rsid w:val="00B92B14"/>
    <w:rsid w:val="00B92E48"/>
    <w:rsid w:val="00B93098"/>
    <w:rsid w:val="00B93248"/>
    <w:rsid w:val="00B93408"/>
    <w:rsid w:val="00B937EB"/>
    <w:rsid w:val="00B939F7"/>
    <w:rsid w:val="00B93B35"/>
    <w:rsid w:val="00B93B64"/>
    <w:rsid w:val="00B93C59"/>
    <w:rsid w:val="00B94347"/>
    <w:rsid w:val="00B944D5"/>
    <w:rsid w:val="00B94689"/>
    <w:rsid w:val="00B9491E"/>
    <w:rsid w:val="00B94CEB"/>
    <w:rsid w:val="00B95137"/>
    <w:rsid w:val="00B954D7"/>
    <w:rsid w:val="00B95A27"/>
    <w:rsid w:val="00B95A3C"/>
    <w:rsid w:val="00B95BD9"/>
    <w:rsid w:val="00B95BF0"/>
    <w:rsid w:val="00B95C13"/>
    <w:rsid w:val="00B95DF4"/>
    <w:rsid w:val="00B96028"/>
    <w:rsid w:val="00B96238"/>
    <w:rsid w:val="00B96241"/>
    <w:rsid w:val="00B965A6"/>
    <w:rsid w:val="00B965A7"/>
    <w:rsid w:val="00B96610"/>
    <w:rsid w:val="00B9666D"/>
    <w:rsid w:val="00B966E6"/>
    <w:rsid w:val="00B969D6"/>
    <w:rsid w:val="00B96AC2"/>
    <w:rsid w:val="00B97302"/>
    <w:rsid w:val="00B9783A"/>
    <w:rsid w:val="00B979E0"/>
    <w:rsid w:val="00B97A02"/>
    <w:rsid w:val="00B97C3C"/>
    <w:rsid w:val="00B97C9D"/>
    <w:rsid w:val="00B97EC1"/>
    <w:rsid w:val="00BA0405"/>
    <w:rsid w:val="00BA04AF"/>
    <w:rsid w:val="00BA05CB"/>
    <w:rsid w:val="00BA05DC"/>
    <w:rsid w:val="00BA0667"/>
    <w:rsid w:val="00BA0F65"/>
    <w:rsid w:val="00BA1721"/>
    <w:rsid w:val="00BA1D42"/>
    <w:rsid w:val="00BA2248"/>
    <w:rsid w:val="00BA2667"/>
    <w:rsid w:val="00BA2810"/>
    <w:rsid w:val="00BA2989"/>
    <w:rsid w:val="00BA2B58"/>
    <w:rsid w:val="00BA2BE4"/>
    <w:rsid w:val="00BA30CC"/>
    <w:rsid w:val="00BA3225"/>
    <w:rsid w:val="00BA339D"/>
    <w:rsid w:val="00BA35C0"/>
    <w:rsid w:val="00BA3683"/>
    <w:rsid w:val="00BA373F"/>
    <w:rsid w:val="00BA384C"/>
    <w:rsid w:val="00BA3A4A"/>
    <w:rsid w:val="00BA4405"/>
    <w:rsid w:val="00BA4645"/>
    <w:rsid w:val="00BA487C"/>
    <w:rsid w:val="00BA4949"/>
    <w:rsid w:val="00BA4C08"/>
    <w:rsid w:val="00BA4CE9"/>
    <w:rsid w:val="00BA4D2D"/>
    <w:rsid w:val="00BA5024"/>
    <w:rsid w:val="00BA5133"/>
    <w:rsid w:val="00BA5238"/>
    <w:rsid w:val="00BA5486"/>
    <w:rsid w:val="00BA5AF4"/>
    <w:rsid w:val="00BA5D69"/>
    <w:rsid w:val="00BA5DD0"/>
    <w:rsid w:val="00BA5EFD"/>
    <w:rsid w:val="00BA61CC"/>
    <w:rsid w:val="00BA62B8"/>
    <w:rsid w:val="00BA62E5"/>
    <w:rsid w:val="00BA6A15"/>
    <w:rsid w:val="00BA6F87"/>
    <w:rsid w:val="00BA72A5"/>
    <w:rsid w:val="00BA7332"/>
    <w:rsid w:val="00BA7610"/>
    <w:rsid w:val="00BA77CC"/>
    <w:rsid w:val="00BA7844"/>
    <w:rsid w:val="00BA7ADF"/>
    <w:rsid w:val="00BA7D9D"/>
    <w:rsid w:val="00BA7ECF"/>
    <w:rsid w:val="00BA7F80"/>
    <w:rsid w:val="00BB02B6"/>
    <w:rsid w:val="00BB0591"/>
    <w:rsid w:val="00BB05BB"/>
    <w:rsid w:val="00BB0940"/>
    <w:rsid w:val="00BB0C1D"/>
    <w:rsid w:val="00BB0DCA"/>
    <w:rsid w:val="00BB1156"/>
    <w:rsid w:val="00BB119B"/>
    <w:rsid w:val="00BB22F4"/>
    <w:rsid w:val="00BB25F5"/>
    <w:rsid w:val="00BB271A"/>
    <w:rsid w:val="00BB274F"/>
    <w:rsid w:val="00BB29CB"/>
    <w:rsid w:val="00BB2A0B"/>
    <w:rsid w:val="00BB3249"/>
    <w:rsid w:val="00BB33A8"/>
    <w:rsid w:val="00BB3462"/>
    <w:rsid w:val="00BB3518"/>
    <w:rsid w:val="00BB355A"/>
    <w:rsid w:val="00BB37EF"/>
    <w:rsid w:val="00BB392C"/>
    <w:rsid w:val="00BB39AE"/>
    <w:rsid w:val="00BB3A77"/>
    <w:rsid w:val="00BB3BA5"/>
    <w:rsid w:val="00BB3C39"/>
    <w:rsid w:val="00BB4056"/>
    <w:rsid w:val="00BB405E"/>
    <w:rsid w:val="00BB442E"/>
    <w:rsid w:val="00BB448D"/>
    <w:rsid w:val="00BB488C"/>
    <w:rsid w:val="00BB4A02"/>
    <w:rsid w:val="00BB4AA3"/>
    <w:rsid w:val="00BB4B65"/>
    <w:rsid w:val="00BB4E41"/>
    <w:rsid w:val="00BB50D1"/>
    <w:rsid w:val="00BB5236"/>
    <w:rsid w:val="00BB52C7"/>
    <w:rsid w:val="00BB52DD"/>
    <w:rsid w:val="00BB5377"/>
    <w:rsid w:val="00BB544A"/>
    <w:rsid w:val="00BB545D"/>
    <w:rsid w:val="00BB54E2"/>
    <w:rsid w:val="00BB5C1F"/>
    <w:rsid w:val="00BB5FCD"/>
    <w:rsid w:val="00BB6249"/>
    <w:rsid w:val="00BB659A"/>
    <w:rsid w:val="00BB67D5"/>
    <w:rsid w:val="00BB6F30"/>
    <w:rsid w:val="00BB6FCF"/>
    <w:rsid w:val="00BB7C73"/>
    <w:rsid w:val="00BB7C7E"/>
    <w:rsid w:val="00BB7D97"/>
    <w:rsid w:val="00BC013B"/>
    <w:rsid w:val="00BC031B"/>
    <w:rsid w:val="00BC071D"/>
    <w:rsid w:val="00BC0B4C"/>
    <w:rsid w:val="00BC1341"/>
    <w:rsid w:val="00BC1459"/>
    <w:rsid w:val="00BC16B6"/>
    <w:rsid w:val="00BC1F90"/>
    <w:rsid w:val="00BC23A8"/>
    <w:rsid w:val="00BC2A62"/>
    <w:rsid w:val="00BC2A9C"/>
    <w:rsid w:val="00BC2AF6"/>
    <w:rsid w:val="00BC2B1F"/>
    <w:rsid w:val="00BC2F4E"/>
    <w:rsid w:val="00BC3682"/>
    <w:rsid w:val="00BC3FE3"/>
    <w:rsid w:val="00BC40E1"/>
    <w:rsid w:val="00BC422D"/>
    <w:rsid w:val="00BC4497"/>
    <w:rsid w:val="00BC44BF"/>
    <w:rsid w:val="00BC473D"/>
    <w:rsid w:val="00BC4840"/>
    <w:rsid w:val="00BC4BD1"/>
    <w:rsid w:val="00BC4EA8"/>
    <w:rsid w:val="00BC52A7"/>
    <w:rsid w:val="00BC533A"/>
    <w:rsid w:val="00BC5717"/>
    <w:rsid w:val="00BC5A62"/>
    <w:rsid w:val="00BC5EA1"/>
    <w:rsid w:val="00BC5F9A"/>
    <w:rsid w:val="00BC63E4"/>
    <w:rsid w:val="00BC684E"/>
    <w:rsid w:val="00BC75FF"/>
    <w:rsid w:val="00BC7A57"/>
    <w:rsid w:val="00BC7DB6"/>
    <w:rsid w:val="00BD0210"/>
    <w:rsid w:val="00BD0A08"/>
    <w:rsid w:val="00BD0B3A"/>
    <w:rsid w:val="00BD0CDE"/>
    <w:rsid w:val="00BD0D9E"/>
    <w:rsid w:val="00BD0EC3"/>
    <w:rsid w:val="00BD10F9"/>
    <w:rsid w:val="00BD1110"/>
    <w:rsid w:val="00BD1410"/>
    <w:rsid w:val="00BD21C0"/>
    <w:rsid w:val="00BD21C8"/>
    <w:rsid w:val="00BD26EB"/>
    <w:rsid w:val="00BD2799"/>
    <w:rsid w:val="00BD27CC"/>
    <w:rsid w:val="00BD2862"/>
    <w:rsid w:val="00BD28D9"/>
    <w:rsid w:val="00BD2B33"/>
    <w:rsid w:val="00BD2DF7"/>
    <w:rsid w:val="00BD344A"/>
    <w:rsid w:val="00BD3501"/>
    <w:rsid w:val="00BD375E"/>
    <w:rsid w:val="00BD377E"/>
    <w:rsid w:val="00BD3882"/>
    <w:rsid w:val="00BD3D37"/>
    <w:rsid w:val="00BD4009"/>
    <w:rsid w:val="00BD409E"/>
    <w:rsid w:val="00BD4198"/>
    <w:rsid w:val="00BD419B"/>
    <w:rsid w:val="00BD46A5"/>
    <w:rsid w:val="00BD4B02"/>
    <w:rsid w:val="00BD4E0E"/>
    <w:rsid w:val="00BD5210"/>
    <w:rsid w:val="00BD5268"/>
    <w:rsid w:val="00BD5883"/>
    <w:rsid w:val="00BD5D50"/>
    <w:rsid w:val="00BD60B9"/>
    <w:rsid w:val="00BD61AE"/>
    <w:rsid w:val="00BD620A"/>
    <w:rsid w:val="00BD6874"/>
    <w:rsid w:val="00BD6994"/>
    <w:rsid w:val="00BD6A41"/>
    <w:rsid w:val="00BD6A62"/>
    <w:rsid w:val="00BD6A7B"/>
    <w:rsid w:val="00BD6CFF"/>
    <w:rsid w:val="00BD7170"/>
    <w:rsid w:val="00BD72AA"/>
    <w:rsid w:val="00BD73F7"/>
    <w:rsid w:val="00BD7446"/>
    <w:rsid w:val="00BD77CA"/>
    <w:rsid w:val="00BD7C8F"/>
    <w:rsid w:val="00BE01BE"/>
    <w:rsid w:val="00BE02D1"/>
    <w:rsid w:val="00BE0548"/>
    <w:rsid w:val="00BE08FD"/>
    <w:rsid w:val="00BE0D6C"/>
    <w:rsid w:val="00BE0F28"/>
    <w:rsid w:val="00BE1028"/>
    <w:rsid w:val="00BE1071"/>
    <w:rsid w:val="00BE11CC"/>
    <w:rsid w:val="00BE12A9"/>
    <w:rsid w:val="00BE1562"/>
    <w:rsid w:val="00BE1642"/>
    <w:rsid w:val="00BE1A11"/>
    <w:rsid w:val="00BE1A4A"/>
    <w:rsid w:val="00BE1B25"/>
    <w:rsid w:val="00BE1F06"/>
    <w:rsid w:val="00BE24BA"/>
    <w:rsid w:val="00BE271D"/>
    <w:rsid w:val="00BE2999"/>
    <w:rsid w:val="00BE2E6E"/>
    <w:rsid w:val="00BE3069"/>
    <w:rsid w:val="00BE31C6"/>
    <w:rsid w:val="00BE38A2"/>
    <w:rsid w:val="00BE4135"/>
    <w:rsid w:val="00BE4200"/>
    <w:rsid w:val="00BE44E4"/>
    <w:rsid w:val="00BE4716"/>
    <w:rsid w:val="00BE4820"/>
    <w:rsid w:val="00BE48BB"/>
    <w:rsid w:val="00BE496E"/>
    <w:rsid w:val="00BE4BCD"/>
    <w:rsid w:val="00BE4CBB"/>
    <w:rsid w:val="00BE4D46"/>
    <w:rsid w:val="00BE4F18"/>
    <w:rsid w:val="00BE504C"/>
    <w:rsid w:val="00BE549A"/>
    <w:rsid w:val="00BE55BF"/>
    <w:rsid w:val="00BE5839"/>
    <w:rsid w:val="00BE5BA6"/>
    <w:rsid w:val="00BE626C"/>
    <w:rsid w:val="00BE6277"/>
    <w:rsid w:val="00BE63AA"/>
    <w:rsid w:val="00BE66F8"/>
    <w:rsid w:val="00BE6702"/>
    <w:rsid w:val="00BE6839"/>
    <w:rsid w:val="00BE727F"/>
    <w:rsid w:val="00BE7561"/>
    <w:rsid w:val="00BE76EF"/>
    <w:rsid w:val="00BE7B69"/>
    <w:rsid w:val="00BF051B"/>
    <w:rsid w:val="00BF0520"/>
    <w:rsid w:val="00BF075E"/>
    <w:rsid w:val="00BF09A6"/>
    <w:rsid w:val="00BF0B3A"/>
    <w:rsid w:val="00BF0BE3"/>
    <w:rsid w:val="00BF0E41"/>
    <w:rsid w:val="00BF0FED"/>
    <w:rsid w:val="00BF11F2"/>
    <w:rsid w:val="00BF1378"/>
    <w:rsid w:val="00BF1649"/>
    <w:rsid w:val="00BF1959"/>
    <w:rsid w:val="00BF1D8B"/>
    <w:rsid w:val="00BF23A0"/>
    <w:rsid w:val="00BF283E"/>
    <w:rsid w:val="00BF2BA1"/>
    <w:rsid w:val="00BF2FA0"/>
    <w:rsid w:val="00BF383C"/>
    <w:rsid w:val="00BF396F"/>
    <w:rsid w:val="00BF3974"/>
    <w:rsid w:val="00BF39E6"/>
    <w:rsid w:val="00BF43D9"/>
    <w:rsid w:val="00BF44D5"/>
    <w:rsid w:val="00BF4530"/>
    <w:rsid w:val="00BF4733"/>
    <w:rsid w:val="00BF4A51"/>
    <w:rsid w:val="00BF4D6D"/>
    <w:rsid w:val="00BF4DE1"/>
    <w:rsid w:val="00BF5422"/>
    <w:rsid w:val="00BF5557"/>
    <w:rsid w:val="00BF5723"/>
    <w:rsid w:val="00BF572C"/>
    <w:rsid w:val="00BF57D4"/>
    <w:rsid w:val="00BF58E7"/>
    <w:rsid w:val="00BF5A84"/>
    <w:rsid w:val="00BF5DEC"/>
    <w:rsid w:val="00BF5E08"/>
    <w:rsid w:val="00BF6163"/>
    <w:rsid w:val="00BF65ED"/>
    <w:rsid w:val="00BF6764"/>
    <w:rsid w:val="00BF6C9C"/>
    <w:rsid w:val="00BF6CE5"/>
    <w:rsid w:val="00BF6D90"/>
    <w:rsid w:val="00BF7129"/>
    <w:rsid w:val="00BF756C"/>
    <w:rsid w:val="00BF7A0D"/>
    <w:rsid w:val="00BF7AE0"/>
    <w:rsid w:val="00C0017E"/>
    <w:rsid w:val="00C003B9"/>
    <w:rsid w:val="00C00478"/>
    <w:rsid w:val="00C006A6"/>
    <w:rsid w:val="00C00A80"/>
    <w:rsid w:val="00C00CBB"/>
    <w:rsid w:val="00C00F0E"/>
    <w:rsid w:val="00C00F93"/>
    <w:rsid w:val="00C014A0"/>
    <w:rsid w:val="00C014BB"/>
    <w:rsid w:val="00C01513"/>
    <w:rsid w:val="00C01702"/>
    <w:rsid w:val="00C0173A"/>
    <w:rsid w:val="00C01751"/>
    <w:rsid w:val="00C018DF"/>
    <w:rsid w:val="00C01A2D"/>
    <w:rsid w:val="00C01F3F"/>
    <w:rsid w:val="00C0283A"/>
    <w:rsid w:val="00C028C7"/>
    <w:rsid w:val="00C02F50"/>
    <w:rsid w:val="00C03045"/>
    <w:rsid w:val="00C03A72"/>
    <w:rsid w:val="00C03FED"/>
    <w:rsid w:val="00C043E1"/>
    <w:rsid w:val="00C0455A"/>
    <w:rsid w:val="00C049D6"/>
    <w:rsid w:val="00C04AFA"/>
    <w:rsid w:val="00C04E63"/>
    <w:rsid w:val="00C0513F"/>
    <w:rsid w:val="00C0549A"/>
    <w:rsid w:val="00C0552A"/>
    <w:rsid w:val="00C059F4"/>
    <w:rsid w:val="00C06005"/>
    <w:rsid w:val="00C06267"/>
    <w:rsid w:val="00C06288"/>
    <w:rsid w:val="00C06DAA"/>
    <w:rsid w:val="00C06FDC"/>
    <w:rsid w:val="00C0706B"/>
    <w:rsid w:val="00C071F7"/>
    <w:rsid w:val="00C0748C"/>
    <w:rsid w:val="00C07512"/>
    <w:rsid w:val="00C076FB"/>
    <w:rsid w:val="00C079D5"/>
    <w:rsid w:val="00C07A95"/>
    <w:rsid w:val="00C07D75"/>
    <w:rsid w:val="00C07FC4"/>
    <w:rsid w:val="00C101E4"/>
    <w:rsid w:val="00C104D7"/>
    <w:rsid w:val="00C107F7"/>
    <w:rsid w:val="00C10B44"/>
    <w:rsid w:val="00C10D17"/>
    <w:rsid w:val="00C110A8"/>
    <w:rsid w:val="00C110D5"/>
    <w:rsid w:val="00C11162"/>
    <w:rsid w:val="00C11296"/>
    <w:rsid w:val="00C112A9"/>
    <w:rsid w:val="00C11319"/>
    <w:rsid w:val="00C11E4B"/>
    <w:rsid w:val="00C12047"/>
    <w:rsid w:val="00C12366"/>
    <w:rsid w:val="00C12413"/>
    <w:rsid w:val="00C1262D"/>
    <w:rsid w:val="00C129BB"/>
    <w:rsid w:val="00C12CA4"/>
    <w:rsid w:val="00C136B7"/>
    <w:rsid w:val="00C13B09"/>
    <w:rsid w:val="00C13BAA"/>
    <w:rsid w:val="00C13EC6"/>
    <w:rsid w:val="00C13F20"/>
    <w:rsid w:val="00C1481E"/>
    <w:rsid w:val="00C148E0"/>
    <w:rsid w:val="00C14C5F"/>
    <w:rsid w:val="00C14C8E"/>
    <w:rsid w:val="00C14D7A"/>
    <w:rsid w:val="00C14FD9"/>
    <w:rsid w:val="00C1505B"/>
    <w:rsid w:val="00C15199"/>
    <w:rsid w:val="00C154C3"/>
    <w:rsid w:val="00C15638"/>
    <w:rsid w:val="00C15944"/>
    <w:rsid w:val="00C1603C"/>
    <w:rsid w:val="00C16044"/>
    <w:rsid w:val="00C16165"/>
    <w:rsid w:val="00C164A0"/>
    <w:rsid w:val="00C16922"/>
    <w:rsid w:val="00C16D7A"/>
    <w:rsid w:val="00C16F92"/>
    <w:rsid w:val="00C1731B"/>
    <w:rsid w:val="00C177C8"/>
    <w:rsid w:val="00C1795B"/>
    <w:rsid w:val="00C2018C"/>
    <w:rsid w:val="00C205D8"/>
    <w:rsid w:val="00C206E0"/>
    <w:rsid w:val="00C20726"/>
    <w:rsid w:val="00C207AE"/>
    <w:rsid w:val="00C20D8E"/>
    <w:rsid w:val="00C21010"/>
    <w:rsid w:val="00C210DD"/>
    <w:rsid w:val="00C21255"/>
    <w:rsid w:val="00C212E3"/>
    <w:rsid w:val="00C21683"/>
    <w:rsid w:val="00C21742"/>
    <w:rsid w:val="00C21AC4"/>
    <w:rsid w:val="00C21F1C"/>
    <w:rsid w:val="00C22828"/>
    <w:rsid w:val="00C22BCE"/>
    <w:rsid w:val="00C22D9E"/>
    <w:rsid w:val="00C23031"/>
    <w:rsid w:val="00C231C0"/>
    <w:rsid w:val="00C2337F"/>
    <w:rsid w:val="00C237E8"/>
    <w:rsid w:val="00C23AA2"/>
    <w:rsid w:val="00C23CAF"/>
    <w:rsid w:val="00C23D18"/>
    <w:rsid w:val="00C24C09"/>
    <w:rsid w:val="00C24C8C"/>
    <w:rsid w:val="00C24DA3"/>
    <w:rsid w:val="00C24DBF"/>
    <w:rsid w:val="00C2517A"/>
    <w:rsid w:val="00C25272"/>
    <w:rsid w:val="00C25566"/>
    <w:rsid w:val="00C257EF"/>
    <w:rsid w:val="00C25CC0"/>
    <w:rsid w:val="00C25E49"/>
    <w:rsid w:val="00C25F06"/>
    <w:rsid w:val="00C2640F"/>
    <w:rsid w:val="00C2664B"/>
    <w:rsid w:val="00C2674C"/>
    <w:rsid w:val="00C26797"/>
    <w:rsid w:val="00C26BC1"/>
    <w:rsid w:val="00C26BF0"/>
    <w:rsid w:val="00C26C08"/>
    <w:rsid w:val="00C26C0B"/>
    <w:rsid w:val="00C275FD"/>
    <w:rsid w:val="00C2760F"/>
    <w:rsid w:val="00C2787D"/>
    <w:rsid w:val="00C300A2"/>
    <w:rsid w:val="00C308D7"/>
    <w:rsid w:val="00C30BBF"/>
    <w:rsid w:val="00C31583"/>
    <w:rsid w:val="00C317D7"/>
    <w:rsid w:val="00C31A94"/>
    <w:rsid w:val="00C31BEF"/>
    <w:rsid w:val="00C31C72"/>
    <w:rsid w:val="00C3239B"/>
    <w:rsid w:val="00C32686"/>
    <w:rsid w:val="00C32817"/>
    <w:rsid w:val="00C32B8A"/>
    <w:rsid w:val="00C33392"/>
    <w:rsid w:val="00C33549"/>
    <w:rsid w:val="00C3372C"/>
    <w:rsid w:val="00C33B5B"/>
    <w:rsid w:val="00C34A24"/>
    <w:rsid w:val="00C34B3C"/>
    <w:rsid w:val="00C351E7"/>
    <w:rsid w:val="00C35267"/>
    <w:rsid w:val="00C3535B"/>
    <w:rsid w:val="00C3553C"/>
    <w:rsid w:val="00C356F3"/>
    <w:rsid w:val="00C35970"/>
    <w:rsid w:val="00C35A5E"/>
    <w:rsid w:val="00C35BB0"/>
    <w:rsid w:val="00C35BB8"/>
    <w:rsid w:val="00C360E8"/>
    <w:rsid w:val="00C36354"/>
    <w:rsid w:val="00C364DC"/>
    <w:rsid w:val="00C365C8"/>
    <w:rsid w:val="00C369FE"/>
    <w:rsid w:val="00C36B32"/>
    <w:rsid w:val="00C36E0F"/>
    <w:rsid w:val="00C3720C"/>
    <w:rsid w:val="00C3740F"/>
    <w:rsid w:val="00C3744C"/>
    <w:rsid w:val="00C374CB"/>
    <w:rsid w:val="00C37A07"/>
    <w:rsid w:val="00C37CE5"/>
    <w:rsid w:val="00C4003F"/>
    <w:rsid w:val="00C400CC"/>
    <w:rsid w:val="00C401C1"/>
    <w:rsid w:val="00C40218"/>
    <w:rsid w:val="00C40219"/>
    <w:rsid w:val="00C40360"/>
    <w:rsid w:val="00C4048C"/>
    <w:rsid w:val="00C404AB"/>
    <w:rsid w:val="00C405FE"/>
    <w:rsid w:val="00C409B7"/>
    <w:rsid w:val="00C40F69"/>
    <w:rsid w:val="00C41158"/>
    <w:rsid w:val="00C4129C"/>
    <w:rsid w:val="00C4133E"/>
    <w:rsid w:val="00C4134B"/>
    <w:rsid w:val="00C41597"/>
    <w:rsid w:val="00C415C5"/>
    <w:rsid w:val="00C41C21"/>
    <w:rsid w:val="00C41CBD"/>
    <w:rsid w:val="00C41DA9"/>
    <w:rsid w:val="00C420C4"/>
    <w:rsid w:val="00C4217D"/>
    <w:rsid w:val="00C425B8"/>
    <w:rsid w:val="00C42870"/>
    <w:rsid w:val="00C42C8B"/>
    <w:rsid w:val="00C432FC"/>
    <w:rsid w:val="00C434A4"/>
    <w:rsid w:val="00C43562"/>
    <w:rsid w:val="00C4359F"/>
    <w:rsid w:val="00C43C89"/>
    <w:rsid w:val="00C44267"/>
    <w:rsid w:val="00C44CFC"/>
    <w:rsid w:val="00C44D0F"/>
    <w:rsid w:val="00C4510F"/>
    <w:rsid w:val="00C452C7"/>
    <w:rsid w:val="00C45D2A"/>
    <w:rsid w:val="00C45D5B"/>
    <w:rsid w:val="00C45E42"/>
    <w:rsid w:val="00C461F5"/>
    <w:rsid w:val="00C463A4"/>
    <w:rsid w:val="00C466E2"/>
    <w:rsid w:val="00C467EA"/>
    <w:rsid w:val="00C469BC"/>
    <w:rsid w:val="00C46A48"/>
    <w:rsid w:val="00C46B76"/>
    <w:rsid w:val="00C46F7F"/>
    <w:rsid w:val="00C46FDF"/>
    <w:rsid w:val="00C47012"/>
    <w:rsid w:val="00C470A6"/>
    <w:rsid w:val="00C47193"/>
    <w:rsid w:val="00C47B90"/>
    <w:rsid w:val="00C47BBE"/>
    <w:rsid w:val="00C47C65"/>
    <w:rsid w:val="00C47DAA"/>
    <w:rsid w:val="00C47DF8"/>
    <w:rsid w:val="00C50179"/>
    <w:rsid w:val="00C50225"/>
    <w:rsid w:val="00C5033A"/>
    <w:rsid w:val="00C50421"/>
    <w:rsid w:val="00C504AB"/>
    <w:rsid w:val="00C50684"/>
    <w:rsid w:val="00C50819"/>
    <w:rsid w:val="00C50A77"/>
    <w:rsid w:val="00C50BDF"/>
    <w:rsid w:val="00C50C26"/>
    <w:rsid w:val="00C50C41"/>
    <w:rsid w:val="00C50D11"/>
    <w:rsid w:val="00C50F1B"/>
    <w:rsid w:val="00C511AF"/>
    <w:rsid w:val="00C512C3"/>
    <w:rsid w:val="00C51589"/>
    <w:rsid w:val="00C51796"/>
    <w:rsid w:val="00C51860"/>
    <w:rsid w:val="00C518E8"/>
    <w:rsid w:val="00C519C6"/>
    <w:rsid w:val="00C51BAA"/>
    <w:rsid w:val="00C51CA1"/>
    <w:rsid w:val="00C51EA5"/>
    <w:rsid w:val="00C52249"/>
    <w:rsid w:val="00C522E9"/>
    <w:rsid w:val="00C52A94"/>
    <w:rsid w:val="00C52ABA"/>
    <w:rsid w:val="00C52B5C"/>
    <w:rsid w:val="00C52F87"/>
    <w:rsid w:val="00C5344A"/>
    <w:rsid w:val="00C5353F"/>
    <w:rsid w:val="00C5392C"/>
    <w:rsid w:val="00C539FF"/>
    <w:rsid w:val="00C53C6B"/>
    <w:rsid w:val="00C53D1B"/>
    <w:rsid w:val="00C53EC3"/>
    <w:rsid w:val="00C54240"/>
    <w:rsid w:val="00C546F4"/>
    <w:rsid w:val="00C54A29"/>
    <w:rsid w:val="00C54BB6"/>
    <w:rsid w:val="00C54C49"/>
    <w:rsid w:val="00C54C7F"/>
    <w:rsid w:val="00C54D60"/>
    <w:rsid w:val="00C54E11"/>
    <w:rsid w:val="00C55149"/>
    <w:rsid w:val="00C551BE"/>
    <w:rsid w:val="00C553AF"/>
    <w:rsid w:val="00C555B1"/>
    <w:rsid w:val="00C5610D"/>
    <w:rsid w:val="00C56334"/>
    <w:rsid w:val="00C56502"/>
    <w:rsid w:val="00C56727"/>
    <w:rsid w:val="00C56A1F"/>
    <w:rsid w:val="00C56DB1"/>
    <w:rsid w:val="00C572DC"/>
    <w:rsid w:val="00C57A80"/>
    <w:rsid w:val="00C57C57"/>
    <w:rsid w:val="00C60123"/>
    <w:rsid w:val="00C6048D"/>
    <w:rsid w:val="00C60A31"/>
    <w:rsid w:val="00C60CAA"/>
    <w:rsid w:val="00C60EE3"/>
    <w:rsid w:val="00C60EED"/>
    <w:rsid w:val="00C610F1"/>
    <w:rsid w:val="00C611A6"/>
    <w:rsid w:val="00C61470"/>
    <w:rsid w:val="00C615C7"/>
    <w:rsid w:val="00C61C8C"/>
    <w:rsid w:val="00C61CB7"/>
    <w:rsid w:val="00C61DAA"/>
    <w:rsid w:val="00C61E3D"/>
    <w:rsid w:val="00C62441"/>
    <w:rsid w:val="00C62506"/>
    <w:rsid w:val="00C625BE"/>
    <w:rsid w:val="00C627FC"/>
    <w:rsid w:val="00C62AEB"/>
    <w:rsid w:val="00C62D1B"/>
    <w:rsid w:val="00C63045"/>
    <w:rsid w:val="00C641C0"/>
    <w:rsid w:val="00C64367"/>
    <w:rsid w:val="00C643F6"/>
    <w:rsid w:val="00C647BE"/>
    <w:rsid w:val="00C64D56"/>
    <w:rsid w:val="00C64EC1"/>
    <w:rsid w:val="00C650ED"/>
    <w:rsid w:val="00C651A1"/>
    <w:rsid w:val="00C656B3"/>
    <w:rsid w:val="00C65916"/>
    <w:rsid w:val="00C65947"/>
    <w:rsid w:val="00C65D70"/>
    <w:rsid w:val="00C65DE4"/>
    <w:rsid w:val="00C664FE"/>
    <w:rsid w:val="00C665D0"/>
    <w:rsid w:val="00C66712"/>
    <w:rsid w:val="00C66FDF"/>
    <w:rsid w:val="00C670F8"/>
    <w:rsid w:val="00C6721D"/>
    <w:rsid w:val="00C6737E"/>
    <w:rsid w:val="00C673D1"/>
    <w:rsid w:val="00C6754C"/>
    <w:rsid w:val="00C67946"/>
    <w:rsid w:val="00C679A9"/>
    <w:rsid w:val="00C67DB3"/>
    <w:rsid w:val="00C70199"/>
    <w:rsid w:val="00C703A2"/>
    <w:rsid w:val="00C707B4"/>
    <w:rsid w:val="00C71300"/>
    <w:rsid w:val="00C713EE"/>
    <w:rsid w:val="00C7194E"/>
    <w:rsid w:val="00C71C00"/>
    <w:rsid w:val="00C71F0D"/>
    <w:rsid w:val="00C71FEB"/>
    <w:rsid w:val="00C72070"/>
    <w:rsid w:val="00C72137"/>
    <w:rsid w:val="00C721DE"/>
    <w:rsid w:val="00C7221F"/>
    <w:rsid w:val="00C7245F"/>
    <w:rsid w:val="00C72A19"/>
    <w:rsid w:val="00C72D6C"/>
    <w:rsid w:val="00C73051"/>
    <w:rsid w:val="00C734D9"/>
    <w:rsid w:val="00C738F9"/>
    <w:rsid w:val="00C73A81"/>
    <w:rsid w:val="00C73E42"/>
    <w:rsid w:val="00C73EE9"/>
    <w:rsid w:val="00C740A6"/>
    <w:rsid w:val="00C74912"/>
    <w:rsid w:val="00C74CF0"/>
    <w:rsid w:val="00C74D1E"/>
    <w:rsid w:val="00C74D8B"/>
    <w:rsid w:val="00C75139"/>
    <w:rsid w:val="00C7513E"/>
    <w:rsid w:val="00C75A47"/>
    <w:rsid w:val="00C75D8A"/>
    <w:rsid w:val="00C76305"/>
    <w:rsid w:val="00C763F0"/>
    <w:rsid w:val="00C76A7F"/>
    <w:rsid w:val="00C76CA1"/>
    <w:rsid w:val="00C77018"/>
    <w:rsid w:val="00C77029"/>
    <w:rsid w:val="00C77231"/>
    <w:rsid w:val="00C777AC"/>
    <w:rsid w:val="00C77C03"/>
    <w:rsid w:val="00C77FCF"/>
    <w:rsid w:val="00C8014C"/>
    <w:rsid w:val="00C80604"/>
    <w:rsid w:val="00C80784"/>
    <w:rsid w:val="00C808FC"/>
    <w:rsid w:val="00C8092E"/>
    <w:rsid w:val="00C80D36"/>
    <w:rsid w:val="00C80EDE"/>
    <w:rsid w:val="00C8107C"/>
    <w:rsid w:val="00C81E42"/>
    <w:rsid w:val="00C82164"/>
    <w:rsid w:val="00C8228F"/>
    <w:rsid w:val="00C83080"/>
    <w:rsid w:val="00C832CB"/>
    <w:rsid w:val="00C83891"/>
    <w:rsid w:val="00C83B31"/>
    <w:rsid w:val="00C83BA6"/>
    <w:rsid w:val="00C84033"/>
    <w:rsid w:val="00C846B6"/>
    <w:rsid w:val="00C8483D"/>
    <w:rsid w:val="00C848E0"/>
    <w:rsid w:val="00C84A63"/>
    <w:rsid w:val="00C84D72"/>
    <w:rsid w:val="00C84F3C"/>
    <w:rsid w:val="00C8515B"/>
    <w:rsid w:val="00C854EC"/>
    <w:rsid w:val="00C85F92"/>
    <w:rsid w:val="00C85FD8"/>
    <w:rsid w:val="00C866AD"/>
    <w:rsid w:val="00C8678B"/>
    <w:rsid w:val="00C86C29"/>
    <w:rsid w:val="00C86D5D"/>
    <w:rsid w:val="00C86D8A"/>
    <w:rsid w:val="00C86F7B"/>
    <w:rsid w:val="00C86F96"/>
    <w:rsid w:val="00C8767A"/>
    <w:rsid w:val="00C876C8"/>
    <w:rsid w:val="00C876CD"/>
    <w:rsid w:val="00C87FAF"/>
    <w:rsid w:val="00C87FBB"/>
    <w:rsid w:val="00C90321"/>
    <w:rsid w:val="00C90519"/>
    <w:rsid w:val="00C9089E"/>
    <w:rsid w:val="00C90C42"/>
    <w:rsid w:val="00C9125A"/>
    <w:rsid w:val="00C915C8"/>
    <w:rsid w:val="00C91606"/>
    <w:rsid w:val="00C9194C"/>
    <w:rsid w:val="00C919D6"/>
    <w:rsid w:val="00C91C1F"/>
    <w:rsid w:val="00C9225F"/>
    <w:rsid w:val="00C92314"/>
    <w:rsid w:val="00C925F6"/>
    <w:rsid w:val="00C9283F"/>
    <w:rsid w:val="00C92857"/>
    <w:rsid w:val="00C93478"/>
    <w:rsid w:val="00C9349D"/>
    <w:rsid w:val="00C9358B"/>
    <w:rsid w:val="00C936CF"/>
    <w:rsid w:val="00C9372D"/>
    <w:rsid w:val="00C93756"/>
    <w:rsid w:val="00C93942"/>
    <w:rsid w:val="00C93AF3"/>
    <w:rsid w:val="00C93AF9"/>
    <w:rsid w:val="00C93F9B"/>
    <w:rsid w:val="00C93FBD"/>
    <w:rsid w:val="00C945B6"/>
    <w:rsid w:val="00C945C0"/>
    <w:rsid w:val="00C94773"/>
    <w:rsid w:val="00C947C3"/>
    <w:rsid w:val="00C947F7"/>
    <w:rsid w:val="00C94B31"/>
    <w:rsid w:val="00C9515E"/>
    <w:rsid w:val="00C953BF"/>
    <w:rsid w:val="00C9562E"/>
    <w:rsid w:val="00C958BD"/>
    <w:rsid w:val="00C95C3D"/>
    <w:rsid w:val="00C95CE9"/>
    <w:rsid w:val="00C9606D"/>
    <w:rsid w:val="00C960F4"/>
    <w:rsid w:val="00C96109"/>
    <w:rsid w:val="00C961CE"/>
    <w:rsid w:val="00C96366"/>
    <w:rsid w:val="00C964D1"/>
    <w:rsid w:val="00C9653C"/>
    <w:rsid w:val="00C96A58"/>
    <w:rsid w:val="00C96A61"/>
    <w:rsid w:val="00C96C56"/>
    <w:rsid w:val="00C96E5E"/>
    <w:rsid w:val="00C973E0"/>
    <w:rsid w:val="00C97988"/>
    <w:rsid w:val="00C97AA3"/>
    <w:rsid w:val="00CA0581"/>
    <w:rsid w:val="00CA095A"/>
    <w:rsid w:val="00CA0B67"/>
    <w:rsid w:val="00CA12E1"/>
    <w:rsid w:val="00CA1539"/>
    <w:rsid w:val="00CA1888"/>
    <w:rsid w:val="00CA1E3E"/>
    <w:rsid w:val="00CA1EAE"/>
    <w:rsid w:val="00CA2160"/>
    <w:rsid w:val="00CA224C"/>
    <w:rsid w:val="00CA2273"/>
    <w:rsid w:val="00CA25BA"/>
    <w:rsid w:val="00CA2689"/>
    <w:rsid w:val="00CA27AB"/>
    <w:rsid w:val="00CA2ADB"/>
    <w:rsid w:val="00CA2C85"/>
    <w:rsid w:val="00CA2D46"/>
    <w:rsid w:val="00CA31FA"/>
    <w:rsid w:val="00CA3B73"/>
    <w:rsid w:val="00CA3DAD"/>
    <w:rsid w:val="00CA3FEC"/>
    <w:rsid w:val="00CA44CB"/>
    <w:rsid w:val="00CA47D0"/>
    <w:rsid w:val="00CA48D2"/>
    <w:rsid w:val="00CA4FE1"/>
    <w:rsid w:val="00CA50F2"/>
    <w:rsid w:val="00CA5392"/>
    <w:rsid w:val="00CA56BC"/>
    <w:rsid w:val="00CA590F"/>
    <w:rsid w:val="00CA5950"/>
    <w:rsid w:val="00CA5A72"/>
    <w:rsid w:val="00CA5EB8"/>
    <w:rsid w:val="00CA5FFD"/>
    <w:rsid w:val="00CA6039"/>
    <w:rsid w:val="00CA634C"/>
    <w:rsid w:val="00CA644B"/>
    <w:rsid w:val="00CA698D"/>
    <w:rsid w:val="00CA6CC8"/>
    <w:rsid w:val="00CA6DD8"/>
    <w:rsid w:val="00CA71D3"/>
    <w:rsid w:val="00CA787F"/>
    <w:rsid w:val="00CA79EA"/>
    <w:rsid w:val="00CA7BEA"/>
    <w:rsid w:val="00CA7CCF"/>
    <w:rsid w:val="00CA7EE1"/>
    <w:rsid w:val="00CA7EF4"/>
    <w:rsid w:val="00CB01EF"/>
    <w:rsid w:val="00CB050E"/>
    <w:rsid w:val="00CB069A"/>
    <w:rsid w:val="00CB07CE"/>
    <w:rsid w:val="00CB0E8E"/>
    <w:rsid w:val="00CB1125"/>
    <w:rsid w:val="00CB1275"/>
    <w:rsid w:val="00CB137F"/>
    <w:rsid w:val="00CB13E1"/>
    <w:rsid w:val="00CB160D"/>
    <w:rsid w:val="00CB1610"/>
    <w:rsid w:val="00CB1A25"/>
    <w:rsid w:val="00CB1D1A"/>
    <w:rsid w:val="00CB2492"/>
    <w:rsid w:val="00CB267B"/>
    <w:rsid w:val="00CB292D"/>
    <w:rsid w:val="00CB29DF"/>
    <w:rsid w:val="00CB2A25"/>
    <w:rsid w:val="00CB2AD2"/>
    <w:rsid w:val="00CB342D"/>
    <w:rsid w:val="00CB35F7"/>
    <w:rsid w:val="00CB37A9"/>
    <w:rsid w:val="00CB37B5"/>
    <w:rsid w:val="00CB387A"/>
    <w:rsid w:val="00CB4748"/>
    <w:rsid w:val="00CB4C6C"/>
    <w:rsid w:val="00CB4CC0"/>
    <w:rsid w:val="00CB5331"/>
    <w:rsid w:val="00CB5570"/>
    <w:rsid w:val="00CB562C"/>
    <w:rsid w:val="00CB569E"/>
    <w:rsid w:val="00CB58E5"/>
    <w:rsid w:val="00CB5AB3"/>
    <w:rsid w:val="00CB5C3D"/>
    <w:rsid w:val="00CB6B9B"/>
    <w:rsid w:val="00CB707F"/>
    <w:rsid w:val="00CB74C3"/>
    <w:rsid w:val="00CC01F0"/>
    <w:rsid w:val="00CC055F"/>
    <w:rsid w:val="00CC0663"/>
    <w:rsid w:val="00CC0A1B"/>
    <w:rsid w:val="00CC0B81"/>
    <w:rsid w:val="00CC0E36"/>
    <w:rsid w:val="00CC17AB"/>
    <w:rsid w:val="00CC1902"/>
    <w:rsid w:val="00CC1B73"/>
    <w:rsid w:val="00CC1D55"/>
    <w:rsid w:val="00CC1E95"/>
    <w:rsid w:val="00CC1EFE"/>
    <w:rsid w:val="00CC2BFA"/>
    <w:rsid w:val="00CC2DEA"/>
    <w:rsid w:val="00CC3289"/>
    <w:rsid w:val="00CC38C5"/>
    <w:rsid w:val="00CC3C2D"/>
    <w:rsid w:val="00CC412E"/>
    <w:rsid w:val="00CC4501"/>
    <w:rsid w:val="00CC46CB"/>
    <w:rsid w:val="00CC51F0"/>
    <w:rsid w:val="00CC55BA"/>
    <w:rsid w:val="00CC5945"/>
    <w:rsid w:val="00CC6279"/>
    <w:rsid w:val="00CC6422"/>
    <w:rsid w:val="00CC717E"/>
    <w:rsid w:val="00CC75FE"/>
    <w:rsid w:val="00CC768A"/>
    <w:rsid w:val="00CC7A14"/>
    <w:rsid w:val="00CC7DC8"/>
    <w:rsid w:val="00CC7EEB"/>
    <w:rsid w:val="00CC7FDA"/>
    <w:rsid w:val="00CD0540"/>
    <w:rsid w:val="00CD0B59"/>
    <w:rsid w:val="00CD0B9F"/>
    <w:rsid w:val="00CD0E4B"/>
    <w:rsid w:val="00CD1012"/>
    <w:rsid w:val="00CD117E"/>
    <w:rsid w:val="00CD1245"/>
    <w:rsid w:val="00CD16C9"/>
    <w:rsid w:val="00CD18D1"/>
    <w:rsid w:val="00CD1FE9"/>
    <w:rsid w:val="00CD227E"/>
    <w:rsid w:val="00CD23C9"/>
    <w:rsid w:val="00CD2630"/>
    <w:rsid w:val="00CD2888"/>
    <w:rsid w:val="00CD297F"/>
    <w:rsid w:val="00CD2EEF"/>
    <w:rsid w:val="00CD2F19"/>
    <w:rsid w:val="00CD3110"/>
    <w:rsid w:val="00CD328C"/>
    <w:rsid w:val="00CD32EB"/>
    <w:rsid w:val="00CD33F3"/>
    <w:rsid w:val="00CD3503"/>
    <w:rsid w:val="00CD353D"/>
    <w:rsid w:val="00CD3B70"/>
    <w:rsid w:val="00CD3DBE"/>
    <w:rsid w:val="00CD3E7F"/>
    <w:rsid w:val="00CD4003"/>
    <w:rsid w:val="00CD4289"/>
    <w:rsid w:val="00CD44AA"/>
    <w:rsid w:val="00CD47C7"/>
    <w:rsid w:val="00CD4A4F"/>
    <w:rsid w:val="00CD4D49"/>
    <w:rsid w:val="00CD530A"/>
    <w:rsid w:val="00CD5370"/>
    <w:rsid w:val="00CD54E8"/>
    <w:rsid w:val="00CD56CA"/>
    <w:rsid w:val="00CD5741"/>
    <w:rsid w:val="00CD5795"/>
    <w:rsid w:val="00CD5820"/>
    <w:rsid w:val="00CD5A98"/>
    <w:rsid w:val="00CD5EC7"/>
    <w:rsid w:val="00CD5F5C"/>
    <w:rsid w:val="00CD6078"/>
    <w:rsid w:val="00CD61C6"/>
    <w:rsid w:val="00CD66AB"/>
    <w:rsid w:val="00CD66CD"/>
    <w:rsid w:val="00CD6DEA"/>
    <w:rsid w:val="00CD6E10"/>
    <w:rsid w:val="00CD7603"/>
    <w:rsid w:val="00CD78A7"/>
    <w:rsid w:val="00CD7A59"/>
    <w:rsid w:val="00CE028E"/>
    <w:rsid w:val="00CE0498"/>
    <w:rsid w:val="00CE065D"/>
    <w:rsid w:val="00CE0946"/>
    <w:rsid w:val="00CE0966"/>
    <w:rsid w:val="00CE0B36"/>
    <w:rsid w:val="00CE0D64"/>
    <w:rsid w:val="00CE147F"/>
    <w:rsid w:val="00CE17EE"/>
    <w:rsid w:val="00CE1A26"/>
    <w:rsid w:val="00CE1BAE"/>
    <w:rsid w:val="00CE1BF2"/>
    <w:rsid w:val="00CE1DDC"/>
    <w:rsid w:val="00CE1FCD"/>
    <w:rsid w:val="00CE2154"/>
    <w:rsid w:val="00CE286F"/>
    <w:rsid w:val="00CE2A83"/>
    <w:rsid w:val="00CE2D65"/>
    <w:rsid w:val="00CE31F4"/>
    <w:rsid w:val="00CE3567"/>
    <w:rsid w:val="00CE41C1"/>
    <w:rsid w:val="00CE4264"/>
    <w:rsid w:val="00CE43C1"/>
    <w:rsid w:val="00CE4420"/>
    <w:rsid w:val="00CE4593"/>
    <w:rsid w:val="00CE4777"/>
    <w:rsid w:val="00CE4975"/>
    <w:rsid w:val="00CE4DE9"/>
    <w:rsid w:val="00CE4EF7"/>
    <w:rsid w:val="00CE5570"/>
    <w:rsid w:val="00CE5779"/>
    <w:rsid w:val="00CE5901"/>
    <w:rsid w:val="00CE5B24"/>
    <w:rsid w:val="00CE60E7"/>
    <w:rsid w:val="00CE62D4"/>
    <w:rsid w:val="00CE6650"/>
    <w:rsid w:val="00CE6784"/>
    <w:rsid w:val="00CE687C"/>
    <w:rsid w:val="00CE69BE"/>
    <w:rsid w:val="00CE6D31"/>
    <w:rsid w:val="00CE6E3D"/>
    <w:rsid w:val="00CE7009"/>
    <w:rsid w:val="00CE7021"/>
    <w:rsid w:val="00CE7353"/>
    <w:rsid w:val="00CE73BF"/>
    <w:rsid w:val="00CE7419"/>
    <w:rsid w:val="00CE76F8"/>
    <w:rsid w:val="00CE7ABB"/>
    <w:rsid w:val="00CE7C9E"/>
    <w:rsid w:val="00CE7CD8"/>
    <w:rsid w:val="00CE7D17"/>
    <w:rsid w:val="00CE7E1B"/>
    <w:rsid w:val="00CF0046"/>
    <w:rsid w:val="00CF0282"/>
    <w:rsid w:val="00CF0381"/>
    <w:rsid w:val="00CF0682"/>
    <w:rsid w:val="00CF0693"/>
    <w:rsid w:val="00CF071A"/>
    <w:rsid w:val="00CF098E"/>
    <w:rsid w:val="00CF0AED"/>
    <w:rsid w:val="00CF0C49"/>
    <w:rsid w:val="00CF0F17"/>
    <w:rsid w:val="00CF0FCE"/>
    <w:rsid w:val="00CF11BB"/>
    <w:rsid w:val="00CF1302"/>
    <w:rsid w:val="00CF130A"/>
    <w:rsid w:val="00CF1330"/>
    <w:rsid w:val="00CF144D"/>
    <w:rsid w:val="00CF16D7"/>
    <w:rsid w:val="00CF1737"/>
    <w:rsid w:val="00CF195F"/>
    <w:rsid w:val="00CF1B24"/>
    <w:rsid w:val="00CF1C44"/>
    <w:rsid w:val="00CF1D13"/>
    <w:rsid w:val="00CF20F0"/>
    <w:rsid w:val="00CF259C"/>
    <w:rsid w:val="00CF25C8"/>
    <w:rsid w:val="00CF2B7B"/>
    <w:rsid w:val="00CF3265"/>
    <w:rsid w:val="00CF3424"/>
    <w:rsid w:val="00CF3481"/>
    <w:rsid w:val="00CF35E7"/>
    <w:rsid w:val="00CF369E"/>
    <w:rsid w:val="00CF372A"/>
    <w:rsid w:val="00CF3895"/>
    <w:rsid w:val="00CF3C73"/>
    <w:rsid w:val="00CF3CAA"/>
    <w:rsid w:val="00CF3D99"/>
    <w:rsid w:val="00CF3F30"/>
    <w:rsid w:val="00CF3F5C"/>
    <w:rsid w:val="00CF43AB"/>
    <w:rsid w:val="00CF4490"/>
    <w:rsid w:val="00CF4530"/>
    <w:rsid w:val="00CF4707"/>
    <w:rsid w:val="00CF471E"/>
    <w:rsid w:val="00CF4783"/>
    <w:rsid w:val="00CF487A"/>
    <w:rsid w:val="00CF48CA"/>
    <w:rsid w:val="00CF4A65"/>
    <w:rsid w:val="00CF4CC3"/>
    <w:rsid w:val="00CF4DCB"/>
    <w:rsid w:val="00CF4DF1"/>
    <w:rsid w:val="00CF52AB"/>
    <w:rsid w:val="00CF5573"/>
    <w:rsid w:val="00CF57F3"/>
    <w:rsid w:val="00CF59BD"/>
    <w:rsid w:val="00CF5CDB"/>
    <w:rsid w:val="00CF5F12"/>
    <w:rsid w:val="00CF6033"/>
    <w:rsid w:val="00CF61D9"/>
    <w:rsid w:val="00CF6821"/>
    <w:rsid w:val="00CF6DD4"/>
    <w:rsid w:val="00CF7117"/>
    <w:rsid w:val="00CF7190"/>
    <w:rsid w:val="00CF74B5"/>
    <w:rsid w:val="00CF770D"/>
    <w:rsid w:val="00CF7994"/>
    <w:rsid w:val="00CF7C60"/>
    <w:rsid w:val="00D00305"/>
    <w:rsid w:val="00D00500"/>
    <w:rsid w:val="00D005B6"/>
    <w:rsid w:val="00D00637"/>
    <w:rsid w:val="00D006BB"/>
    <w:rsid w:val="00D00748"/>
    <w:rsid w:val="00D00815"/>
    <w:rsid w:val="00D01299"/>
    <w:rsid w:val="00D01385"/>
    <w:rsid w:val="00D016F4"/>
    <w:rsid w:val="00D01748"/>
    <w:rsid w:val="00D019C6"/>
    <w:rsid w:val="00D01A6E"/>
    <w:rsid w:val="00D01DA5"/>
    <w:rsid w:val="00D02004"/>
    <w:rsid w:val="00D02144"/>
    <w:rsid w:val="00D02557"/>
    <w:rsid w:val="00D028D6"/>
    <w:rsid w:val="00D0295D"/>
    <w:rsid w:val="00D02964"/>
    <w:rsid w:val="00D030BD"/>
    <w:rsid w:val="00D0316B"/>
    <w:rsid w:val="00D03262"/>
    <w:rsid w:val="00D032DF"/>
    <w:rsid w:val="00D033E2"/>
    <w:rsid w:val="00D03473"/>
    <w:rsid w:val="00D03740"/>
    <w:rsid w:val="00D03B2C"/>
    <w:rsid w:val="00D040FB"/>
    <w:rsid w:val="00D04AF2"/>
    <w:rsid w:val="00D050E3"/>
    <w:rsid w:val="00D050EB"/>
    <w:rsid w:val="00D05252"/>
    <w:rsid w:val="00D05394"/>
    <w:rsid w:val="00D0563A"/>
    <w:rsid w:val="00D05762"/>
    <w:rsid w:val="00D05BB7"/>
    <w:rsid w:val="00D06061"/>
    <w:rsid w:val="00D06337"/>
    <w:rsid w:val="00D0676B"/>
    <w:rsid w:val="00D06795"/>
    <w:rsid w:val="00D06C88"/>
    <w:rsid w:val="00D0732C"/>
    <w:rsid w:val="00D073B7"/>
    <w:rsid w:val="00D079D7"/>
    <w:rsid w:val="00D07DC3"/>
    <w:rsid w:val="00D07DF4"/>
    <w:rsid w:val="00D07E98"/>
    <w:rsid w:val="00D07F39"/>
    <w:rsid w:val="00D07F72"/>
    <w:rsid w:val="00D105C7"/>
    <w:rsid w:val="00D1073B"/>
    <w:rsid w:val="00D10D91"/>
    <w:rsid w:val="00D11262"/>
    <w:rsid w:val="00D11396"/>
    <w:rsid w:val="00D114F2"/>
    <w:rsid w:val="00D11C0B"/>
    <w:rsid w:val="00D11EB0"/>
    <w:rsid w:val="00D11FEA"/>
    <w:rsid w:val="00D12468"/>
    <w:rsid w:val="00D125BD"/>
    <w:rsid w:val="00D1270A"/>
    <w:rsid w:val="00D12724"/>
    <w:rsid w:val="00D12852"/>
    <w:rsid w:val="00D12D22"/>
    <w:rsid w:val="00D12D38"/>
    <w:rsid w:val="00D12F5F"/>
    <w:rsid w:val="00D13984"/>
    <w:rsid w:val="00D139FF"/>
    <w:rsid w:val="00D13EA8"/>
    <w:rsid w:val="00D14098"/>
    <w:rsid w:val="00D14703"/>
    <w:rsid w:val="00D147B2"/>
    <w:rsid w:val="00D1484C"/>
    <w:rsid w:val="00D14E21"/>
    <w:rsid w:val="00D151BF"/>
    <w:rsid w:val="00D158B8"/>
    <w:rsid w:val="00D1591C"/>
    <w:rsid w:val="00D159EB"/>
    <w:rsid w:val="00D159FB"/>
    <w:rsid w:val="00D15BD0"/>
    <w:rsid w:val="00D15E63"/>
    <w:rsid w:val="00D1617C"/>
    <w:rsid w:val="00D1625C"/>
    <w:rsid w:val="00D16264"/>
    <w:rsid w:val="00D163C6"/>
    <w:rsid w:val="00D16A6B"/>
    <w:rsid w:val="00D16D72"/>
    <w:rsid w:val="00D17000"/>
    <w:rsid w:val="00D17127"/>
    <w:rsid w:val="00D1717C"/>
    <w:rsid w:val="00D17210"/>
    <w:rsid w:val="00D17398"/>
    <w:rsid w:val="00D174BC"/>
    <w:rsid w:val="00D174E1"/>
    <w:rsid w:val="00D17514"/>
    <w:rsid w:val="00D17936"/>
    <w:rsid w:val="00D17B09"/>
    <w:rsid w:val="00D17B39"/>
    <w:rsid w:val="00D17BE9"/>
    <w:rsid w:val="00D17FDE"/>
    <w:rsid w:val="00D20641"/>
    <w:rsid w:val="00D21046"/>
    <w:rsid w:val="00D21366"/>
    <w:rsid w:val="00D2168C"/>
    <w:rsid w:val="00D217D3"/>
    <w:rsid w:val="00D21E27"/>
    <w:rsid w:val="00D21E37"/>
    <w:rsid w:val="00D21E5B"/>
    <w:rsid w:val="00D21F31"/>
    <w:rsid w:val="00D21F88"/>
    <w:rsid w:val="00D22508"/>
    <w:rsid w:val="00D2254B"/>
    <w:rsid w:val="00D23036"/>
    <w:rsid w:val="00D23237"/>
    <w:rsid w:val="00D23335"/>
    <w:rsid w:val="00D233D3"/>
    <w:rsid w:val="00D23499"/>
    <w:rsid w:val="00D23527"/>
    <w:rsid w:val="00D23B2E"/>
    <w:rsid w:val="00D23E3B"/>
    <w:rsid w:val="00D23EAF"/>
    <w:rsid w:val="00D23FFE"/>
    <w:rsid w:val="00D24046"/>
    <w:rsid w:val="00D241A7"/>
    <w:rsid w:val="00D2458A"/>
    <w:rsid w:val="00D245D1"/>
    <w:rsid w:val="00D249E8"/>
    <w:rsid w:val="00D24B4C"/>
    <w:rsid w:val="00D250D9"/>
    <w:rsid w:val="00D2512E"/>
    <w:rsid w:val="00D25B1F"/>
    <w:rsid w:val="00D25C3A"/>
    <w:rsid w:val="00D25C6A"/>
    <w:rsid w:val="00D26203"/>
    <w:rsid w:val="00D264FB"/>
    <w:rsid w:val="00D2658E"/>
    <w:rsid w:val="00D265C1"/>
    <w:rsid w:val="00D26A2D"/>
    <w:rsid w:val="00D26CF6"/>
    <w:rsid w:val="00D26FF7"/>
    <w:rsid w:val="00D270E6"/>
    <w:rsid w:val="00D2711C"/>
    <w:rsid w:val="00D278A1"/>
    <w:rsid w:val="00D279FE"/>
    <w:rsid w:val="00D27C46"/>
    <w:rsid w:val="00D27D19"/>
    <w:rsid w:val="00D27D57"/>
    <w:rsid w:val="00D27E72"/>
    <w:rsid w:val="00D27F4F"/>
    <w:rsid w:val="00D30107"/>
    <w:rsid w:val="00D30733"/>
    <w:rsid w:val="00D30DA5"/>
    <w:rsid w:val="00D30F96"/>
    <w:rsid w:val="00D31131"/>
    <w:rsid w:val="00D313D0"/>
    <w:rsid w:val="00D31947"/>
    <w:rsid w:val="00D31A42"/>
    <w:rsid w:val="00D31C8E"/>
    <w:rsid w:val="00D31E07"/>
    <w:rsid w:val="00D31E3B"/>
    <w:rsid w:val="00D31FD8"/>
    <w:rsid w:val="00D323E1"/>
    <w:rsid w:val="00D324A6"/>
    <w:rsid w:val="00D325C0"/>
    <w:rsid w:val="00D32698"/>
    <w:rsid w:val="00D326F2"/>
    <w:rsid w:val="00D3277D"/>
    <w:rsid w:val="00D32B5F"/>
    <w:rsid w:val="00D33826"/>
    <w:rsid w:val="00D33827"/>
    <w:rsid w:val="00D33B93"/>
    <w:rsid w:val="00D33BFA"/>
    <w:rsid w:val="00D34219"/>
    <w:rsid w:val="00D3472A"/>
    <w:rsid w:val="00D34A49"/>
    <w:rsid w:val="00D34B72"/>
    <w:rsid w:val="00D34BBB"/>
    <w:rsid w:val="00D3503B"/>
    <w:rsid w:val="00D3537E"/>
    <w:rsid w:val="00D35415"/>
    <w:rsid w:val="00D35443"/>
    <w:rsid w:val="00D35500"/>
    <w:rsid w:val="00D35600"/>
    <w:rsid w:val="00D35C7D"/>
    <w:rsid w:val="00D35D41"/>
    <w:rsid w:val="00D35D7E"/>
    <w:rsid w:val="00D36214"/>
    <w:rsid w:val="00D36936"/>
    <w:rsid w:val="00D36BA8"/>
    <w:rsid w:val="00D3797F"/>
    <w:rsid w:val="00D37A66"/>
    <w:rsid w:val="00D37C02"/>
    <w:rsid w:val="00D37C2C"/>
    <w:rsid w:val="00D40024"/>
    <w:rsid w:val="00D409FA"/>
    <w:rsid w:val="00D40B3E"/>
    <w:rsid w:val="00D40D20"/>
    <w:rsid w:val="00D41127"/>
    <w:rsid w:val="00D41612"/>
    <w:rsid w:val="00D418B4"/>
    <w:rsid w:val="00D41BA0"/>
    <w:rsid w:val="00D41C72"/>
    <w:rsid w:val="00D41D10"/>
    <w:rsid w:val="00D422E9"/>
    <w:rsid w:val="00D423FF"/>
    <w:rsid w:val="00D42566"/>
    <w:rsid w:val="00D42601"/>
    <w:rsid w:val="00D42615"/>
    <w:rsid w:val="00D4261E"/>
    <w:rsid w:val="00D4282B"/>
    <w:rsid w:val="00D42A38"/>
    <w:rsid w:val="00D42FC7"/>
    <w:rsid w:val="00D4305C"/>
    <w:rsid w:val="00D43245"/>
    <w:rsid w:val="00D4360D"/>
    <w:rsid w:val="00D436FA"/>
    <w:rsid w:val="00D43A78"/>
    <w:rsid w:val="00D43CD9"/>
    <w:rsid w:val="00D43EC5"/>
    <w:rsid w:val="00D43ECE"/>
    <w:rsid w:val="00D4406A"/>
    <w:rsid w:val="00D4450B"/>
    <w:rsid w:val="00D45608"/>
    <w:rsid w:val="00D4567F"/>
    <w:rsid w:val="00D456F6"/>
    <w:rsid w:val="00D45708"/>
    <w:rsid w:val="00D46208"/>
    <w:rsid w:val="00D46AC2"/>
    <w:rsid w:val="00D47046"/>
    <w:rsid w:val="00D474B3"/>
    <w:rsid w:val="00D47533"/>
    <w:rsid w:val="00D47625"/>
    <w:rsid w:val="00D477D3"/>
    <w:rsid w:val="00D47907"/>
    <w:rsid w:val="00D47EE4"/>
    <w:rsid w:val="00D50010"/>
    <w:rsid w:val="00D50070"/>
    <w:rsid w:val="00D501C8"/>
    <w:rsid w:val="00D501DA"/>
    <w:rsid w:val="00D50213"/>
    <w:rsid w:val="00D50351"/>
    <w:rsid w:val="00D50481"/>
    <w:rsid w:val="00D5052D"/>
    <w:rsid w:val="00D507E2"/>
    <w:rsid w:val="00D50986"/>
    <w:rsid w:val="00D50990"/>
    <w:rsid w:val="00D50FCF"/>
    <w:rsid w:val="00D5117D"/>
    <w:rsid w:val="00D511F4"/>
    <w:rsid w:val="00D512DD"/>
    <w:rsid w:val="00D51303"/>
    <w:rsid w:val="00D515DE"/>
    <w:rsid w:val="00D51639"/>
    <w:rsid w:val="00D517EF"/>
    <w:rsid w:val="00D51B95"/>
    <w:rsid w:val="00D51E0F"/>
    <w:rsid w:val="00D51EA9"/>
    <w:rsid w:val="00D51FFB"/>
    <w:rsid w:val="00D52A3D"/>
    <w:rsid w:val="00D52B46"/>
    <w:rsid w:val="00D52D52"/>
    <w:rsid w:val="00D53168"/>
    <w:rsid w:val="00D534EE"/>
    <w:rsid w:val="00D535D5"/>
    <w:rsid w:val="00D5362C"/>
    <w:rsid w:val="00D53A2D"/>
    <w:rsid w:val="00D53C48"/>
    <w:rsid w:val="00D53E3F"/>
    <w:rsid w:val="00D5436A"/>
    <w:rsid w:val="00D543C7"/>
    <w:rsid w:val="00D54425"/>
    <w:rsid w:val="00D54719"/>
    <w:rsid w:val="00D54E2D"/>
    <w:rsid w:val="00D54FD2"/>
    <w:rsid w:val="00D5506D"/>
    <w:rsid w:val="00D55109"/>
    <w:rsid w:val="00D55723"/>
    <w:rsid w:val="00D55E3A"/>
    <w:rsid w:val="00D55E75"/>
    <w:rsid w:val="00D5605D"/>
    <w:rsid w:val="00D5672F"/>
    <w:rsid w:val="00D5688A"/>
    <w:rsid w:val="00D568F4"/>
    <w:rsid w:val="00D57122"/>
    <w:rsid w:val="00D572CD"/>
    <w:rsid w:val="00D57653"/>
    <w:rsid w:val="00D576C4"/>
    <w:rsid w:val="00D57794"/>
    <w:rsid w:val="00D57C99"/>
    <w:rsid w:val="00D57E3A"/>
    <w:rsid w:val="00D602DD"/>
    <w:rsid w:val="00D60336"/>
    <w:rsid w:val="00D607D6"/>
    <w:rsid w:val="00D60930"/>
    <w:rsid w:val="00D6135D"/>
    <w:rsid w:val="00D613C1"/>
    <w:rsid w:val="00D6157C"/>
    <w:rsid w:val="00D615C9"/>
    <w:rsid w:val="00D61A4D"/>
    <w:rsid w:val="00D61A84"/>
    <w:rsid w:val="00D61ADC"/>
    <w:rsid w:val="00D61E2D"/>
    <w:rsid w:val="00D621B0"/>
    <w:rsid w:val="00D621E5"/>
    <w:rsid w:val="00D622AC"/>
    <w:rsid w:val="00D6295B"/>
    <w:rsid w:val="00D62CC8"/>
    <w:rsid w:val="00D62D93"/>
    <w:rsid w:val="00D62E27"/>
    <w:rsid w:val="00D637DB"/>
    <w:rsid w:val="00D63A92"/>
    <w:rsid w:val="00D64079"/>
    <w:rsid w:val="00D640B6"/>
    <w:rsid w:val="00D64700"/>
    <w:rsid w:val="00D64B38"/>
    <w:rsid w:val="00D65669"/>
    <w:rsid w:val="00D6584F"/>
    <w:rsid w:val="00D6588B"/>
    <w:rsid w:val="00D659BF"/>
    <w:rsid w:val="00D65E19"/>
    <w:rsid w:val="00D65FCA"/>
    <w:rsid w:val="00D66022"/>
    <w:rsid w:val="00D667F8"/>
    <w:rsid w:val="00D66839"/>
    <w:rsid w:val="00D6694E"/>
    <w:rsid w:val="00D66E59"/>
    <w:rsid w:val="00D66E66"/>
    <w:rsid w:val="00D67524"/>
    <w:rsid w:val="00D67819"/>
    <w:rsid w:val="00D70658"/>
    <w:rsid w:val="00D70833"/>
    <w:rsid w:val="00D7084A"/>
    <w:rsid w:val="00D70C8D"/>
    <w:rsid w:val="00D71445"/>
    <w:rsid w:val="00D71CE3"/>
    <w:rsid w:val="00D71E46"/>
    <w:rsid w:val="00D72081"/>
    <w:rsid w:val="00D72519"/>
    <w:rsid w:val="00D72530"/>
    <w:rsid w:val="00D72A1B"/>
    <w:rsid w:val="00D72D3C"/>
    <w:rsid w:val="00D73567"/>
    <w:rsid w:val="00D736AF"/>
    <w:rsid w:val="00D73A40"/>
    <w:rsid w:val="00D73FD8"/>
    <w:rsid w:val="00D74329"/>
    <w:rsid w:val="00D7452F"/>
    <w:rsid w:val="00D74554"/>
    <w:rsid w:val="00D74673"/>
    <w:rsid w:val="00D74783"/>
    <w:rsid w:val="00D747B9"/>
    <w:rsid w:val="00D748CA"/>
    <w:rsid w:val="00D74A2B"/>
    <w:rsid w:val="00D74B3F"/>
    <w:rsid w:val="00D74CB4"/>
    <w:rsid w:val="00D74F9F"/>
    <w:rsid w:val="00D754A4"/>
    <w:rsid w:val="00D75792"/>
    <w:rsid w:val="00D75D62"/>
    <w:rsid w:val="00D75F07"/>
    <w:rsid w:val="00D764E8"/>
    <w:rsid w:val="00D76947"/>
    <w:rsid w:val="00D7721C"/>
    <w:rsid w:val="00D772E8"/>
    <w:rsid w:val="00D77472"/>
    <w:rsid w:val="00D77ABF"/>
    <w:rsid w:val="00D77C64"/>
    <w:rsid w:val="00D77F57"/>
    <w:rsid w:val="00D80255"/>
    <w:rsid w:val="00D803F0"/>
    <w:rsid w:val="00D805A7"/>
    <w:rsid w:val="00D8081C"/>
    <w:rsid w:val="00D80825"/>
    <w:rsid w:val="00D80897"/>
    <w:rsid w:val="00D808F4"/>
    <w:rsid w:val="00D80B27"/>
    <w:rsid w:val="00D80C7D"/>
    <w:rsid w:val="00D80D34"/>
    <w:rsid w:val="00D80F27"/>
    <w:rsid w:val="00D812A1"/>
    <w:rsid w:val="00D81563"/>
    <w:rsid w:val="00D81A64"/>
    <w:rsid w:val="00D81E8C"/>
    <w:rsid w:val="00D82239"/>
    <w:rsid w:val="00D8245F"/>
    <w:rsid w:val="00D8264C"/>
    <w:rsid w:val="00D82AAC"/>
    <w:rsid w:val="00D82D8A"/>
    <w:rsid w:val="00D82DDB"/>
    <w:rsid w:val="00D831CB"/>
    <w:rsid w:val="00D839DF"/>
    <w:rsid w:val="00D83BD5"/>
    <w:rsid w:val="00D83CAD"/>
    <w:rsid w:val="00D83F32"/>
    <w:rsid w:val="00D841A2"/>
    <w:rsid w:val="00D84448"/>
    <w:rsid w:val="00D84730"/>
    <w:rsid w:val="00D8490A"/>
    <w:rsid w:val="00D85029"/>
    <w:rsid w:val="00D85030"/>
    <w:rsid w:val="00D851C7"/>
    <w:rsid w:val="00D852FF"/>
    <w:rsid w:val="00D853EB"/>
    <w:rsid w:val="00D85733"/>
    <w:rsid w:val="00D8586A"/>
    <w:rsid w:val="00D859C0"/>
    <w:rsid w:val="00D85B84"/>
    <w:rsid w:val="00D85C08"/>
    <w:rsid w:val="00D85DC7"/>
    <w:rsid w:val="00D85E4F"/>
    <w:rsid w:val="00D862FD"/>
    <w:rsid w:val="00D86417"/>
    <w:rsid w:val="00D865E2"/>
    <w:rsid w:val="00D8675B"/>
    <w:rsid w:val="00D8680B"/>
    <w:rsid w:val="00D869D7"/>
    <w:rsid w:val="00D86C6C"/>
    <w:rsid w:val="00D8735C"/>
    <w:rsid w:val="00D87793"/>
    <w:rsid w:val="00D878A5"/>
    <w:rsid w:val="00D87D18"/>
    <w:rsid w:val="00D87F32"/>
    <w:rsid w:val="00D90119"/>
    <w:rsid w:val="00D90247"/>
    <w:rsid w:val="00D9028A"/>
    <w:rsid w:val="00D90358"/>
    <w:rsid w:val="00D906B5"/>
    <w:rsid w:val="00D90A54"/>
    <w:rsid w:val="00D90B10"/>
    <w:rsid w:val="00D90D1D"/>
    <w:rsid w:val="00D90EA6"/>
    <w:rsid w:val="00D90F8D"/>
    <w:rsid w:val="00D91245"/>
    <w:rsid w:val="00D91611"/>
    <w:rsid w:val="00D9188E"/>
    <w:rsid w:val="00D91948"/>
    <w:rsid w:val="00D91AA7"/>
    <w:rsid w:val="00D91DAF"/>
    <w:rsid w:val="00D9223E"/>
    <w:rsid w:val="00D92358"/>
    <w:rsid w:val="00D92520"/>
    <w:rsid w:val="00D9254B"/>
    <w:rsid w:val="00D927B5"/>
    <w:rsid w:val="00D92C88"/>
    <w:rsid w:val="00D92D17"/>
    <w:rsid w:val="00D930EE"/>
    <w:rsid w:val="00D93401"/>
    <w:rsid w:val="00D93584"/>
    <w:rsid w:val="00D93C5F"/>
    <w:rsid w:val="00D93CA0"/>
    <w:rsid w:val="00D93F25"/>
    <w:rsid w:val="00D944B4"/>
    <w:rsid w:val="00D94704"/>
    <w:rsid w:val="00D94B76"/>
    <w:rsid w:val="00D94D4D"/>
    <w:rsid w:val="00D94FCF"/>
    <w:rsid w:val="00D951E2"/>
    <w:rsid w:val="00D9531C"/>
    <w:rsid w:val="00D95A74"/>
    <w:rsid w:val="00D95B29"/>
    <w:rsid w:val="00D95D9F"/>
    <w:rsid w:val="00D95F06"/>
    <w:rsid w:val="00D961A7"/>
    <w:rsid w:val="00D962B8"/>
    <w:rsid w:val="00D96532"/>
    <w:rsid w:val="00D966D6"/>
    <w:rsid w:val="00D96A66"/>
    <w:rsid w:val="00D96CA2"/>
    <w:rsid w:val="00D96FA0"/>
    <w:rsid w:val="00D96FE0"/>
    <w:rsid w:val="00D974B9"/>
    <w:rsid w:val="00D97F64"/>
    <w:rsid w:val="00D97FE9"/>
    <w:rsid w:val="00DA0554"/>
    <w:rsid w:val="00DA07F8"/>
    <w:rsid w:val="00DA0C95"/>
    <w:rsid w:val="00DA0F36"/>
    <w:rsid w:val="00DA0FCB"/>
    <w:rsid w:val="00DA1364"/>
    <w:rsid w:val="00DA13B5"/>
    <w:rsid w:val="00DA168E"/>
    <w:rsid w:val="00DA1871"/>
    <w:rsid w:val="00DA1903"/>
    <w:rsid w:val="00DA19E9"/>
    <w:rsid w:val="00DA1C5A"/>
    <w:rsid w:val="00DA1F6A"/>
    <w:rsid w:val="00DA284F"/>
    <w:rsid w:val="00DA2AA5"/>
    <w:rsid w:val="00DA2C11"/>
    <w:rsid w:val="00DA2DBF"/>
    <w:rsid w:val="00DA2EC5"/>
    <w:rsid w:val="00DA31A6"/>
    <w:rsid w:val="00DA31C2"/>
    <w:rsid w:val="00DA33B1"/>
    <w:rsid w:val="00DA340D"/>
    <w:rsid w:val="00DA356C"/>
    <w:rsid w:val="00DA3700"/>
    <w:rsid w:val="00DA378B"/>
    <w:rsid w:val="00DA380D"/>
    <w:rsid w:val="00DA38AE"/>
    <w:rsid w:val="00DA4045"/>
    <w:rsid w:val="00DA4487"/>
    <w:rsid w:val="00DA4A62"/>
    <w:rsid w:val="00DA4C7A"/>
    <w:rsid w:val="00DA4F8B"/>
    <w:rsid w:val="00DA55AB"/>
    <w:rsid w:val="00DA5888"/>
    <w:rsid w:val="00DA58EE"/>
    <w:rsid w:val="00DA5DDE"/>
    <w:rsid w:val="00DA5F97"/>
    <w:rsid w:val="00DA606A"/>
    <w:rsid w:val="00DA616F"/>
    <w:rsid w:val="00DA61A5"/>
    <w:rsid w:val="00DA6506"/>
    <w:rsid w:val="00DA6DCB"/>
    <w:rsid w:val="00DA6E0D"/>
    <w:rsid w:val="00DA6E35"/>
    <w:rsid w:val="00DA6E99"/>
    <w:rsid w:val="00DA6ECA"/>
    <w:rsid w:val="00DA7C65"/>
    <w:rsid w:val="00DA7D41"/>
    <w:rsid w:val="00DA7F66"/>
    <w:rsid w:val="00DB0204"/>
    <w:rsid w:val="00DB055E"/>
    <w:rsid w:val="00DB083B"/>
    <w:rsid w:val="00DB084F"/>
    <w:rsid w:val="00DB09CA"/>
    <w:rsid w:val="00DB0A4A"/>
    <w:rsid w:val="00DB0C8C"/>
    <w:rsid w:val="00DB0CCF"/>
    <w:rsid w:val="00DB11E8"/>
    <w:rsid w:val="00DB152B"/>
    <w:rsid w:val="00DB17B7"/>
    <w:rsid w:val="00DB1BC3"/>
    <w:rsid w:val="00DB2090"/>
    <w:rsid w:val="00DB218F"/>
    <w:rsid w:val="00DB23E2"/>
    <w:rsid w:val="00DB2434"/>
    <w:rsid w:val="00DB2511"/>
    <w:rsid w:val="00DB2603"/>
    <w:rsid w:val="00DB2D57"/>
    <w:rsid w:val="00DB2F69"/>
    <w:rsid w:val="00DB2F92"/>
    <w:rsid w:val="00DB3119"/>
    <w:rsid w:val="00DB3A6F"/>
    <w:rsid w:val="00DB47A6"/>
    <w:rsid w:val="00DB4CAD"/>
    <w:rsid w:val="00DB4E37"/>
    <w:rsid w:val="00DB4F19"/>
    <w:rsid w:val="00DB54ED"/>
    <w:rsid w:val="00DB57FC"/>
    <w:rsid w:val="00DB5B22"/>
    <w:rsid w:val="00DB6079"/>
    <w:rsid w:val="00DB6547"/>
    <w:rsid w:val="00DB69BD"/>
    <w:rsid w:val="00DB6B14"/>
    <w:rsid w:val="00DB6D53"/>
    <w:rsid w:val="00DB6D5F"/>
    <w:rsid w:val="00DB6DCB"/>
    <w:rsid w:val="00DB6F1C"/>
    <w:rsid w:val="00DB721F"/>
    <w:rsid w:val="00DB723A"/>
    <w:rsid w:val="00DB7312"/>
    <w:rsid w:val="00DB73A6"/>
    <w:rsid w:val="00DB7852"/>
    <w:rsid w:val="00DB7EAD"/>
    <w:rsid w:val="00DC0074"/>
    <w:rsid w:val="00DC013D"/>
    <w:rsid w:val="00DC036E"/>
    <w:rsid w:val="00DC06F4"/>
    <w:rsid w:val="00DC0902"/>
    <w:rsid w:val="00DC090B"/>
    <w:rsid w:val="00DC1794"/>
    <w:rsid w:val="00DC196B"/>
    <w:rsid w:val="00DC1972"/>
    <w:rsid w:val="00DC1CFA"/>
    <w:rsid w:val="00DC1D57"/>
    <w:rsid w:val="00DC2115"/>
    <w:rsid w:val="00DC2540"/>
    <w:rsid w:val="00DC259B"/>
    <w:rsid w:val="00DC2845"/>
    <w:rsid w:val="00DC2846"/>
    <w:rsid w:val="00DC2913"/>
    <w:rsid w:val="00DC2B5D"/>
    <w:rsid w:val="00DC2BB8"/>
    <w:rsid w:val="00DC30F8"/>
    <w:rsid w:val="00DC31D1"/>
    <w:rsid w:val="00DC334A"/>
    <w:rsid w:val="00DC35E7"/>
    <w:rsid w:val="00DC3650"/>
    <w:rsid w:val="00DC3776"/>
    <w:rsid w:val="00DC377F"/>
    <w:rsid w:val="00DC394A"/>
    <w:rsid w:val="00DC3DBC"/>
    <w:rsid w:val="00DC3E65"/>
    <w:rsid w:val="00DC3FCA"/>
    <w:rsid w:val="00DC40C1"/>
    <w:rsid w:val="00DC41FE"/>
    <w:rsid w:val="00DC42A6"/>
    <w:rsid w:val="00DC4562"/>
    <w:rsid w:val="00DC4AC6"/>
    <w:rsid w:val="00DC4C4E"/>
    <w:rsid w:val="00DC5204"/>
    <w:rsid w:val="00DC5851"/>
    <w:rsid w:val="00DC5C8B"/>
    <w:rsid w:val="00DC5D8C"/>
    <w:rsid w:val="00DC5E27"/>
    <w:rsid w:val="00DC6008"/>
    <w:rsid w:val="00DC64FA"/>
    <w:rsid w:val="00DC6E0F"/>
    <w:rsid w:val="00DC7173"/>
    <w:rsid w:val="00DC7199"/>
    <w:rsid w:val="00DC7299"/>
    <w:rsid w:val="00DC7544"/>
    <w:rsid w:val="00DC776F"/>
    <w:rsid w:val="00DC7B0F"/>
    <w:rsid w:val="00DC7FA3"/>
    <w:rsid w:val="00DD0024"/>
    <w:rsid w:val="00DD04AC"/>
    <w:rsid w:val="00DD04BF"/>
    <w:rsid w:val="00DD050B"/>
    <w:rsid w:val="00DD08AD"/>
    <w:rsid w:val="00DD0AAB"/>
    <w:rsid w:val="00DD0AD1"/>
    <w:rsid w:val="00DD0AE4"/>
    <w:rsid w:val="00DD0C62"/>
    <w:rsid w:val="00DD12C8"/>
    <w:rsid w:val="00DD139B"/>
    <w:rsid w:val="00DD14E5"/>
    <w:rsid w:val="00DD17FE"/>
    <w:rsid w:val="00DD1A34"/>
    <w:rsid w:val="00DD1AB1"/>
    <w:rsid w:val="00DD1B4F"/>
    <w:rsid w:val="00DD1B9E"/>
    <w:rsid w:val="00DD1FAF"/>
    <w:rsid w:val="00DD20D4"/>
    <w:rsid w:val="00DD2551"/>
    <w:rsid w:val="00DD25E5"/>
    <w:rsid w:val="00DD299B"/>
    <w:rsid w:val="00DD29FE"/>
    <w:rsid w:val="00DD2BC4"/>
    <w:rsid w:val="00DD2C73"/>
    <w:rsid w:val="00DD2DCA"/>
    <w:rsid w:val="00DD2DF2"/>
    <w:rsid w:val="00DD3169"/>
    <w:rsid w:val="00DD33FC"/>
    <w:rsid w:val="00DD34EB"/>
    <w:rsid w:val="00DD3721"/>
    <w:rsid w:val="00DD384C"/>
    <w:rsid w:val="00DD3997"/>
    <w:rsid w:val="00DD3B65"/>
    <w:rsid w:val="00DD3C86"/>
    <w:rsid w:val="00DD4068"/>
    <w:rsid w:val="00DD4089"/>
    <w:rsid w:val="00DD41DD"/>
    <w:rsid w:val="00DD4314"/>
    <w:rsid w:val="00DD48DE"/>
    <w:rsid w:val="00DD49D5"/>
    <w:rsid w:val="00DD4A1B"/>
    <w:rsid w:val="00DD5554"/>
    <w:rsid w:val="00DD558B"/>
    <w:rsid w:val="00DD57D5"/>
    <w:rsid w:val="00DD5B18"/>
    <w:rsid w:val="00DD5D95"/>
    <w:rsid w:val="00DD5E00"/>
    <w:rsid w:val="00DD5F92"/>
    <w:rsid w:val="00DD65B5"/>
    <w:rsid w:val="00DD6B13"/>
    <w:rsid w:val="00DD6C6D"/>
    <w:rsid w:val="00DD6D9A"/>
    <w:rsid w:val="00DD71E5"/>
    <w:rsid w:val="00DD7336"/>
    <w:rsid w:val="00DD793C"/>
    <w:rsid w:val="00DE0381"/>
    <w:rsid w:val="00DE074F"/>
    <w:rsid w:val="00DE0C85"/>
    <w:rsid w:val="00DE1023"/>
    <w:rsid w:val="00DE13F2"/>
    <w:rsid w:val="00DE1B70"/>
    <w:rsid w:val="00DE1D11"/>
    <w:rsid w:val="00DE1DD7"/>
    <w:rsid w:val="00DE1DFD"/>
    <w:rsid w:val="00DE1F34"/>
    <w:rsid w:val="00DE1F45"/>
    <w:rsid w:val="00DE214B"/>
    <w:rsid w:val="00DE22BF"/>
    <w:rsid w:val="00DE2501"/>
    <w:rsid w:val="00DE253C"/>
    <w:rsid w:val="00DE2901"/>
    <w:rsid w:val="00DE2BF9"/>
    <w:rsid w:val="00DE2CB9"/>
    <w:rsid w:val="00DE2F37"/>
    <w:rsid w:val="00DE3248"/>
    <w:rsid w:val="00DE32B5"/>
    <w:rsid w:val="00DE349A"/>
    <w:rsid w:val="00DE360F"/>
    <w:rsid w:val="00DE3B05"/>
    <w:rsid w:val="00DE3E84"/>
    <w:rsid w:val="00DE4039"/>
    <w:rsid w:val="00DE40C4"/>
    <w:rsid w:val="00DE4189"/>
    <w:rsid w:val="00DE432A"/>
    <w:rsid w:val="00DE4B4F"/>
    <w:rsid w:val="00DE4D16"/>
    <w:rsid w:val="00DE5064"/>
    <w:rsid w:val="00DE532A"/>
    <w:rsid w:val="00DE5697"/>
    <w:rsid w:val="00DE5F63"/>
    <w:rsid w:val="00DE64B8"/>
    <w:rsid w:val="00DE6635"/>
    <w:rsid w:val="00DE6705"/>
    <w:rsid w:val="00DE6BC9"/>
    <w:rsid w:val="00DE6DD6"/>
    <w:rsid w:val="00DE6DEB"/>
    <w:rsid w:val="00DE7616"/>
    <w:rsid w:val="00DE7A10"/>
    <w:rsid w:val="00DE7EA0"/>
    <w:rsid w:val="00DF0202"/>
    <w:rsid w:val="00DF02EC"/>
    <w:rsid w:val="00DF06CC"/>
    <w:rsid w:val="00DF0918"/>
    <w:rsid w:val="00DF09DB"/>
    <w:rsid w:val="00DF0A88"/>
    <w:rsid w:val="00DF0B00"/>
    <w:rsid w:val="00DF11CB"/>
    <w:rsid w:val="00DF1332"/>
    <w:rsid w:val="00DF149F"/>
    <w:rsid w:val="00DF1780"/>
    <w:rsid w:val="00DF17E8"/>
    <w:rsid w:val="00DF18B3"/>
    <w:rsid w:val="00DF1963"/>
    <w:rsid w:val="00DF1B2B"/>
    <w:rsid w:val="00DF1BA0"/>
    <w:rsid w:val="00DF1D94"/>
    <w:rsid w:val="00DF1EDE"/>
    <w:rsid w:val="00DF1F63"/>
    <w:rsid w:val="00DF1FA5"/>
    <w:rsid w:val="00DF1FAF"/>
    <w:rsid w:val="00DF244A"/>
    <w:rsid w:val="00DF24CF"/>
    <w:rsid w:val="00DF277A"/>
    <w:rsid w:val="00DF2BC0"/>
    <w:rsid w:val="00DF2D3A"/>
    <w:rsid w:val="00DF30AB"/>
    <w:rsid w:val="00DF3101"/>
    <w:rsid w:val="00DF311C"/>
    <w:rsid w:val="00DF34E8"/>
    <w:rsid w:val="00DF3658"/>
    <w:rsid w:val="00DF38A3"/>
    <w:rsid w:val="00DF397E"/>
    <w:rsid w:val="00DF3A16"/>
    <w:rsid w:val="00DF3BED"/>
    <w:rsid w:val="00DF3DE8"/>
    <w:rsid w:val="00DF3EE2"/>
    <w:rsid w:val="00DF3FBB"/>
    <w:rsid w:val="00DF434B"/>
    <w:rsid w:val="00DF4FCF"/>
    <w:rsid w:val="00DF53C2"/>
    <w:rsid w:val="00DF5401"/>
    <w:rsid w:val="00DF5606"/>
    <w:rsid w:val="00DF56A6"/>
    <w:rsid w:val="00DF5711"/>
    <w:rsid w:val="00DF5794"/>
    <w:rsid w:val="00DF5E43"/>
    <w:rsid w:val="00DF5E8C"/>
    <w:rsid w:val="00DF5F33"/>
    <w:rsid w:val="00DF68B1"/>
    <w:rsid w:val="00DF6C1A"/>
    <w:rsid w:val="00DF6E06"/>
    <w:rsid w:val="00DF6EB9"/>
    <w:rsid w:val="00DF70B3"/>
    <w:rsid w:val="00DF7261"/>
    <w:rsid w:val="00DF78A4"/>
    <w:rsid w:val="00DF7A20"/>
    <w:rsid w:val="00DF7AA9"/>
    <w:rsid w:val="00DF7B3A"/>
    <w:rsid w:val="00DF7E08"/>
    <w:rsid w:val="00E001E6"/>
    <w:rsid w:val="00E00254"/>
    <w:rsid w:val="00E00399"/>
    <w:rsid w:val="00E0063B"/>
    <w:rsid w:val="00E0065B"/>
    <w:rsid w:val="00E0077F"/>
    <w:rsid w:val="00E008CE"/>
    <w:rsid w:val="00E00936"/>
    <w:rsid w:val="00E00A0E"/>
    <w:rsid w:val="00E00BAD"/>
    <w:rsid w:val="00E01438"/>
    <w:rsid w:val="00E01C78"/>
    <w:rsid w:val="00E01C9D"/>
    <w:rsid w:val="00E01E2C"/>
    <w:rsid w:val="00E02324"/>
    <w:rsid w:val="00E0276F"/>
    <w:rsid w:val="00E029B0"/>
    <w:rsid w:val="00E02AC2"/>
    <w:rsid w:val="00E03551"/>
    <w:rsid w:val="00E03C1B"/>
    <w:rsid w:val="00E03CA8"/>
    <w:rsid w:val="00E03F99"/>
    <w:rsid w:val="00E043A4"/>
    <w:rsid w:val="00E044E2"/>
    <w:rsid w:val="00E046E5"/>
    <w:rsid w:val="00E04CC4"/>
    <w:rsid w:val="00E04D69"/>
    <w:rsid w:val="00E04EE7"/>
    <w:rsid w:val="00E051B8"/>
    <w:rsid w:val="00E05244"/>
    <w:rsid w:val="00E055F8"/>
    <w:rsid w:val="00E05822"/>
    <w:rsid w:val="00E05B35"/>
    <w:rsid w:val="00E05ED3"/>
    <w:rsid w:val="00E05FE3"/>
    <w:rsid w:val="00E06178"/>
    <w:rsid w:val="00E065A6"/>
    <w:rsid w:val="00E068DB"/>
    <w:rsid w:val="00E06963"/>
    <w:rsid w:val="00E06A0D"/>
    <w:rsid w:val="00E06CDC"/>
    <w:rsid w:val="00E06D69"/>
    <w:rsid w:val="00E06EBB"/>
    <w:rsid w:val="00E06F23"/>
    <w:rsid w:val="00E0782D"/>
    <w:rsid w:val="00E07AE9"/>
    <w:rsid w:val="00E07B36"/>
    <w:rsid w:val="00E07B5B"/>
    <w:rsid w:val="00E07C18"/>
    <w:rsid w:val="00E07C61"/>
    <w:rsid w:val="00E07D1F"/>
    <w:rsid w:val="00E105E1"/>
    <w:rsid w:val="00E108F1"/>
    <w:rsid w:val="00E10A3F"/>
    <w:rsid w:val="00E10A8A"/>
    <w:rsid w:val="00E10C18"/>
    <w:rsid w:val="00E10C2F"/>
    <w:rsid w:val="00E11344"/>
    <w:rsid w:val="00E114AE"/>
    <w:rsid w:val="00E11746"/>
    <w:rsid w:val="00E11D1F"/>
    <w:rsid w:val="00E11E4A"/>
    <w:rsid w:val="00E11ED5"/>
    <w:rsid w:val="00E12005"/>
    <w:rsid w:val="00E1227F"/>
    <w:rsid w:val="00E12798"/>
    <w:rsid w:val="00E12901"/>
    <w:rsid w:val="00E12FBD"/>
    <w:rsid w:val="00E1304B"/>
    <w:rsid w:val="00E13187"/>
    <w:rsid w:val="00E13289"/>
    <w:rsid w:val="00E134BD"/>
    <w:rsid w:val="00E13583"/>
    <w:rsid w:val="00E1368B"/>
    <w:rsid w:val="00E137EA"/>
    <w:rsid w:val="00E13B60"/>
    <w:rsid w:val="00E1401A"/>
    <w:rsid w:val="00E14290"/>
    <w:rsid w:val="00E15274"/>
    <w:rsid w:val="00E153D8"/>
    <w:rsid w:val="00E15457"/>
    <w:rsid w:val="00E15590"/>
    <w:rsid w:val="00E158BD"/>
    <w:rsid w:val="00E158DD"/>
    <w:rsid w:val="00E15B15"/>
    <w:rsid w:val="00E15EC6"/>
    <w:rsid w:val="00E15FE4"/>
    <w:rsid w:val="00E1603B"/>
    <w:rsid w:val="00E16139"/>
    <w:rsid w:val="00E1658B"/>
    <w:rsid w:val="00E16D2B"/>
    <w:rsid w:val="00E173ED"/>
    <w:rsid w:val="00E17541"/>
    <w:rsid w:val="00E17549"/>
    <w:rsid w:val="00E1797F"/>
    <w:rsid w:val="00E17F71"/>
    <w:rsid w:val="00E20279"/>
    <w:rsid w:val="00E202DF"/>
    <w:rsid w:val="00E20344"/>
    <w:rsid w:val="00E2036B"/>
    <w:rsid w:val="00E203C4"/>
    <w:rsid w:val="00E204A5"/>
    <w:rsid w:val="00E20550"/>
    <w:rsid w:val="00E20966"/>
    <w:rsid w:val="00E2105C"/>
    <w:rsid w:val="00E21096"/>
    <w:rsid w:val="00E2119B"/>
    <w:rsid w:val="00E211BA"/>
    <w:rsid w:val="00E215B5"/>
    <w:rsid w:val="00E2175C"/>
    <w:rsid w:val="00E21772"/>
    <w:rsid w:val="00E218DE"/>
    <w:rsid w:val="00E21CD0"/>
    <w:rsid w:val="00E21E0B"/>
    <w:rsid w:val="00E21EE9"/>
    <w:rsid w:val="00E221F9"/>
    <w:rsid w:val="00E222D8"/>
    <w:rsid w:val="00E2230F"/>
    <w:rsid w:val="00E2254C"/>
    <w:rsid w:val="00E2255F"/>
    <w:rsid w:val="00E226A6"/>
    <w:rsid w:val="00E226BB"/>
    <w:rsid w:val="00E22859"/>
    <w:rsid w:val="00E2286B"/>
    <w:rsid w:val="00E22A01"/>
    <w:rsid w:val="00E22CBD"/>
    <w:rsid w:val="00E22DCC"/>
    <w:rsid w:val="00E22EF1"/>
    <w:rsid w:val="00E230DA"/>
    <w:rsid w:val="00E23147"/>
    <w:rsid w:val="00E23613"/>
    <w:rsid w:val="00E2381C"/>
    <w:rsid w:val="00E23C31"/>
    <w:rsid w:val="00E24070"/>
    <w:rsid w:val="00E2453B"/>
    <w:rsid w:val="00E2471D"/>
    <w:rsid w:val="00E24778"/>
    <w:rsid w:val="00E24825"/>
    <w:rsid w:val="00E24886"/>
    <w:rsid w:val="00E24C20"/>
    <w:rsid w:val="00E24F87"/>
    <w:rsid w:val="00E2516E"/>
    <w:rsid w:val="00E25490"/>
    <w:rsid w:val="00E254C2"/>
    <w:rsid w:val="00E25A58"/>
    <w:rsid w:val="00E25B52"/>
    <w:rsid w:val="00E26249"/>
    <w:rsid w:val="00E26365"/>
    <w:rsid w:val="00E264FE"/>
    <w:rsid w:val="00E26586"/>
    <w:rsid w:val="00E26685"/>
    <w:rsid w:val="00E269A9"/>
    <w:rsid w:val="00E26BB6"/>
    <w:rsid w:val="00E26F17"/>
    <w:rsid w:val="00E26F51"/>
    <w:rsid w:val="00E2724E"/>
    <w:rsid w:val="00E275E1"/>
    <w:rsid w:val="00E276B7"/>
    <w:rsid w:val="00E2775A"/>
    <w:rsid w:val="00E277AB"/>
    <w:rsid w:val="00E279BE"/>
    <w:rsid w:val="00E27F30"/>
    <w:rsid w:val="00E3084C"/>
    <w:rsid w:val="00E309F6"/>
    <w:rsid w:val="00E30C47"/>
    <w:rsid w:val="00E30D25"/>
    <w:rsid w:val="00E30E2A"/>
    <w:rsid w:val="00E312CA"/>
    <w:rsid w:val="00E3167A"/>
    <w:rsid w:val="00E31A51"/>
    <w:rsid w:val="00E31D6B"/>
    <w:rsid w:val="00E31E13"/>
    <w:rsid w:val="00E320B5"/>
    <w:rsid w:val="00E32955"/>
    <w:rsid w:val="00E32BE6"/>
    <w:rsid w:val="00E32C4B"/>
    <w:rsid w:val="00E3322A"/>
    <w:rsid w:val="00E33370"/>
    <w:rsid w:val="00E3366C"/>
    <w:rsid w:val="00E33801"/>
    <w:rsid w:val="00E3399C"/>
    <w:rsid w:val="00E33ADD"/>
    <w:rsid w:val="00E33AFE"/>
    <w:rsid w:val="00E33F0E"/>
    <w:rsid w:val="00E34023"/>
    <w:rsid w:val="00E340F4"/>
    <w:rsid w:val="00E34231"/>
    <w:rsid w:val="00E34F60"/>
    <w:rsid w:val="00E34F7B"/>
    <w:rsid w:val="00E35934"/>
    <w:rsid w:val="00E35948"/>
    <w:rsid w:val="00E35958"/>
    <w:rsid w:val="00E35ABB"/>
    <w:rsid w:val="00E35B8C"/>
    <w:rsid w:val="00E35DED"/>
    <w:rsid w:val="00E36162"/>
    <w:rsid w:val="00E366EC"/>
    <w:rsid w:val="00E36D17"/>
    <w:rsid w:val="00E36E72"/>
    <w:rsid w:val="00E36EEA"/>
    <w:rsid w:val="00E36FCA"/>
    <w:rsid w:val="00E3765A"/>
    <w:rsid w:val="00E3769B"/>
    <w:rsid w:val="00E376A7"/>
    <w:rsid w:val="00E3775A"/>
    <w:rsid w:val="00E37949"/>
    <w:rsid w:val="00E37E35"/>
    <w:rsid w:val="00E37FF7"/>
    <w:rsid w:val="00E40855"/>
    <w:rsid w:val="00E40916"/>
    <w:rsid w:val="00E40E03"/>
    <w:rsid w:val="00E40FCD"/>
    <w:rsid w:val="00E410A4"/>
    <w:rsid w:val="00E41132"/>
    <w:rsid w:val="00E412A9"/>
    <w:rsid w:val="00E41592"/>
    <w:rsid w:val="00E41824"/>
    <w:rsid w:val="00E41867"/>
    <w:rsid w:val="00E4186F"/>
    <w:rsid w:val="00E41A09"/>
    <w:rsid w:val="00E41B98"/>
    <w:rsid w:val="00E41BA4"/>
    <w:rsid w:val="00E42200"/>
    <w:rsid w:val="00E422A7"/>
    <w:rsid w:val="00E424C6"/>
    <w:rsid w:val="00E4251B"/>
    <w:rsid w:val="00E4275F"/>
    <w:rsid w:val="00E42859"/>
    <w:rsid w:val="00E428A7"/>
    <w:rsid w:val="00E42F1B"/>
    <w:rsid w:val="00E42F57"/>
    <w:rsid w:val="00E4370D"/>
    <w:rsid w:val="00E43B30"/>
    <w:rsid w:val="00E43C1B"/>
    <w:rsid w:val="00E43CAB"/>
    <w:rsid w:val="00E43CB3"/>
    <w:rsid w:val="00E43D8F"/>
    <w:rsid w:val="00E44029"/>
    <w:rsid w:val="00E44135"/>
    <w:rsid w:val="00E44425"/>
    <w:rsid w:val="00E4446C"/>
    <w:rsid w:val="00E4465A"/>
    <w:rsid w:val="00E44772"/>
    <w:rsid w:val="00E44D5D"/>
    <w:rsid w:val="00E44F50"/>
    <w:rsid w:val="00E45050"/>
    <w:rsid w:val="00E452D4"/>
    <w:rsid w:val="00E4547D"/>
    <w:rsid w:val="00E4548E"/>
    <w:rsid w:val="00E45B54"/>
    <w:rsid w:val="00E4614C"/>
    <w:rsid w:val="00E46585"/>
    <w:rsid w:val="00E465E7"/>
    <w:rsid w:val="00E46723"/>
    <w:rsid w:val="00E46868"/>
    <w:rsid w:val="00E46D6C"/>
    <w:rsid w:val="00E47362"/>
    <w:rsid w:val="00E474F7"/>
    <w:rsid w:val="00E475FE"/>
    <w:rsid w:val="00E4765A"/>
    <w:rsid w:val="00E476D5"/>
    <w:rsid w:val="00E4778E"/>
    <w:rsid w:val="00E478EE"/>
    <w:rsid w:val="00E47CC0"/>
    <w:rsid w:val="00E50042"/>
    <w:rsid w:val="00E50181"/>
    <w:rsid w:val="00E5038F"/>
    <w:rsid w:val="00E505A1"/>
    <w:rsid w:val="00E5127B"/>
    <w:rsid w:val="00E5150F"/>
    <w:rsid w:val="00E5158F"/>
    <w:rsid w:val="00E519C6"/>
    <w:rsid w:val="00E51A0B"/>
    <w:rsid w:val="00E5232B"/>
    <w:rsid w:val="00E527B1"/>
    <w:rsid w:val="00E529B2"/>
    <w:rsid w:val="00E52C74"/>
    <w:rsid w:val="00E52D6E"/>
    <w:rsid w:val="00E52F21"/>
    <w:rsid w:val="00E52F76"/>
    <w:rsid w:val="00E535EA"/>
    <w:rsid w:val="00E53761"/>
    <w:rsid w:val="00E538C0"/>
    <w:rsid w:val="00E53955"/>
    <w:rsid w:val="00E53A81"/>
    <w:rsid w:val="00E53BB7"/>
    <w:rsid w:val="00E53C11"/>
    <w:rsid w:val="00E53FAB"/>
    <w:rsid w:val="00E5409D"/>
    <w:rsid w:val="00E540BC"/>
    <w:rsid w:val="00E546DC"/>
    <w:rsid w:val="00E54710"/>
    <w:rsid w:val="00E54796"/>
    <w:rsid w:val="00E547CB"/>
    <w:rsid w:val="00E54833"/>
    <w:rsid w:val="00E548D8"/>
    <w:rsid w:val="00E550B1"/>
    <w:rsid w:val="00E5518C"/>
    <w:rsid w:val="00E55415"/>
    <w:rsid w:val="00E55561"/>
    <w:rsid w:val="00E5560A"/>
    <w:rsid w:val="00E55AA5"/>
    <w:rsid w:val="00E55BDB"/>
    <w:rsid w:val="00E55F28"/>
    <w:rsid w:val="00E5625A"/>
    <w:rsid w:val="00E56510"/>
    <w:rsid w:val="00E56924"/>
    <w:rsid w:val="00E56F03"/>
    <w:rsid w:val="00E56F29"/>
    <w:rsid w:val="00E575D9"/>
    <w:rsid w:val="00E57A33"/>
    <w:rsid w:val="00E57B79"/>
    <w:rsid w:val="00E57C20"/>
    <w:rsid w:val="00E57F18"/>
    <w:rsid w:val="00E57F27"/>
    <w:rsid w:val="00E60045"/>
    <w:rsid w:val="00E6059F"/>
    <w:rsid w:val="00E6094A"/>
    <w:rsid w:val="00E60A00"/>
    <w:rsid w:val="00E61078"/>
    <w:rsid w:val="00E61185"/>
    <w:rsid w:val="00E61247"/>
    <w:rsid w:val="00E61286"/>
    <w:rsid w:val="00E6128E"/>
    <w:rsid w:val="00E613DB"/>
    <w:rsid w:val="00E614EA"/>
    <w:rsid w:val="00E61AA3"/>
    <w:rsid w:val="00E61CB7"/>
    <w:rsid w:val="00E61F51"/>
    <w:rsid w:val="00E62052"/>
    <w:rsid w:val="00E62458"/>
    <w:rsid w:val="00E62765"/>
    <w:rsid w:val="00E62F36"/>
    <w:rsid w:val="00E630C8"/>
    <w:rsid w:val="00E635A8"/>
    <w:rsid w:val="00E637E0"/>
    <w:rsid w:val="00E63879"/>
    <w:rsid w:val="00E639A0"/>
    <w:rsid w:val="00E63BFC"/>
    <w:rsid w:val="00E63E01"/>
    <w:rsid w:val="00E643C2"/>
    <w:rsid w:val="00E64D4F"/>
    <w:rsid w:val="00E64E0E"/>
    <w:rsid w:val="00E64F3E"/>
    <w:rsid w:val="00E64F69"/>
    <w:rsid w:val="00E6539F"/>
    <w:rsid w:val="00E65436"/>
    <w:rsid w:val="00E65676"/>
    <w:rsid w:val="00E656AC"/>
    <w:rsid w:val="00E6582E"/>
    <w:rsid w:val="00E65ED5"/>
    <w:rsid w:val="00E65F97"/>
    <w:rsid w:val="00E6625C"/>
    <w:rsid w:val="00E6642C"/>
    <w:rsid w:val="00E66552"/>
    <w:rsid w:val="00E6661D"/>
    <w:rsid w:val="00E666F8"/>
    <w:rsid w:val="00E66755"/>
    <w:rsid w:val="00E667CA"/>
    <w:rsid w:val="00E66EBB"/>
    <w:rsid w:val="00E66F1E"/>
    <w:rsid w:val="00E67722"/>
    <w:rsid w:val="00E67BFB"/>
    <w:rsid w:val="00E67C17"/>
    <w:rsid w:val="00E67DEA"/>
    <w:rsid w:val="00E67F31"/>
    <w:rsid w:val="00E702FA"/>
    <w:rsid w:val="00E70478"/>
    <w:rsid w:val="00E70AE5"/>
    <w:rsid w:val="00E70E10"/>
    <w:rsid w:val="00E71229"/>
    <w:rsid w:val="00E712EB"/>
    <w:rsid w:val="00E71304"/>
    <w:rsid w:val="00E71479"/>
    <w:rsid w:val="00E716D7"/>
    <w:rsid w:val="00E71716"/>
    <w:rsid w:val="00E7183E"/>
    <w:rsid w:val="00E71B3F"/>
    <w:rsid w:val="00E71D73"/>
    <w:rsid w:val="00E71FF8"/>
    <w:rsid w:val="00E72106"/>
    <w:rsid w:val="00E72401"/>
    <w:rsid w:val="00E724B2"/>
    <w:rsid w:val="00E72505"/>
    <w:rsid w:val="00E7271B"/>
    <w:rsid w:val="00E72B09"/>
    <w:rsid w:val="00E72BCC"/>
    <w:rsid w:val="00E72F36"/>
    <w:rsid w:val="00E72FCD"/>
    <w:rsid w:val="00E7361F"/>
    <w:rsid w:val="00E73951"/>
    <w:rsid w:val="00E739BF"/>
    <w:rsid w:val="00E739F2"/>
    <w:rsid w:val="00E73A66"/>
    <w:rsid w:val="00E740AF"/>
    <w:rsid w:val="00E74180"/>
    <w:rsid w:val="00E7423D"/>
    <w:rsid w:val="00E74382"/>
    <w:rsid w:val="00E7497F"/>
    <w:rsid w:val="00E74981"/>
    <w:rsid w:val="00E74B44"/>
    <w:rsid w:val="00E74C0C"/>
    <w:rsid w:val="00E74D4F"/>
    <w:rsid w:val="00E74ECF"/>
    <w:rsid w:val="00E7586F"/>
    <w:rsid w:val="00E75B9E"/>
    <w:rsid w:val="00E75F21"/>
    <w:rsid w:val="00E760C6"/>
    <w:rsid w:val="00E76504"/>
    <w:rsid w:val="00E76588"/>
    <w:rsid w:val="00E76659"/>
    <w:rsid w:val="00E76C59"/>
    <w:rsid w:val="00E76DC5"/>
    <w:rsid w:val="00E76F11"/>
    <w:rsid w:val="00E7743F"/>
    <w:rsid w:val="00E774A4"/>
    <w:rsid w:val="00E776CE"/>
    <w:rsid w:val="00E77827"/>
    <w:rsid w:val="00E7784A"/>
    <w:rsid w:val="00E779EE"/>
    <w:rsid w:val="00E77B85"/>
    <w:rsid w:val="00E77DCC"/>
    <w:rsid w:val="00E8026E"/>
    <w:rsid w:val="00E8084B"/>
    <w:rsid w:val="00E808C5"/>
    <w:rsid w:val="00E80925"/>
    <w:rsid w:val="00E80A5B"/>
    <w:rsid w:val="00E80DCC"/>
    <w:rsid w:val="00E80E06"/>
    <w:rsid w:val="00E819E4"/>
    <w:rsid w:val="00E8227A"/>
    <w:rsid w:val="00E823BE"/>
    <w:rsid w:val="00E82686"/>
    <w:rsid w:val="00E8291A"/>
    <w:rsid w:val="00E82A7E"/>
    <w:rsid w:val="00E82B1B"/>
    <w:rsid w:val="00E82F76"/>
    <w:rsid w:val="00E8311D"/>
    <w:rsid w:val="00E8312E"/>
    <w:rsid w:val="00E83159"/>
    <w:rsid w:val="00E838E0"/>
    <w:rsid w:val="00E83CE5"/>
    <w:rsid w:val="00E83E4D"/>
    <w:rsid w:val="00E83F36"/>
    <w:rsid w:val="00E83F3F"/>
    <w:rsid w:val="00E849D6"/>
    <w:rsid w:val="00E84CA2"/>
    <w:rsid w:val="00E85288"/>
    <w:rsid w:val="00E856D3"/>
    <w:rsid w:val="00E8594E"/>
    <w:rsid w:val="00E859C4"/>
    <w:rsid w:val="00E859FB"/>
    <w:rsid w:val="00E8625D"/>
    <w:rsid w:val="00E8679F"/>
    <w:rsid w:val="00E867E0"/>
    <w:rsid w:val="00E8695D"/>
    <w:rsid w:val="00E86A21"/>
    <w:rsid w:val="00E86C09"/>
    <w:rsid w:val="00E86D83"/>
    <w:rsid w:val="00E86FBC"/>
    <w:rsid w:val="00E870B2"/>
    <w:rsid w:val="00E8729F"/>
    <w:rsid w:val="00E8744A"/>
    <w:rsid w:val="00E900F5"/>
    <w:rsid w:val="00E90420"/>
    <w:rsid w:val="00E9072B"/>
    <w:rsid w:val="00E90A21"/>
    <w:rsid w:val="00E90DB1"/>
    <w:rsid w:val="00E90F9D"/>
    <w:rsid w:val="00E91378"/>
    <w:rsid w:val="00E91871"/>
    <w:rsid w:val="00E918F3"/>
    <w:rsid w:val="00E91F38"/>
    <w:rsid w:val="00E91F8B"/>
    <w:rsid w:val="00E92026"/>
    <w:rsid w:val="00E924C3"/>
    <w:rsid w:val="00E9264E"/>
    <w:rsid w:val="00E928CB"/>
    <w:rsid w:val="00E92F75"/>
    <w:rsid w:val="00E92F7E"/>
    <w:rsid w:val="00E9301A"/>
    <w:rsid w:val="00E9375F"/>
    <w:rsid w:val="00E93800"/>
    <w:rsid w:val="00E93B85"/>
    <w:rsid w:val="00E93EF7"/>
    <w:rsid w:val="00E93FA3"/>
    <w:rsid w:val="00E9414E"/>
    <w:rsid w:val="00E94717"/>
    <w:rsid w:val="00E94856"/>
    <w:rsid w:val="00E94A9D"/>
    <w:rsid w:val="00E950E2"/>
    <w:rsid w:val="00E950FC"/>
    <w:rsid w:val="00E952FB"/>
    <w:rsid w:val="00E95632"/>
    <w:rsid w:val="00E95986"/>
    <w:rsid w:val="00E95BF4"/>
    <w:rsid w:val="00E95DFD"/>
    <w:rsid w:val="00E95FCB"/>
    <w:rsid w:val="00E961C5"/>
    <w:rsid w:val="00E96430"/>
    <w:rsid w:val="00E96696"/>
    <w:rsid w:val="00E966F7"/>
    <w:rsid w:val="00E967A4"/>
    <w:rsid w:val="00E969E5"/>
    <w:rsid w:val="00E96FE5"/>
    <w:rsid w:val="00E979C7"/>
    <w:rsid w:val="00E97D7E"/>
    <w:rsid w:val="00EA06CB"/>
    <w:rsid w:val="00EA08EB"/>
    <w:rsid w:val="00EA0A15"/>
    <w:rsid w:val="00EA0DD7"/>
    <w:rsid w:val="00EA101F"/>
    <w:rsid w:val="00EA18ED"/>
    <w:rsid w:val="00EA192D"/>
    <w:rsid w:val="00EA21BB"/>
    <w:rsid w:val="00EA2429"/>
    <w:rsid w:val="00EA24F6"/>
    <w:rsid w:val="00EA2634"/>
    <w:rsid w:val="00EA27E6"/>
    <w:rsid w:val="00EA2E8A"/>
    <w:rsid w:val="00EA2F68"/>
    <w:rsid w:val="00EA3003"/>
    <w:rsid w:val="00EA300C"/>
    <w:rsid w:val="00EA3365"/>
    <w:rsid w:val="00EA35F5"/>
    <w:rsid w:val="00EA3BAE"/>
    <w:rsid w:val="00EA45B2"/>
    <w:rsid w:val="00EA4876"/>
    <w:rsid w:val="00EA4A83"/>
    <w:rsid w:val="00EA4AB7"/>
    <w:rsid w:val="00EA4AC0"/>
    <w:rsid w:val="00EA4C81"/>
    <w:rsid w:val="00EA51AA"/>
    <w:rsid w:val="00EA552F"/>
    <w:rsid w:val="00EA56EC"/>
    <w:rsid w:val="00EA5861"/>
    <w:rsid w:val="00EA5B08"/>
    <w:rsid w:val="00EA5B31"/>
    <w:rsid w:val="00EA5E63"/>
    <w:rsid w:val="00EA5E75"/>
    <w:rsid w:val="00EA6199"/>
    <w:rsid w:val="00EA62F9"/>
    <w:rsid w:val="00EA6414"/>
    <w:rsid w:val="00EA6455"/>
    <w:rsid w:val="00EA658D"/>
    <w:rsid w:val="00EA672B"/>
    <w:rsid w:val="00EA68ED"/>
    <w:rsid w:val="00EA6AA5"/>
    <w:rsid w:val="00EA7049"/>
    <w:rsid w:val="00EA7242"/>
    <w:rsid w:val="00EA754E"/>
    <w:rsid w:val="00EA76E1"/>
    <w:rsid w:val="00EA78D4"/>
    <w:rsid w:val="00EA790E"/>
    <w:rsid w:val="00EA7F2A"/>
    <w:rsid w:val="00EB046D"/>
    <w:rsid w:val="00EB05B7"/>
    <w:rsid w:val="00EB0BA2"/>
    <w:rsid w:val="00EB100D"/>
    <w:rsid w:val="00EB117B"/>
    <w:rsid w:val="00EB124E"/>
    <w:rsid w:val="00EB1285"/>
    <w:rsid w:val="00EB1675"/>
    <w:rsid w:val="00EB1C17"/>
    <w:rsid w:val="00EB1D4A"/>
    <w:rsid w:val="00EB1E0D"/>
    <w:rsid w:val="00EB2450"/>
    <w:rsid w:val="00EB2506"/>
    <w:rsid w:val="00EB25F4"/>
    <w:rsid w:val="00EB27E9"/>
    <w:rsid w:val="00EB28D4"/>
    <w:rsid w:val="00EB29D7"/>
    <w:rsid w:val="00EB30EB"/>
    <w:rsid w:val="00EB3243"/>
    <w:rsid w:val="00EB33BA"/>
    <w:rsid w:val="00EB351E"/>
    <w:rsid w:val="00EB375C"/>
    <w:rsid w:val="00EB3B66"/>
    <w:rsid w:val="00EB3BE6"/>
    <w:rsid w:val="00EB3F0E"/>
    <w:rsid w:val="00EB4136"/>
    <w:rsid w:val="00EB4A8E"/>
    <w:rsid w:val="00EB4C69"/>
    <w:rsid w:val="00EB4D11"/>
    <w:rsid w:val="00EB4D62"/>
    <w:rsid w:val="00EB4E85"/>
    <w:rsid w:val="00EB513D"/>
    <w:rsid w:val="00EB51DA"/>
    <w:rsid w:val="00EB535E"/>
    <w:rsid w:val="00EB5429"/>
    <w:rsid w:val="00EB5CD4"/>
    <w:rsid w:val="00EB5D4A"/>
    <w:rsid w:val="00EB6086"/>
    <w:rsid w:val="00EB6A8A"/>
    <w:rsid w:val="00EB6C69"/>
    <w:rsid w:val="00EB7210"/>
    <w:rsid w:val="00EB73BE"/>
    <w:rsid w:val="00EB754B"/>
    <w:rsid w:val="00EB772E"/>
    <w:rsid w:val="00EB7984"/>
    <w:rsid w:val="00EB7B87"/>
    <w:rsid w:val="00EB7BA7"/>
    <w:rsid w:val="00EB7D41"/>
    <w:rsid w:val="00EC0848"/>
    <w:rsid w:val="00EC0C16"/>
    <w:rsid w:val="00EC0CB8"/>
    <w:rsid w:val="00EC0DF5"/>
    <w:rsid w:val="00EC189D"/>
    <w:rsid w:val="00EC19EF"/>
    <w:rsid w:val="00EC1BC8"/>
    <w:rsid w:val="00EC1BEE"/>
    <w:rsid w:val="00EC1D88"/>
    <w:rsid w:val="00EC20A9"/>
    <w:rsid w:val="00EC22F7"/>
    <w:rsid w:val="00EC2605"/>
    <w:rsid w:val="00EC28FC"/>
    <w:rsid w:val="00EC2A1F"/>
    <w:rsid w:val="00EC2F83"/>
    <w:rsid w:val="00EC3089"/>
    <w:rsid w:val="00EC3313"/>
    <w:rsid w:val="00EC33F1"/>
    <w:rsid w:val="00EC33F4"/>
    <w:rsid w:val="00EC343C"/>
    <w:rsid w:val="00EC35A0"/>
    <w:rsid w:val="00EC36FA"/>
    <w:rsid w:val="00EC3BAA"/>
    <w:rsid w:val="00EC45B1"/>
    <w:rsid w:val="00EC4AC9"/>
    <w:rsid w:val="00EC4C67"/>
    <w:rsid w:val="00EC4DA7"/>
    <w:rsid w:val="00EC4ECF"/>
    <w:rsid w:val="00EC5290"/>
    <w:rsid w:val="00EC591E"/>
    <w:rsid w:val="00EC60B2"/>
    <w:rsid w:val="00EC60FF"/>
    <w:rsid w:val="00EC6180"/>
    <w:rsid w:val="00EC63E7"/>
    <w:rsid w:val="00EC6964"/>
    <w:rsid w:val="00EC6B69"/>
    <w:rsid w:val="00EC6B77"/>
    <w:rsid w:val="00EC6EBE"/>
    <w:rsid w:val="00EC6FC1"/>
    <w:rsid w:val="00EC71ED"/>
    <w:rsid w:val="00EC77AF"/>
    <w:rsid w:val="00EC7E6A"/>
    <w:rsid w:val="00ED02F9"/>
    <w:rsid w:val="00ED0812"/>
    <w:rsid w:val="00ED09A7"/>
    <w:rsid w:val="00ED0A4B"/>
    <w:rsid w:val="00ED0A5E"/>
    <w:rsid w:val="00ED1227"/>
    <w:rsid w:val="00ED17EE"/>
    <w:rsid w:val="00ED23C6"/>
    <w:rsid w:val="00ED25E9"/>
    <w:rsid w:val="00ED29F0"/>
    <w:rsid w:val="00ED312D"/>
    <w:rsid w:val="00ED39C3"/>
    <w:rsid w:val="00ED3DA1"/>
    <w:rsid w:val="00ED3F6A"/>
    <w:rsid w:val="00ED4131"/>
    <w:rsid w:val="00ED41D3"/>
    <w:rsid w:val="00ED440C"/>
    <w:rsid w:val="00ED44F9"/>
    <w:rsid w:val="00ED454D"/>
    <w:rsid w:val="00ED4603"/>
    <w:rsid w:val="00ED46AA"/>
    <w:rsid w:val="00ED4769"/>
    <w:rsid w:val="00ED490D"/>
    <w:rsid w:val="00ED49DD"/>
    <w:rsid w:val="00ED4C12"/>
    <w:rsid w:val="00ED4DA2"/>
    <w:rsid w:val="00ED50FF"/>
    <w:rsid w:val="00ED554E"/>
    <w:rsid w:val="00ED5CA4"/>
    <w:rsid w:val="00ED5D33"/>
    <w:rsid w:val="00ED612E"/>
    <w:rsid w:val="00ED6581"/>
    <w:rsid w:val="00ED67E6"/>
    <w:rsid w:val="00ED683E"/>
    <w:rsid w:val="00ED68EA"/>
    <w:rsid w:val="00ED6DC2"/>
    <w:rsid w:val="00ED6E6D"/>
    <w:rsid w:val="00ED707B"/>
    <w:rsid w:val="00ED719D"/>
    <w:rsid w:val="00ED71B1"/>
    <w:rsid w:val="00ED71C2"/>
    <w:rsid w:val="00ED75E4"/>
    <w:rsid w:val="00ED782A"/>
    <w:rsid w:val="00ED7BA6"/>
    <w:rsid w:val="00ED7DFE"/>
    <w:rsid w:val="00EE0389"/>
    <w:rsid w:val="00EE07DE"/>
    <w:rsid w:val="00EE082E"/>
    <w:rsid w:val="00EE0905"/>
    <w:rsid w:val="00EE0CA8"/>
    <w:rsid w:val="00EE107E"/>
    <w:rsid w:val="00EE1502"/>
    <w:rsid w:val="00EE17E4"/>
    <w:rsid w:val="00EE19BE"/>
    <w:rsid w:val="00EE1A24"/>
    <w:rsid w:val="00EE2547"/>
    <w:rsid w:val="00EE2986"/>
    <w:rsid w:val="00EE29E3"/>
    <w:rsid w:val="00EE30EA"/>
    <w:rsid w:val="00EE3240"/>
    <w:rsid w:val="00EE3473"/>
    <w:rsid w:val="00EE3B24"/>
    <w:rsid w:val="00EE3CAC"/>
    <w:rsid w:val="00EE3E5F"/>
    <w:rsid w:val="00EE3ED4"/>
    <w:rsid w:val="00EE3F33"/>
    <w:rsid w:val="00EE3F8E"/>
    <w:rsid w:val="00EE40B2"/>
    <w:rsid w:val="00EE424C"/>
    <w:rsid w:val="00EE44D7"/>
    <w:rsid w:val="00EE44FE"/>
    <w:rsid w:val="00EE4DBF"/>
    <w:rsid w:val="00EE51DA"/>
    <w:rsid w:val="00EE626C"/>
    <w:rsid w:val="00EE6892"/>
    <w:rsid w:val="00EE69FB"/>
    <w:rsid w:val="00EE6B12"/>
    <w:rsid w:val="00EE6B7E"/>
    <w:rsid w:val="00EE6D9B"/>
    <w:rsid w:val="00EE6E5A"/>
    <w:rsid w:val="00EE6F73"/>
    <w:rsid w:val="00EE6FF2"/>
    <w:rsid w:val="00EE7013"/>
    <w:rsid w:val="00EE73A7"/>
    <w:rsid w:val="00EE73D0"/>
    <w:rsid w:val="00EE7BD8"/>
    <w:rsid w:val="00EE7D49"/>
    <w:rsid w:val="00EF01B8"/>
    <w:rsid w:val="00EF01BE"/>
    <w:rsid w:val="00EF0B3D"/>
    <w:rsid w:val="00EF0DCB"/>
    <w:rsid w:val="00EF0DF6"/>
    <w:rsid w:val="00EF1793"/>
    <w:rsid w:val="00EF1993"/>
    <w:rsid w:val="00EF21B9"/>
    <w:rsid w:val="00EF2344"/>
    <w:rsid w:val="00EF2425"/>
    <w:rsid w:val="00EF258A"/>
    <w:rsid w:val="00EF28B3"/>
    <w:rsid w:val="00EF2DB9"/>
    <w:rsid w:val="00EF2EE4"/>
    <w:rsid w:val="00EF2F91"/>
    <w:rsid w:val="00EF2FF7"/>
    <w:rsid w:val="00EF33B6"/>
    <w:rsid w:val="00EF34BC"/>
    <w:rsid w:val="00EF3695"/>
    <w:rsid w:val="00EF376A"/>
    <w:rsid w:val="00EF3A53"/>
    <w:rsid w:val="00EF3C08"/>
    <w:rsid w:val="00EF3DDF"/>
    <w:rsid w:val="00EF421C"/>
    <w:rsid w:val="00EF423B"/>
    <w:rsid w:val="00EF43AD"/>
    <w:rsid w:val="00EF4402"/>
    <w:rsid w:val="00EF4666"/>
    <w:rsid w:val="00EF4845"/>
    <w:rsid w:val="00EF4C73"/>
    <w:rsid w:val="00EF4EE6"/>
    <w:rsid w:val="00EF4F1A"/>
    <w:rsid w:val="00EF550D"/>
    <w:rsid w:val="00EF588F"/>
    <w:rsid w:val="00EF59C7"/>
    <w:rsid w:val="00EF5CD4"/>
    <w:rsid w:val="00EF653B"/>
    <w:rsid w:val="00EF661D"/>
    <w:rsid w:val="00EF6939"/>
    <w:rsid w:val="00EF6C7A"/>
    <w:rsid w:val="00EF6CDD"/>
    <w:rsid w:val="00EF6D1E"/>
    <w:rsid w:val="00EF70F7"/>
    <w:rsid w:val="00EF72B9"/>
    <w:rsid w:val="00EF74AD"/>
    <w:rsid w:val="00EF7661"/>
    <w:rsid w:val="00EF791F"/>
    <w:rsid w:val="00EF7A77"/>
    <w:rsid w:val="00EF7CA0"/>
    <w:rsid w:val="00EF7F6A"/>
    <w:rsid w:val="00F00118"/>
    <w:rsid w:val="00F00148"/>
    <w:rsid w:val="00F00441"/>
    <w:rsid w:val="00F00497"/>
    <w:rsid w:val="00F00576"/>
    <w:rsid w:val="00F01038"/>
    <w:rsid w:val="00F015EC"/>
    <w:rsid w:val="00F017B0"/>
    <w:rsid w:val="00F01BCA"/>
    <w:rsid w:val="00F01DD0"/>
    <w:rsid w:val="00F0230F"/>
    <w:rsid w:val="00F023FF"/>
    <w:rsid w:val="00F0243D"/>
    <w:rsid w:val="00F024B8"/>
    <w:rsid w:val="00F024DE"/>
    <w:rsid w:val="00F02828"/>
    <w:rsid w:val="00F0296F"/>
    <w:rsid w:val="00F02AAF"/>
    <w:rsid w:val="00F02BAC"/>
    <w:rsid w:val="00F031F6"/>
    <w:rsid w:val="00F037AF"/>
    <w:rsid w:val="00F03E5F"/>
    <w:rsid w:val="00F04076"/>
    <w:rsid w:val="00F0457E"/>
    <w:rsid w:val="00F046C9"/>
    <w:rsid w:val="00F046CB"/>
    <w:rsid w:val="00F04737"/>
    <w:rsid w:val="00F04F01"/>
    <w:rsid w:val="00F04FEB"/>
    <w:rsid w:val="00F053F6"/>
    <w:rsid w:val="00F05662"/>
    <w:rsid w:val="00F057DE"/>
    <w:rsid w:val="00F05BB5"/>
    <w:rsid w:val="00F05BD8"/>
    <w:rsid w:val="00F05BE9"/>
    <w:rsid w:val="00F05EAA"/>
    <w:rsid w:val="00F06797"/>
    <w:rsid w:val="00F06874"/>
    <w:rsid w:val="00F06991"/>
    <w:rsid w:val="00F06D38"/>
    <w:rsid w:val="00F06F2C"/>
    <w:rsid w:val="00F06FD9"/>
    <w:rsid w:val="00F071F3"/>
    <w:rsid w:val="00F079BC"/>
    <w:rsid w:val="00F07C78"/>
    <w:rsid w:val="00F07DA2"/>
    <w:rsid w:val="00F102EC"/>
    <w:rsid w:val="00F10326"/>
    <w:rsid w:val="00F1114E"/>
    <w:rsid w:val="00F11401"/>
    <w:rsid w:val="00F1152D"/>
    <w:rsid w:val="00F118D0"/>
    <w:rsid w:val="00F11E99"/>
    <w:rsid w:val="00F1204A"/>
    <w:rsid w:val="00F1237E"/>
    <w:rsid w:val="00F125BA"/>
    <w:rsid w:val="00F126AD"/>
    <w:rsid w:val="00F12894"/>
    <w:rsid w:val="00F12B86"/>
    <w:rsid w:val="00F12B91"/>
    <w:rsid w:val="00F12C5B"/>
    <w:rsid w:val="00F12E19"/>
    <w:rsid w:val="00F12F3B"/>
    <w:rsid w:val="00F13375"/>
    <w:rsid w:val="00F13507"/>
    <w:rsid w:val="00F1363D"/>
    <w:rsid w:val="00F13739"/>
    <w:rsid w:val="00F13C51"/>
    <w:rsid w:val="00F13CB4"/>
    <w:rsid w:val="00F13F2B"/>
    <w:rsid w:val="00F13F8E"/>
    <w:rsid w:val="00F1401A"/>
    <w:rsid w:val="00F140B6"/>
    <w:rsid w:val="00F140BC"/>
    <w:rsid w:val="00F140C5"/>
    <w:rsid w:val="00F143EF"/>
    <w:rsid w:val="00F1453C"/>
    <w:rsid w:val="00F14A7C"/>
    <w:rsid w:val="00F15390"/>
    <w:rsid w:val="00F1558E"/>
    <w:rsid w:val="00F157B6"/>
    <w:rsid w:val="00F159B8"/>
    <w:rsid w:val="00F159BE"/>
    <w:rsid w:val="00F15A46"/>
    <w:rsid w:val="00F15A65"/>
    <w:rsid w:val="00F15C9D"/>
    <w:rsid w:val="00F15DFB"/>
    <w:rsid w:val="00F16161"/>
    <w:rsid w:val="00F165D2"/>
    <w:rsid w:val="00F1678D"/>
    <w:rsid w:val="00F171D5"/>
    <w:rsid w:val="00F17234"/>
    <w:rsid w:val="00F172CD"/>
    <w:rsid w:val="00F174A0"/>
    <w:rsid w:val="00F178B1"/>
    <w:rsid w:val="00F178EF"/>
    <w:rsid w:val="00F17B68"/>
    <w:rsid w:val="00F17CBA"/>
    <w:rsid w:val="00F17D52"/>
    <w:rsid w:val="00F17DD4"/>
    <w:rsid w:val="00F17F4D"/>
    <w:rsid w:val="00F17FF2"/>
    <w:rsid w:val="00F202C3"/>
    <w:rsid w:val="00F20375"/>
    <w:rsid w:val="00F204AE"/>
    <w:rsid w:val="00F20509"/>
    <w:rsid w:val="00F2090B"/>
    <w:rsid w:val="00F20C10"/>
    <w:rsid w:val="00F20C92"/>
    <w:rsid w:val="00F20E24"/>
    <w:rsid w:val="00F20E65"/>
    <w:rsid w:val="00F20F6E"/>
    <w:rsid w:val="00F2141C"/>
    <w:rsid w:val="00F2167E"/>
    <w:rsid w:val="00F21AFF"/>
    <w:rsid w:val="00F21B46"/>
    <w:rsid w:val="00F21F48"/>
    <w:rsid w:val="00F22438"/>
    <w:rsid w:val="00F224F6"/>
    <w:rsid w:val="00F2259F"/>
    <w:rsid w:val="00F228CD"/>
    <w:rsid w:val="00F22903"/>
    <w:rsid w:val="00F22A90"/>
    <w:rsid w:val="00F22C71"/>
    <w:rsid w:val="00F22D07"/>
    <w:rsid w:val="00F22F8F"/>
    <w:rsid w:val="00F232C0"/>
    <w:rsid w:val="00F23303"/>
    <w:rsid w:val="00F2366C"/>
    <w:rsid w:val="00F23863"/>
    <w:rsid w:val="00F23A7B"/>
    <w:rsid w:val="00F23B86"/>
    <w:rsid w:val="00F24197"/>
    <w:rsid w:val="00F244E1"/>
    <w:rsid w:val="00F246C2"/>
    <w:rsid w:val="00F24703"/>
    <w:rsid w:val="00F24994"/>
    <w:rsid w:val="00F24B30"/>
    <w:rsid w:val="00F24B94"/>
    <w:rsid w:val="00F24BFA"/>
    <w:rsid w:val="00F24C18"/>
    <w:rsid w:val="00F24D3C"/>
    <w:rsid w:val="00F24FA5"/>
    <w:rsid w:val="00F250E9"/>
    <w:rsid w:val="00F2511A"/>
    <w:rsid w:val="00F2521B"/>
    <w:rsid w:val="00F2569E"/>
    <w:rsid w:val="00F2588B"/>
    <w:rsid w:val="00F2589F"/>
    <w:rsid w:val="00F25D8E"/>
    <w:rsid w:val="00F25F8B"/>
    <w:rsid w:val="00F26179"/>
    <w:rsid w:val="00F26844"/>
    <w:rsid w:val="00F268B9"/>
    <w:rsid w:val="00F26B70"/>
    <w:rsid w:val="00F26CD4"/>
    <w:rsid w:val="00F270A7"/>
    <w:rsid w:val="00F274F5"/>
    <w:rsid w:val="00F27627"/>
    <w:rsid w:val="00F27805"/>
    <w:rsid w:val="00F279D0"/>
    <w:rsid w:val="00F27D2E"/>
    <w:rsid w:val="00F27E47"/>
    <w:rsid w:val="00F27FED"/>
    <w:rsid w:val="00F300BF"/>
    <w:rsid w:val="00F3025D"/>
    <w:rsid w:val="00F302BD"/>
    <w:rsid w:val="00F30BA5"/>
    <w:rsid w:val="00F30BF2"/>
    <w:rsid w:val="00F3102F"/>
    <w:rsid w:val="00F3128A"/>
    <w:rsid w:val="00F312CF"/>
    <w:rsid w:val="00F321D7"/>
    <w:rsid w:val="00F323CF"/>
    <w:rsid w:val="00F326B3"/>
    <w:rsid w:val="00F326D3"/>
    <w:rsid w:val="00F32CA8"/>
    <w:rsid w:val="00F33068"/>
    <w:rsid w:val="00F33280"/>
    <w:rsid w:val="00F33644"/>
    <w:rsid w:val="00F339EE"/>
    <w:rsid w:val="00F33EEA"/>
    <w:rsid w:val="00F33FF2"/>
    <w:rsid w:val="00F343F7"/>
    <w:rsid w:val="00F34454"/>
    <w:rsid w:val="00F34481"/>
    <w:rsid w:val="00F344B4"/>
    <w:rsid w:val="00F34571"/>
    <w:rsid w:val="00F3458F"/>
    <w:rsid w:val="00F34892"/>
    <w:rsid w:val="00F34BC7"/>
    <w:rsid w:val="00F34DFE"/>
    <w:rsid w:val="00F34FAA"/>
    <w:rsid w:val="00F3586F"/>
    <w:rsid w:val="00F35C45"/>
    <w:rsid w:val="00F35FD2"/>
    <w:rsid w:val="00F35FE5"/>
    <w:rsid w:val="00F360CB"/>
    <w:rsid w:val="00F36154"/>
    <w:rsid w:val="00F362DF"/>
    <w:rsid w:val="00F3642C"/>
    <w:rsid w:val="00F364BB"/>
    <w:rsid w:val="00F366BA"/>
    <w:rsid w:val="00F3694D"/>
    <w:rsid w:val="00F36DED"/>
    <w:rsid w:val="00F3701A"/>
    <w:rsid w:val="00F37040"/>
    <w:rsid w:val="00F3727F"/>
    <w:rsid w:val="00F37496"/>
    <w:rsid w:val="00F37779"/>
    <w:rsid w:val="00F379BD"/>
    <w:rsid w:val="00F37A59"/>
    <w:rsid w:val="00F401FE"/>
    <w:rsid w:val="00F40B05"/>
    <w:rsid w:val="00F40D58"/>
    <w:rsid w:val="00F40DD6"/>
    <w:rsid w:val="00F40E9C"/>
    <w:rsid w:val="00F40EBD"/>
    <w:rsid w:val="00F41604"/>
    <w:rsid w:val="00F416E1"/>
    <w:rsid w:val="00F4198E"/>
    <w:rsid w:val="00F41DC8"/>
    <w:rsid w:val="00F41E9C"/>
    <w:rsid w:val="00F41F52"/>
    <w:rsid w:val="00F42041"/>
    <w:rsid w:val="00F4259D"/>
    <w:rsid w:val="00F4263E"/>
    <w:rsid w:val="00F4290F"/>
    <w:rsid w:val="00F429D7"/>
    <w:rsid w:val="00F42BDC"/>
    <w:rsid w:val="00F42C19"/>
    <w:rsid w:val="00F42CB5"/>
    <w:rsid w:val="00F42D10"/>
    <w:rsid w:val="00F42FE6"/>
    <w:rsid w:val="00F43067"/>
    <w:rsid w:val="00F430F9"/>
    <w:rsid w:val="00F43284"/>
    <w:rsid w:val="00F4339D"/>
    <w:rsid w:val="00F43421"/>
    <w:rsid w:val="00F436C5"/>
    <w:rsid w:val="00F43AFA"/>
    <w:rsid w:val="00F43CC9"/>
    <w:rsid w:val="00F43CDA"/>
    <w:rsid w:val="00F43D50"/>
    <w:rsid w:val="00F43FC2"/>
    <w:rsid w:val="00F442D3"/>
    <w:rsid w:val="00F442EA"/>
    <w:rsid w:val="00F44543"/>
    <w:rsid w:val="00F44713"/>
    <w:rsid w:val="00F44976"/>
    <w:rsid w:val="00F44BCA"/>
    <w:rsid w:val="00F4535C"/>
    <w:rsid w:val="00F45C43"/>
    <w:rsid w:val="00F45E6C"/>
    <w:rsid w:val="00F460DC"/>
    <w:rsid w:val="00F4640C"/>
    <w:rsid w:val="00F46513"/>
    <w:rsid w:val="00F46777"/>
    <w:rsid w:val="00F4685D"/>
    <w:rsid w:val="00F46FCB"/>
    <w:rsid w:val="00F470D1"/>
    <w:rsid w:val="00F47130"/>
    <w:rsid w:val="00F4774B"/>
    <w:rsid w:val="00F47B01"/>
    <w:rsid w:val="00F47CBE"/>
    <w:rsid w:val="00F47F6C"/>
    <w:rsid w:val="00F5000B"/>
    <w:rsid w:val="00F50356"/>
    <w:rsid w:val="00F50ACE"/>
    <w:rsid w:val="00F50C6C"/>
    <w:rsid w:val="00F50F6A"/>
    <w:rsid w:val="00F5103F"/>
    <w:rsid w:val="00F5140B"/>
    <w:rsid w:val="00F51769"/>
    <w:rsid w:val="00F518D4"/>
    <w:rsid w:val="00F518DE"/>
    <w:rsid w:val="00F51B32"/>
    <w:rsid w:val="00F51FC9"/>
    <w:rsid w:val="00F520BD"/>
    <w:rsid w:val="00F5220F"/>
    <w:rsid w:val="00F523FD"/>
    <w:rsid w:val="00F525CD"/>
    <w:rsid w:val="00F52EE5"/>
    <w:rsid w:val="00F52F80"/>
    <w:rsid w:val="00F52FAD"/>
    <w:rsid w:val="00F53153"/>
    <w:rsid w:val="00F53246"/>
    <w:rsid w:val="00F537B2"/>
    <w:rsid w:val="00F53D49"/>
    <w:rsid w:val="00F54087"/>
    <w:rsid w:val="00F54491"/>
    <w:rsid w:val="00F54AD5"/>
    <w:rsid w:val="00F54CF1"/>
    <w:rsid w:val="00F55005"/>
    <w:rsid w:val="00F55613"/>
    <w:rsid w:val="00F55A98"/>
    <w:rsid w:val="00F55DE2"/>
    <w:rsid w:val="00F55E8C"/>
    <w:rsid w:val="00F56092"/>
    <w:rsid w:val="00F5625D"/>
    <w:rsid w:val="00F5630F"/>
    <w:rsid w:val="00F565AB"/>
    <w:rsid w:val="00F5664C"/>
    <w:rsid w:val="00F56736"/>
    <w:rsid w:val="00F56B6C"/>
    <w:rsid w:val="00F56C76"/>
    <w:rsid w:val="00F56D78"/>
    <w:rsid w:val="00F56D80"/>
    <w:rsid w:val="00F56F4D"/>
    <w:rsid w:val="00F57573"/>
    <w:rsid w:val="00F57577"/>
    <w:rsid w:val="00F578C6"/>
    <w:rsid w:val="00F57C14"/>
    <w:rsid w:val="00F57CCF"/>
    <w:rsid w:val="00F60326"/>
    <w:rsid w:val="00F603A9"/>
    <w:rsid w:val="00F60564"/>
    <w:rsid w:val="00F607F4"/>
    <w:rsid w:val="00F60DDC"/>
    <w:rsid w:val="00F61606"/>
    <w:rsid w:val="00F616D9"/>
    <w:rsid w:val="00F618F8"/>
    <w:rsid w:val="00F619D0"/>
    <w:rsid w:val="00F61F14"/>
    <w:rsid w:val="00F62159"/>
    <w:rsid w:val="00F62794"/>
    <w:rsid w:val="00F6282A"/>
    <w:rsid w:val="00F6291A"/>
    <w:rsid w:val="00F62ACE"/>
    <w:rsid w:val="00F62D7D"/>
    <w:rsid w:val="00F63101"/>
    <w:rsid w:val="00F63114"/>
    <w:rsid w:val="00F64013"/>
    <w:rsid w:val="00F64219"/>
    <w:rsid w:val="00F64244"/>
    <w:rsid w:val="00F6442B"/>
    <w:rsid w:val="00F64657"/>
    <w:rsid w:val="00F64717"/>
    <w:rsid w:val="00F6478C"/>
    <w:rsid w:val="00F6496E"/>
    <w:rsid w:val="00F649E2"/>
    <w:rsid w:val="00F64A1F"/>
    <w:rsid w:val="00F64AB1"/>
    <w:rsid w:val="00F64E41"/>
    <w:rsid w:val="00F65342"/>
    <w:rsid w:val="00F6542C"/>
    <w:rsid w:val="00F6564F"/>
    <w:rsid w:val="00F65CFB"/>
    <w:rsid w:val="00F65D2A"/>
    <w:rsid w:val="00F65DE8"/>
    <w:rsid w:val="00F65E28"/>
    <w:rsid w:val="00F6600C"/>
    <w:rsid w:val="00F662F9"/>
    <w:rsid w:val="00F6630E"/>
    <w:rsid w:val="00F66AED"/>
    <w:rsid w:val="00F66B81"/>
    <w:rsid w:val="00F670F5"/>
    <w:rsid w:val="00F677DF"/>
    <w:rsid w:val="00F679BC"/>
    <w:rsid w:val="00F67CF7"/>
    <w:rsid w:val="00F67CF8"/>
    <w:rsid w:val="00F67E09"/>
    <w:rsid w:val="00F70C9C"/>
    <w:rsid w:val="00F70E28"/>
    <w:rsid w:val="00F710AE"/>
    <w:rsid w:val="00F710AF"/>
    <w:rsid w:val="00F71798"/>
    <w:rsid w:val="00F71A4E"/>
    <w:rsid w:val="00F720BF"/>
    <w:rsid w:val="00F720EF"/>
    <w:rsid w:val="00F72391"/>
    <w:rsid w:val="00F72594"/>
    <w:rsid w:val="00F72679"/>
    <w:rsid w:val="00F726A1"/>
    <w:rsid w:val="00F729FF"/>
    <w:rsid w:val="00F72A79"/>
    <w:rsid w:val="00F72E8F"/>
    <w:rsid w:val="00F72EF2"/>
    <w:rsid w:val="00F73262"/>
    <w:rsid w:val="00F73991"/>
    <w:rsid w:val="00F73B6A"/>
    <w:rsid w:val="00F741F4"/>
    <w:rsid w:val="00F74243"/>
    <w:rsid w:val="00F747AC"/>
    <w:rsid w:val="00F74919"/>
    <w:rsid w:val="00F7494A"/>
    <w:rsid w:val="00F74A28"/>
    <w:rsid w:val="00F74AEC"/>
    <w:rsid w:val="00F74C03"/>
    <w:rsid w:val="00F74CB0"/>
    <w:rsid w:val="00F75455"/>
    <w:rsid w:val="00F75607"/>
    <w:rsid w:val="00F756AA"/>
    <w:rsid w:val="00F75886"/>
    <w:rsid w:val="00F75C2B"/>
    <w:rsid w:val="00F765B1"/>
    <w:rsid w:val="00F7675D"/>
    <w:rsid w:val="00F76CAC"/>
    <w:rsid w:val="00F774A8"/>
    <w:rsid w:val="00F7751D"/>
    <w:rsid w:val="00F775D5"/>
    <w:rsid w:val="00F7760E"/>
    <w:rsid w:val="00F77751"/>
    <w:rsid w:val="00F777A7"/>
    <w:rsid w:val="00F77E8E"/>
    <w:rsid w:val="00F77FE7"/>
    <w:rsid w:val="00F802A7"/>
    <w:rsid w:val="00F80484"/>
    <w:rsid w:val="00F8067F"/>
    <w:rsid w:val="00F808A1"/>
    <w:rsid w:val="00F80A2E"/>
    <w:rsid w:val="00F80A79"/>
    <w:rsid w:val="00F80AA9"/>
    <w:rsid w:val="00F80BCC"/>
    <w:rsid w:val="00F80C4F"/>
    <w:rsid w:val="00F80E33"/>
    <w:rsid w:val="00F80EAE"/>
    <w:rsid w:val="00F80F49"/>
    <w:rsid w:val="00F81680"/>
    <w:rsid w:val="00F81D45"/>
    <w:rsid w:val="00F81E6C"/>
    <w:rsid w:val="00F825AB"/>
    <w:rsid w:val="00F82611"/>
    <w:rsid w:val="00F82DAF"/>
    <w:rsid w:val="00F83B8E"/>
    <w:rsid w:val="00F83BAF"/>
    <w:rsid w:val="00F841BF"/>
    <w:rsid w:val="00F84698"/>
    <w:rsid w:val="00F848EA"/>
    <w:rsid w:val="00F84A47"/>
    <w:rsid w:val="00F84AE9"/>
    <w:rsid w:val="00F84D19"/>
    <w:rsid w:val="00F84FFE"/>
    <w:rsid w:val="00F855AE"/>
    <w:rsid w:val="00F85876"/>
    <w:rsid w:val="00F85D66"/>
    <w:rsid w:val="00F85F1F"/>
    <w:rsid w:val="00F865B1"/>
    <w:rsid w:val="00F86666"/>
    <w:rsid w:val="00F86667"/>
    <w:rsid w:val="00F868A7"/>
    <w:rsid w:val="00F870B2"/>
    <w:rsid w:val="00F8721C"/>
    <w:rsid w:val="00F873A8"/>
    <w:rsid w:val="00F87E03"/>
    <w:rsid w:val="00F87F9D"/>
    <w:rsid w:val="00F910DF"/>
    <w:rsid w:val="00F91145"/>
    <w:rsid w:val="00F911A3"/>
    <w:rsid w:val="00F9164B"/>
    <w:rsid w:val="00F91B13"/>
    <w:rsid w:val="00F91D7F"/>
    <w:rsid w:val="00F91DF6"/>
    <w:rsid w:val="00F91EA3"/>
    <w:rsid w:val="00F91F16"/>
    <w:rsid w:val="00F921FE"/>
    <w:rsid w:val="00F922EA"/>
    <w:rsid w:val="00F926AE"/>
    <w:rsid w:val="00F92BEF"/>
    <w:rsid w:val="00F92C0F"/>
    <w:rsid w:val="00F92F89"/>
    <w:rsid w:val="00F93217"/>
    <w:rsid w:val="00F93522"/>
    <w:rsid w:val="00F937DD"/>
    <w:rsid w:val="00F938DD"/>
    <w:rsid w:val="00F93BEC"/>
    <w:rsid w:val="00F93D3E"/>
    <w:rsid w:val="00F93FDF"/>
    <w:rsid w:val="00F9407E"/>
    <w:rsid w:val="00F941D3"/>
    <w:rsid w:val="00F944FD"/>
    <w:rsid w:val="00F94A46"/>
    <w:rsid w:val="00F95BDC"/>
    <w:rsid w:val="00F95DAC"/>
    <w:rsid w:val="00F95F97"/>
    <w:rsid w:val="00F965A9"/>
    <w:rsid w:val="00F969FE"/>
    <w:rsid w:val="00F96B3A"/>
    <w:rsid w:val="00F96BC2"/>
    <w:rsid w:val="00F96CA8"/>
    <w:rsid w:val="00F96DE9"/>
    <w:rsid w:val="00F9748D"/>
    <w:rsid w:val="00F9751C"/>
    <w:rsid w:val="00F9790C"/>
    <w:rsid w:val="00F97C75"/>
    <w:rsid w:val="00FA0580"/>
    <w:rsid w:val="00FA061F"/>
    <w:rsid w:val="00FA0977"/>
    <w:rsid w:val="00FA0FE2"/>
    <w:rsid w:val="00FA1007"/>
    <w:rsid w:val="00FA11C3"/>
    <w:rsid w:val="00FA11CA"/>
    <w:rsid w:val="00FA165F"/>
    <w:rsid w:val="00FA1800"/>
    <w:rsid w:val="00FA1A64"/>
    <w:rsid w:val="00FA214E"/>
    <w:rsid w:val="00FA21A1"/>
    <w:rsid w:val="00FA242A"/>
    <w:rsid w:val="00FA24C8"/>
    <w:rsid w:val="00FA263E"/>
    <w:rsid w:val="00FA27E3"/>
    <w:rsid w:val="00FA280C"/>
    <w:rsid w:val="00FA2A53"/>
    <w:rsid w:val="00FA2DDB"/>
    <w:rsid w:val="00FA30FC"/>
    <w:rsid w:val="00FA3289"/>
    <w:rsid w:val="00FA357C"/>
    <w:rsid w:val="00FA36D4"/>
    <w:rsid w:val="00FA3A7C"/>
    <w:rsid w:val="00FA3FA5"/>
    <w:rsid w:val="00FA3FBC"/>
    <w:rsid w:val="00FA4485"/>
    <w:rsid w:val="00FA452C"/>
    <w:rsid w:val="00FA493C"/>
    <w:rsid w:val="00FA4948"/>
    <w:rsid w:val="00FA4E68"/>
    <w:rsid w:val="00FA5071"/>
    <w:rsid w:val="00FA520A"/>
    <w:rsid w:val="00FA532C"/>
    <w:rsid w:val="00FA5361"/>
    <w:rsid w:val="00FA582F"/>
    <w:rsid w:val="00FA5AE2"/>
    <w:rsid w:val="00FA5EA1"/>
    <w:rsid w:val="00FA6199"/>
    <w:rsid w:val="00FA6A8B"/>
    <w:rsid w:val="00FA6B85"/>
    <w:rsid w:val="00FA728F"/>
    <w:rsid w:val="00FA729D"/>
    <w:rsid w:val="00FA741D"/>
    <w:rsid w:val="00FA779D"/>
    <w:rsid w:val="00FA7AC3"/>
    <w:rsid w:val="00FB00E8"/>
    <w:rsid w:val="00FB0196"/>
    <w:rsid w:val="00FB040E"/>
    <w:rsid w:val="00FB072A"/>
    <w:rsid w:val="00FB074B"/>
    <w:rsid w:val="00FB07E8"/>
    <w:rsid w:val="00FB08DD"/>
    <w:rsid w:val="00FB0A04"/>
    <w:rsid w:val="00FB0AA4"/>
    <w:rsid w:val="00FB14E0"/>
    <w:rsid w:val="00FB17EC"/>
    <w:rsid w:val="00FB1947"/>
    <w:rsid w:val="00FB1A32"/>
    <w:rsid w:val="00FB1A33"/>
    <w:rsid w:val="00FB1CB1"/>
    <w:rsid w:val="00FB205B"/>
    <w:rsid w:val="00FB211E"/>
    <w:rsid w:val="00FB2573"/>
    <w:rsid w:val="00FB29DE"/>
    <w:rsid w:val="00FB2D68"/>
    <w:rsid w:val="00FB2EF3"/>
    <w:rsid w:val="00FB2F07"/>
    <w:rsid w:val="00FB2FFB"/>
    <w:rsid w:val="00FB3114"/>
    <w:rsid w:val="00FB320B"/>
    <w:rsid w:val="00FB3219"/>
    <w:rsid w:val="00FB3372"/>
    <w:rsid w:val="00FB3394"/>
    <w:rsid w:val="00FB35B5"/>
    <w:rsid w:val="00FB37A8"/>
    <w:rsid w:val="00FB37D5"/>
    <w:rsid w:val="00FB3E00"/>
    <w:rsid w:val="00FB41C2"/>
    <w:rsid w:val="00FB4348"/>
    <w:rsid w:val="00FB4677"/>
    <w:rsid w:val="00FB491A"/>
    <w:rsid w:val="00FB4EF6"/>
    <w:rsid w:val="00FB4F8C"/>
    <w:rsid w:val="00FB547D"/>
    <w:rsid w:val="00FB573A"/>
    <w:rsid w:val="00FB5881"/>
    <w:rsid w:val="00FB66E4"/>
    <w:rsid w:val="00FB6B29"/>
    <w:rsid w:val="00FB73D5"/>
    <w:rsid w:val="00FB751E"/>
    <w:rsid w:val="00FB7813"/>
    <w:rsid w:val="00FB7BEC"/>
    <w:rsid w:val="00FB7C99"/>
    <w:rsid w:val="00FC003B"/>
    <w:rsid w:val="00FC01F5"/>
    <w:rsid w:val="00FC03F2"/>
    <w:rsid w:val="00FC055B"/>
    <w:rsid w:val="00FC1203"/>
    <w:rsid w:val="00FC14D6"/>
    <w:rsid w:val="00FC1EA4"/>
    <w:rsid w:val="00FC245C"/>
    <w:rsid w:val="00FC2652"/>
    <w:rsid w:val="00FC2DC9"/>
    <w:rsid w:val="00FC2E97"/>
    <w:rsid w:val="00FC2EC6"/>
    <w:rsid w:val="00FC36D1"/>
    <w:rsid w:val="00FC3B45"/>
    <w:rsid w:val="00FC3E5D"/>
    <w:rsid w:val="00FC49DB"/>
    <w:rsid w:val="00FC4BBB"/>
    <w:rsid w:val="00FC500A"/>
    <w:rsid w:val="00FC50A7"/>
    <w:rsid w:val="00FC5114"/>
    <w:rsid w:val="00FC51D5"/>
    <w:rsid w:val="00FC520E"/>
    <w:rsid w:val="00FC521A"/>
    <w:rsid w:val="00FC5A41"/>
    <w:rsid w:val="00FC60E7"/>
    <w:rsid w:val="00FC6320"/>
    <w:rsid w:val="00FC6359"/>
    <w:rsid w:val="00FC6543"/>
    <w:rsid w:val="00FC6938"/>
    <w:rsid w:val="00FC6C7D"/>
    <w:rsid w:val="00FC7119"/>
    <w:rsid w:val="00FC71EB"/>
    <w:rsid w:val="00FC7258"/>
    <w:rsid w:val="00FC7321"/>
    <w:rsid w:val="00FC7595"/>
    <w:rsid w:val="00FC7AB8"/>
    <w:rsid w:val="00FD008D"/>
    <w:rsid w:val="00FD0396"/>
    <w:rsid w:val="00FD05D4"/>
    <w:rsid w:val="00FD06A5"/>
    <w:rsid w:val="00FD08C5"/>
    <w:rsid w:val="00FD0AEA"/>
    <w:rsid w:val="00FD0C7B"/>
    <w:rsid w:val="00FD0C7C"/>
    <w:rsid w:val="00FD0D8E"/>
    <w:rsid w:val="00FD1348"/>
    <w:rsid w:val="00FD1437"/>
    <w:rsid w:val="00FD2244"/>
    <w:rsid w:val="00FD2467"/>
    <w:rsid w:val="00FD28F5"/>
    <w:rsid w:val="00FD2A90"/>
    <w:rsid w:val="00FD2C31"/>
    <w:rsid w:val="00FD3179"/>
    <w:rsid w:val="00FD34D8"/>
    <w:rsid w:val="00FD3992"/>
    <w:rsid w:val="00FD3EA2"/>
    <w:rsid w:val="00FD411C"/>
    <w:rsid w:val="00FD420F"/>
    <w:rsid w:val="00FD4269"/>
    <w:rsid w:val="00FD44C4"/>
    <w:rsid w:val="00FD46B3"/>
    <w:rsid w:val="00FD49FF"/>
    <w:rsid w:val="00FD4A53"/>
    <w:rsid w:val="00FD4AF7"/>
    <w:rsid w:val="00FD4E9C"/>
    <w:rsid w:val="00FD51E4"/>
    <w:rsid w:val="00FD554B"/>
    <w:rsid w:val="00FD5553"/>
    <w:rsid w:val="00FD56DB"/>
    <w:rsid w:val="00FD5A11"/>
    <w:rsid w:val="00FD5AE1"/>
    <w:rsid w:val="00FD5B4A"/>
    <w:rsid w:val="00FD5C9E"/>
    <w:rsid w:val="00FD5CE9"/>
    <w:rsid w:val="00FD5D1E"/>
    <w:rsid w:val="00FD5EA4"/>
    <w:rsid w:val="00FD6295"/>
    <w:rsid w:val="00FD636D"/>
    <w:rsid w:val="00FD6684"/>
    <w:rsid w:val="00FD6943"/>
    <w:rsid w:val="00FD75F8"/>
    <w:rsid w:val="00FD7669"/>
    <w:rsid w:val="00FD79E1"/>
    <w:rsid w:val="00FD7B4A"/>
    <w:rsid w:val="00FE01F8"/>
    <w:rsid w:val="00FE04CB"/>
    <w:rsid w:val="00FE0521"/>
    <w:rsid w:val="00FE0AAB"/>
    <w:rsid w:val="00FE0B3C"/>
    <w:rsid w:val="00FE0DA3"/>
    <w:rsid w:val="00FE0EC4"/>
    <w:rsid w:val="00FE11B6"/>
    <w:rsid w:val="00FE124F"/>
    <w:rsid w:val="00FE1277"/>
    <w:rsid w:val="00FE1712"/>
    <w:rsid w:val="00FE1B52"/>
    <w:rsid w:val="00FE246F"/>
    <w:rsid w:val="00FE2C21"/>
    <w:rsid w:val="00FE2F73"/>
    <w:rsid w:val="00FE40DB"/>
    <w:rsid w:val="00FE4185"/>
    <w:rsid w:val="00FE4434"/>
    <w:rsid w:val="00FE444A"/>
    <w:rsid w:val="00FE4475"/>
    <w:rsid w:val="00FE4704"/>
    <w:rsid w:val="00FE473A"/>
    <w:rsid w:val="00FE4B09"/>
    <w:rsid w:val="00FE4C17"/>
    <w:rsid w:val="00FE5066"/>
    <w:rsid w:val="00FE54BA"/>
    <w:rsid w:val="00FE5616"/>
    <w:rsid w:val="00FE56AE"/>
    <w:rsid w:val="00FE585C"/>
    <w:rsid w:val="00FE5918"/>
    <w:rsid w:val="00FE5FBE"/>
    <w:rsid w:val="00FE5FC3"/>
    <w:rsid w:val="00FE5FF4"/>
    <w:rsid w:val="00FE604D"/>
    <w:rsid w:val="00FE6339"/>
    <w:rsid w:val="00FE63EE"/>
    <w:rsid w:val="00FE66B0"/>
    <w:rsid w:val="00FE6733"/>
    <w:rsid w:val="00FE6847"/>
    <w:rsid w:val="00FE68F8"/>
    <w:rsid w:val="00FE6E1A"/>
    <w:rsid w:val="00FE7424"/>
    <w:rsid w:val="00FE74DD"/>
    <w:rsid w:val="00FE764C"/>
    <w:rsid w:val="00FE7E5F"/>
    <w:rsid w:val="00FF00A0"/>
    <w:rsid w:val="00FF024D"/>
    <w:rsid w:val="00FF02AB"/>
    <w:rsid w:val="00FF03B4"/>
    <w:rsid w:val="00FF0E16"/>
    <w:rsid w:val="00FF0F28"/>
    <w:rsid w:val="00FF17D6"/>
    <w:rsid w:val="00FF1B99"/>
    <w:rsid w:val="00FF228D"/>
    <w:rsid w:val="00FF2368"/>
    <w:rsid w:val="00FF246E"/>
    <w:rsid w:val="00FF25EA"/>
    <w:rsid w:val="00FF2690"/>
    <w:rsid w:val="00FF2B5B"/>
    <w:rsid w:val="00FF2B5E"/>
    <w:rsid w:val="00FF2D02"/>
    <w:rsid w:val="00FF2FE1"/>
    <w:rsid w:val="00FF3258"/>
    <w:rsid w:val="00FF364F"/>
    <w:rsid w:val="00FF3793"/>
    <w:rsid w:val="00FF389B"/>
    <w:rsid w:val="00FF39B2"/>
    <w:rsid w:val="00FF4420"/>
    <w:rsid w:val="00FF48C7"/>
    <w:rsid w:val="00FF4A75"/>
    <w:rsid w:val="00FF5516"/>
    <w:rsid w:val="00FF5631"/>
    <w:rsid w:val="00FF5AED"/>
    <w:rsid w:val="00FF6017"/>
    <w:rsid w:val="00FF6695"/>
    <w:rsid w:val="00FF6ADF"/>
    <w:rsid w:val="00FF6B3D"/>
    <w:rsid w:val="00FF72C6"/>
    <w:rsid w:val="00FF73B0"/>
    <w:rsid w:val="00FF74C9"/>
    <w:rsid w:val="00FF7A7B"/>
    <w:rsid w:val="00FF7DF8"/>
    <w:rsid w:val="011717D4"/>
    <w:rsid w:val="01350F05"/>
    <w:rsid w:val="017A03BC"/>
    <w:rsid w:val="024F220C"/>
    <w:rsid w:val="027A4968"/>
    <w:rsid w:val="029C63E5"/>
    <w:rsid w:val="02A05CC3"/>
    <w:rsid w:val="02D339BA"/>
    <w:rsid w:val="03415F8F"/>
    <w:rsid w:val="03875DD5"/>
    <w:rsid w:val="03B07F19"/>
    <w:rsid w:val="03C60983"/>
    <w:rsid w:val="03E82C80"/>
    <w:rsid w:val="04381ABF"/>
    <w:rsid w:val="04794DA1"/>
    <w:rsid w:val="054B3F44"/>
    <w:rsid w:val="059E5797"/>
    <w:rsid w:val="05BE530A"/>
    <w:rsid w:val="06224D57"/>
    <w:rsid w:val="06445594"/>
    <w:rsid w:val="06904AF8"/>
    <w:rsid w:val="06BA3F1D"/>
    <w:rsid w:val="06D5443B"/>
    <w:rsid w:val="06D62E49"/>
    <w:rsid w:val="071334BE"/>
    <w:rsid w:val="072856B5"/>
    <w:rsid w:val="073C44E5"/>
    <w:rsid w:val="07895870"/>
    <w:rsid w:val="07A37856"/>
    <w:rsid w:val="07DD014B"/>
    <w:rsid w:val="08205282"/>
    <w:rsid w:val="08600942"/>
    <w:rsid w:val="08A37175"/>
    <w:rsid w:val="090D5127"/>
    <w:rsid w:val="091A5654"/>
    <w:rsid w:val="093A36FD"/>
    <w:rsid w:val="0958650E"/>
    <w:rsid w:val="09807C01"/>
    <w:rsid w:val="09AB17C8"/>
    <w:rsid w:val="09D25401"/>
    <w:rsid w:val="0A101CDC"/>
    <w:rsid w:val="0A6E3333"/>
    <w:rsid w:val="0B335DF2"/>
    <w:rsid w:val="0B5D0AB8"/>
    <w:rsid w:val="0B90078A"/>
    <w:rsid w:val="0BB35B50"/>
    <w:rsid w:val="0C2E3717"/>
    <w:rsid w:val="0C5A076E"/>
    <w:rsid w:val="0CA776E1"/>
    <w:rsid w:val="0CE70734"/>
    <w:rsid w:val="0CF07DCA"/>
    <w:rsid w:val="0D392794"/>
    <w:rsid w:val="0D590943"/>
    <w:rsid w:val="0D6A244C"/>
    <w:rsid w:val="0D8070A6"/>
    <w:rsid w:val="0D9F73AB"/>
    <w:rsid w:val="0DB358E6"/>
    <w:rsid w:val="0DC73B96"/>
    <w:rsid w:val="0DF93F4A"/>
    <w:rsid w:val="0E13460F"/>
    <w:rsid w:val="0E36168C"/>
    <w:rsid w:val="0F753F02"/>
    <w:rsid w:val="0F840DEF"/>
    <w:rsid w:val="0FC3411D"/>
    <w:rsid w:val="0FE4409C"/>
    <w:rsid w:val="10156CDA"/>
    <w:rsid w:val="10523C76"/>
    <w:rsid w:val="10A74A2A"/>
    <w:rsid w:val="10BE04DE"/>
    <w:rsid w:val="112A40DD"/>
    <w:rsid w:val="112F3AA2"/>
    <w:rsid w:val="11454F64"/>
    <w:rsid w:val="114B4E7D"/>
    <w:rsid w:val="1173286D"/>
    <w:rsid w:val="117548B9"/>
    <w:rsid w:val="117F7DFB"/>
    <w:rsid w:val="118248D6"/>
    <w:rsid w:val="11965E62"/>
    <w:rsid w:val="11A076C1"/>
    <w:rsid w:val="11D3053B"/>
    <w:rsid w:val="11EE2500"/>
    <w:rsid w:val="11F1782C"/>
    <w:rsid w:val="11F541F4"/>
    <w:rsid w:val="122B3102"/>
    <w:rsid w:val="124B0F88"/>
    <w:rsid w:val="12BE7027"/>
    <w:rsid w:val="12E33AEF"/>
    <w:rsid w:val="12E73683"/>
    <w:rsid w:val="12E97223"/>
    <w:rsid w:val="13213949"/>
    <w:rsid w:val="133637E5"/>
    <w:rsid w:val="135A189A"/>
    <w:rsid w:val="139C6D4D"/>
    <w:rsid w:val="13A12C56"/>
    <w:rsid w:val="140D35B3"/>
    <w:rsid w:val="1456485A"/>
    <w:rsid w:val="14733F9E"/>
    <w:rsid w:val="14BA2536"/>
    <w:rsid w:val="14E3471C"/>
    <w:rsid w:val="14ED3CAA"/>
    <w:rsid w:val="154279F3"/>
    <w:rsid w:val="158457C7"/>
    <w:rsid w:val="15A15A2E"/>
    <w:rsid w:val="15D35C1E"/>
    <w:rsid w:val="15EC1001"/>
    <w:rsid w:val="16225AA5"/>
    <w:rsid w:val="16444891"/>
    <w:rsid w:val="166E6F87"/>
    <w:rsid w:val="16A447D1"/>
    <w:rsid w:val="16D65178"/>
    <w:rsid w:val="16DD7365"/>
    <w:rsid w:val="175704FA"/>
    <w:rsid w:val="177C24A1"/>
    <w:rsid w:val="178C29BE"/>
    <w:rsid w:val="17912326"/>
    <w:rsid w:val="17AA588B"/>
    <w:rsid w:val="17B02251"/>
    <w:rsid w:val="17B447FB"/>
    <w:rsid w:val="17C27740"/>
    <w:rsid w:val="18A05D0F"/>
    <w:rsid w:val="19EC799A"/>
    <w:rsid w:val="1A1B27A6"/>
    <w:rsid w:val="1A3A21C7"/>
    <w:rsid w:val="1A6C694B"/>
    <w:rsid w:val="1A9D70AF"/>
    <w:rsid w:val="1ACB2AD9"/>
    <w:rsid w:val="1AE1793E"/>
    <w:rsid w:val="1AE907B9"/>
    <w:rsid w:val="1B1D76D5"/>
    <w:rsid w:val="1B716FBE"/>
    <w:rsid w:val="1BD87A82"/>
    <w:rsid w:val="1C295182"/>
    <w:rsid w:val="1C330513"/>
    <w:rsid w:val="1CA40C0C"/>
    <w:rsid w:val="1CAF572E"/>
    <w:rsid w:val="1CBE55A9"/>
    <w:rsid w:val="1CC94E0F"/>
    <w:rsid w:val="1D851959"/>
    <w:rsid w:val="1DB1420E"/>
    <w:rsid w:val="1DB66F25"/>
    <w:rsid w:val="1DF5133D"/>
    <w:rsid w:val="1E0B2D10"/>
    <w:rsid w:val="1E242291"/>
    <w:rsid w:val="1E250ED4"/>
    <w:rsid w:val="1E2D292E"/>
    <w:rsid w:val="1E95583F"/>
    <w:rsid w:val="1E9E2264"/>
    <w:rsid w:val="1F0C7EA8"/>
    <w:rsid w:val="1F163004"/>
    <w:rsid w:val="1F310794"/>
    <w:rsid w:val="1F3B5DC8"/>
    <w:rsid w:val="1F500AD9"/>
    <w:rsid w:val="1F7C0068"/>
    <w:rsid w:val="1F8B0232"/>
    <w:rsid w:val="1F9E73C3"/>
    <w:rsid w:val="1FE231EF"/>
    <w:rsid w:val="20016820"/>
    <w:rsid w:val="20255648"/>
    <w:rsid w:val="20393A04"/>
    <w:rsid w:val="20475C1D"/>
    <w:rsid w:val="204C3FC8"/>
    <w:rsid w:val="209C0971"/>
    <w:rsid w:val="20DA7A20"/>
    <w:rsid w:val="20EF603B"/>
    <w:rsid w:val="20F24D70"/>
    <w:rsid w:val="2140389C"/>
    <w:rsid w:val="215D48D9"/>
    <w:rsid w:val="21773FB1"/>
    <w:rsid w:val="2181160A"/>
    <w:rsid w:val="21834F38"/>
    <w:rsid w:val="21EF6203"/>
    <w:rsid w:val="21F6322E"/>
    <w:rsid w:val="2205757A"/>
    <w:rsid w:val="221C2B7C"/>
    <w:rsid w:val="22312D08"/>
    <w:rsid w:val="2299235B"/>
    <w:rsid w:val="22E83388"/>
    <w:rsid w:val="22F729B0"/>
    <w:rsid w:val="23171795"/>
    <w:rsid w:val="23C8096F"/>
    <w:rsid w:val="23F617DA"/>
    <w:rsid w:val="24C8352A"/>
    <w:rsid w:val="24CB1B3D"/>
    <w:rsid w:val="250805ED"/>
    <w:rsid w:val="25344D47"/>
    <w:rsid w:val="25414B44"/>
    <w:rsid w:val="25676F85"/>
    <w:rsid w:val="25A87D57"/>
    <w:rsid w:val="25F229D6"/>
    <w:rsid w:val="26067444"/>
    <w:rsid w:val="26951C84"/>
    <w:rsid w:val="270F0F02"/>
    <w:rsid w:val="2711073A"/>
    <w:rsid w:val="273D246D"/>
    <w:rsid w:val="278D2823"/>
    <w:rsid w:val="27F34FF9"/>
    <w:rsid w:val="28310B6C"/>
    <w:rsid w:val="284F7D0C"/>
    <w:rsid w:val="28CF5AD0"/>
    <w:rsid w:val="28D94F28"/>
    <w:rsid w:val="294F216C"/>
    <w:rsid w:val="298A075D"/>
    <w:rsid w:val="29A45BF4"/>
    <w:rsid w:val="29EB4E3F"/>
    <w:rsid w:val="2A1F03AE"/>
    <w:rsid w:val="2A470873"/>
    <w:rsid w:val="2A6C26DD"/>
    <w:rsid w:val="2A7251AD"/>
    <w:rsid w:val="2A774B34"/>
    <w:rsid w:val="2AE00CCD"/>
    <w:rsid w:val="2AF376D5"/>
    <w:rsid w:val="2B2318D2"/>
    <w:rsid w:val="2B692DDB"/>
    <w:rsid w:val="2BC66ACD"/>
    <w:rsid w:val="2BF1557A"/>
    <w:rsid w:val="2C882EBC"/>
    <w:rsid w:val="2C997E84"/>
    <w:rsid w:val="2CD22972"/>
    <w:rsid w:val="2CF67E0C"/>
    <w:rsid w:val="2D1A0D84"/>
    <w:rsid w:val="2D1D2CBE"/>
    <w:rsid w:val="2D5A10B8"/>
    <w:rsid w:val="2D7C43B9"/>
    <w:rsid w:val="2D993645"/>
    <w:rsid w:val="2DA101FE"/>
    <w:rsid w:val="2DC000D1"/>
    <w:rsid w:val="2DC831F6"/>
    <w:rsid w:val="2DD805B7"/>
    <w:rsid w:val="2E7923D1"/>
    <w:rsid w:val="2E8A4F8E"/>
    <w:rsid w:val="2EF16EEF"/>
    <w:rsid w:val="2F124565"/>
    <w:rsid w:val="2F137867"/>
    <w:rsid w:val="2F29245C"/>
    <w:rsid w:val="2F6345AE"/>
    <w:rsid w:val="2F744171"/>
    <w:rsid w:val="2FA329A4"/>
    <w:rsid w:val="304B1A4B"/>
    <w:rsid w:val="307C0328"/>
    <w:rsid w:val="30A4482D"/>
    <w:rsid w:val="30E36CD9"/>
    <w:rsid w:val="30FB6531"/>
    <w:rsid w:val="30FD1783"/>
    <w:rsid w:val="3131671F"/>
    <w:rsid w:val="31330602"/>
    <w:rsid w:val="3182412C"/>
    <w:rsid w:val="3189693F"/>
    <w:rsid w:val="31A949F8"/>
    <w:rsid w:val="32A13EDC"/>
    <w:rsid w:val="32AB67C9"/>
    <w:rsid w:val="32E20BE9"/>
    <w:rsid w:val="333879B9"/>
    <w:rsid w:val="336478AC"/>
    <w:rsid w:val="33767867"/>
    <w:rsid w:val="33AE7BBC"/>
    <w:rsid w:val="33CD5E17"/>
    <w:rsid w:val="35D854A9"/>
    <w:rsid w:val="35E919F5"/>
    <w:rsid w:val="36A95806"/>
    <w:rsid w:val="37316895"/>
    <w:rsid w:val="3735428E"/>
    <w:rsid w:val="3747287F"/>
    <w:rsid w:val="375F5B65"/>
    <w:rsid w:val="37911591"/>
    <w:rsid w:val="37A60775"/>
    <w:rsid w:val="37F838DC"/>
    <w:rsid w:val="37FE47E2"/>
    <w:rsid w:val="38231C8E"/>
    <w:rsid w:val="382B5517"/>
    <w:rsid w:val="38477494"/>
    <w:rsid w:val="386347B0"/>
    <w:rsid w:val="387F0CDD"/>
    <w:rsid w:val="38F72E54"/>
    <w:rsid w:val="3924256B"/>
    <w:rsid w:val="393363CF"/>
    <w:rsid w:val="397778E6"/>
    <w:rsid w:val="39974689"/>
    <w:rsid w:val="399F1D1D"/>
    <w:rsid w:val="39E716A5"/>
    <w:rsid w:val="3A024E07"/>
    <w:rsid w:val="3A151C0D"/>
    <w:rsid w:val="3A197B6B"/>
    <w:rsid w:val="3A4B4581"/>
    <w:rsid w:val="3A531889"/>
    <w:rsid w:val="3A835E9F"/>
    <w:rsid w:val="3ABA6BB8"/>
    <w:rsid w:val="3AEF4C0C"/>
    <w:rsid w:val="3C3851E8"/>
    <w:rsid w:val="3C452DE6"/>
    <w:rsid w:val="3CE0345B"/>
    <w:rsid w:val="3D023F19"/>
    <w:rsid w:val="3D67037D"/>
    <w:rsid w:val="3D694036"/>
    <w:rsid w:val="3DAD380A"/>
    <w:rsid w:val="3E452EA9"/>
    <w:rsid w:val="3E6748EC"/>
    <w:rsid w:val="3E6863AF"/>
    <w:rsid w:val="3E7F6BD2"/>
    <w:rsid w:val="3ECF3F11"/>
    <w:rsid w:val="3EE417EE"/>
    <w:rsid w:val="3F6139BA"/>
    <w:rsid w:val="3FBB1FAD"/>
    <w:rsid w:val="3FDC5BFA"/>
    <w:rsid w:val="3FE46119"/>
    <w:rsid w:val="4020784E"/>
    <w:rsid w:val="403E68F0"/>
    <w:rsid w:val="409C6425"/>
    <w:rsid w:val="415C0C4D"/>
    <w:rsid w:val="41824BEA"/>
    <w:rsid w:val="422C7848"/>
    <w:rsid w:val="42481BD8"/>
    <w:rsid w:val="42600D7E"/>
    <w:rsid w:val="42692CA1"/>
    <w:rsid w:val="42723647"/>
    <w:rsid w:val="441902CD"/>
    <w:rsid w:val="44231E71"/>
    <w:rsid w:val="44520575"/>
    <w:rsid w:val="449C3B5C"/>
    <w:rsid w:val="44AD70C2"/>
    <w:rsid w:val="44D537CC"/>
    <w:rsid w:val="45325BE0"/>
    <w:rsid w:val="454B2401"/>
    <w:rsid w:val="45891870"/>
    <w:rsid w:val="45903AA9"/>
    <w:rsid w:val="46377B77"/>
    <w:rsid w:val="46997ADD"/>
    <w:rsid w:val="46B13ED1"/>
    <w:rsid w:val="46B742A3"/>
    <w:rsid w:val="471243AE"/>
    <w:rsid w:val="4737009D"/>
    <w:rsid w:val="47837767"/>
    <w:rsid w:val="478968A5"/>
    <w:rsid w:val="478F327E"/>
    <w:rsid w:val="47BA3A0F"/>
    <w:rsid w:val="47C34E97"/>
    <w:rsid w:val="47F155C2"/>
    <w:rsid w:val="48054AF2"/>
    <w:rsid w:val="480707CD"/>
    <w:rsid w:val="483D35B6"/>
    <w:rsid w:val="487D7D16"/>
    <w:rsid w:val="487E28D9"/>
    <w:rsid w:val="48977821"/>
    <w:rsid w:val="489965B7"/>
    <w:rsid w:val="48BF6248"/>
    <w:rsid w:val="491F2435"/>
    <w:rsid w:val="496E3096"/>
    <w:rsid w:val="49804A0D"/>
    <w:rsid w:val="49AC131C"/>
    <w:rsid w:val="49BA2867"/>
    <w:rsid w:val="49C51102"/>
    <w:rsid w:val="49E6144F"/>
    <w:rsid w:val="49FD1F87"/>
    <w:rsid w:val="4A0A5C73"/>
    <w:rsid w:val="4A5824B9"/>
    <w:rsid w:val="4ABB44CF"/>
    <w:rsid w:val="4AE376BB"/>
    <w:rsid w:val="4AF26048"/>
    <w:rsid w:val="4B2045AD"/>
    <w:rsid w:val="4B3A73E8"/>
    <w:rsid w:val="4B5346B3"/>
    <w:rsid w:val="4B577183"/>
    <w:rsid w:val="4BC07115"/>
    <w:rsid w:val="4BC94048"/>
    <w:rsid w:val="4BFA678B"/>
    <w:rsid w:val="4C394AC6"/>
    <w:rsid w:val="4C456BB5"/>
    <w:rsid w:val="4C714A9A"/>
    <w:rsid w:val="4C8407C9"/>
    <w:rsid w:val="4C9A4590"/>
    <w:rsid w:val="4CBC683E"/>
    <w:rsid w:val="4CCA4D86"/>
    <w:rsid w:val="4D3F537E"/>
    <w:rsid w:val="4D425C1D"/>
    <w:rsid w:val="4D466DF8"/>
    <w:rsid w:val="4D687FD4"/>
    <w:rsid w:val="4D7C58C3"/>
    <w:rsid w:val="4DB13108"/>
    <w:rsid w:val="4DB62947"/>
    <w:rsid w:val="4E044615"/>
    <w:rsid w:val="4E857BBA"/>
    <w:rsid w:val="4E96264A"/>
    <w:rsid w:val="4EA25E26"/>
    <w:rsid w:val="4EF21A1C"/>
    <w:rsid w:val="4EFF2B9F"/>
    <w:rsid w:val="4F04019D"/>
    <w:rsid w:val="4F095A3B"/>
    <w:rsid w:val="4F0D6497"/>
    <w:rsid w:val="4F7D6307"/>
    <w:rsid w:val="50366D41"/>
    <w:rsid w:val="50405B5A"/>
    <w:rsid w:val="505B43A6"/>
    <w:rsid w:val="506A2856"/>
    <w:rsid w:val="50877938"/>
    <w:rsid w:val="50974BF3"/>
    <w:rsid w:val="50B7728B"/>
    <w:rsid w:val="50BC5616"/>
    <w:rsid w:val="50BF3112"/>
    <w:rsid w:val="51454DA9"/>
    <w:rsid w:val="516117FC"/>
    <w:rsid w:val="51661E52"/>
    <w:rsid w:val="517C12FC"/>
    <w:rsid w:val="51A61380"/>
    <w:rsid w:val="51BB7346"/>
    <w:rsid w:val="51E46347"/>
    <w:rsid w:val="52324110"/>
    <w:rsid w:val="5258561A"/>
    <w:rsid w:val="52CB72BC"/>
    <w:rsid w:val="53036115"/>
    <w:rsid w:val="53AE7DF0"/>
    <w:rsid w:val="53E85426"/>
    <w:rsid w:val="53FB437B"/>
    <w:rsid w:val="540E478F"/>
    <w:rsid w:val="54775F32"/>
    <w:rsid w:val="549178A0"/>
    <w:rsid w:val="54AD1E89"/>
    <w:rsid w:val="55205F72"/>
    <w:rsid w:val="55517DE1"/>
    <w:rsid w:val="55E86E1C"/>
    <w:rsid w:val="561842CF"/>
    <w:rsid w:val="56844D5E"/>
    <w:rsid w:val="568C30C2"/>
    <w:rsid w:val="56B26287"/>
    <w:rsid w:val="56FB3A32"/>
    <w:rsid w:val="570C2822"/>
    <w:rsid w:val="5710082F"/>
    <w:rsid w:val="57145FB2"/>
    <w:rsid w:val="57197144"/>
    <w:rsid w:val="573B5613"/>
    <w:rsid w:val="57F5454A"/>
    <w:rsid w:val="58184FBB"/>
    <w:rsid w:val="581E092A"/>
    <w:rsid w:val="586012BE"/>
    <w:rsid w:val="58612E6F"/>
    <w:rsid w:val="58980D2A"/>
    <w:rsid w:val="589E3DDA"/>
    <w:rsid w:val="58DD2248"/>
    <w:rsid w:val="594C6D43"/>
    <w:rsid w:val="59740D92"/>
    <w:rsid w:val="5984012E"/>
    <w:rsid w:val="5A1D6BD3"/>
    <w:rsid w:val="5A1E62C1"/>
    <w:rsid w:val="5AA420DA"/>
    <w:rsid w:val="5ACE5F4B"/>
    <w:rsid w:val="5AEB0445"/>
    <w:rsid w:val="5B684D3B"/>
    <w:rsid w:val="5B6B179D"/>
    <w:rsid w:val="5B6F4756"/>
    <w:rsid w:val="5BA84D28"/>
    <w:rsid w:val="5BBC013D"/>
    <w:rsid w:val="5BCF2DAA"/>
    <w:rsid w:val="5BE143CA"/>
    <w:rsid w:val="5BF424F9"/>
    <w:rsid w:val="5BF54885"/>
    <w:rsid w:val="5C341059"/>
    <w:rsid w:val="5C36435A"/>
    <w:rsid w:val="5C974CE1"/>
    <w:rsid w:val="5CA74BD8"/>
    <w:rsid w:val="5CF91FD1"/>
    <w:rsid w:val="5D292458"/>
    <w:rsid w:val="5DBB43E6"/>
    <w:rsid w:val="5E40048F"/>
    <w:rsid w:val="5E4238AC"/>
    <w:rsid w:val="5F8B41DC"/>
    <w:rsid w:val="5FD070EF"/>
    <w:rsid w:val="5FEE0717"/>
    <w:rsid w:val="60000E1E"/>
    <w:rsid w:val="601913C6"/>
    <w:rsid w:val="60247A72"/>
    <w:rsid w:val="604E5E1C"/>
    <w:rsid w:val="60645BB3"/>
    <w:rsid w:val="60E637EF"/>
    <w:rsid w:val="60F26FE3"/>
    <w:rsid w:val="610831F3"/>
    <w:rsid w:val="611742AF"/>
    <w:rsid w:val="611F5B15"/>
    <w:rsid w:val="612215E7"/>
    <w:rsid w:val="61A00CE7"/>
    <w:rsid w:val="622D46BF"/>
    <w:rsid w:val="628740DB"/>
    <w:rsid w:val="62C1029B"/>
    <w:rsid w:val="630E6504"/>
    <w:rsid w:val="631F57B4"/>
    <w:rsid w:val="632B2074"/>
    <w:rsid w:val="63635144"/>
    <w:rsid w:val="636D49D0"/>
    <w:rsid w:val="640544CE"/>
    <w:rsid w:val="642807D3"/>
    <w:rsid w:val="64365B11"/>
    <w:rsid w:val="649E7049"/>
    <w:rsid w:val="64BE1210"/>
    <w:rsid w:val="64F43437"/>
    <w:rsid w:val="65026194"/>
    <w:rsid w:val="652E57C5"/>
    <w:rsid w:val="65584660"/>
    <w:rsid w:val="656601FC"/>
    <w:rsid w:val="65AD798B"/>
    <w:rsid w:val="65D14824"/>
    <w:rsid w:val="65E21624"/>
    <w:rsid w:val="666567EE"/>
    <w:rsid w:val="6676413A"/>
    <w:rsid w:val="66B36B69"/>
    <w:rsid w:val="673A19EB"/>
    <w:rsid w:val="674513AB"/>
    <w:rsid w:val="674E655B"/>
    <w:rsid w:val="676407A8"/>
    <w:rsid w:val="6766795E"/>
    <w:rsid w:val="67670AAF"/>
    <w:rsid w:val="678028B0"/>
    <w:rsid w:val="67834A54"/>
    <w:rsid w:val="67B17ABE"/>
    <w:rsid w:val="67CC6B22"/>
    <w:rsid w:val="67E172E9"/>
    <w:rsid w:val="68093D1D"/>
    <w:rsid w:val="68455033"/>
    <w:rsid w:val="6850184C"/>
    <w:rsid w:val="687B7718"/>
    <w:rsid w:val="68965945"/>
    <w:rsid w:val="689A756C"/>
    <w:rsid w:val="689E439B"/>
    <w:rsid w:val="68EE6E45"/>
    <w:rsid w:val="68F7356B"/>
    <w:rsid w:val="68FC22D0"/>
    <w:rsid w:val="693F2612"/>
    <w:rsid w:val="694E2F38"/>
    <w:rsid w:val="69626BE8"/>
    <w:rsid w:val="69E36407"/>
    <w:rsid w:val="6A481F5B"/>
    <w:rsid w:val="6A8448E6"/>
    <w:rsid w:val="6AA769A9"/>
    <w:rsid w:val="6AAC1764"/>
    <w:rsid w:val="6AB02D81"/>
    <w:rsid w:val="6ACB17DF"/>
    <w:rsid w:val="6B294ABC"/>
    <w:rsid w:val="6B2B5325"/>
    <w:rsid w:val="6B4368BA"/>
    <w:rsid w:val="6B49710E"/>
    <w:rsid w:val="6B9F62D7"/>
    <w:rsid w:val="6BD0502E"/>
    <w:rsid w:val="6BDE60A6"/>
    <w:rsid w:val="6BE8695C"/>
    <w:rsid w:val="6C2B198D"/>
    <w:rsid w:val="6C5B191E"/>
    <w:rsid w:val="6C6C2253"/>
    <w:rsid w:val="6CAF2A82"/>
    <w:rsid w:val="6CDE5ABB"/>
    <w:rsid w:val="6D246CFB"/>
    <w:rsid w:val="6D5C3B25"/>
    <w:rsid w:val="6D8C1D86"/>
    <w:rsid w:val="6D9C4822"/>
    <w:rsid w:val="6DB54C34"/>
    <w:rsid w:val="6DDD4BC5"/>
    <w:rsid w:val="6E115738"/>
    <w:rsid w:val="6E6379CB"/>
    <w:rsid w:val="6E6665ED"/>
    <w:rsid w:val="6E7A0DD8"/>
    <w:rsid w:val="6EC87E62"/>
    <w:rsid w:val="6EF02E1E"/>
    <w:rsid w:val="6F1F40B9"/>
    <w:rsid w:val="6F3937B7"/>
    <w:rsid w:val="6F6D36BA"/>
    <w:rsid w:val="700B63C7"/>
    <w:rsid w:val="7016350F"/>
    <w:rsid w:val="702E3A63"/>
    <w:rsid w:val="7098237B"/>
    <w:rsid w:val="70B566FA"/>
    <w:rsid w:val="70C907BD"/>
    <w:rsid w:val="70D03798"/>
    <w:rsid w:val="70E37333"/>
    <w:rsid w:val="70F86150"/>
    <w:rsid w:val="712F2270"/>
    <w:rsid w:val="71345C32"/>
    <w:rsid w:val="713A02ED"/>
    <w:rsid w:val="713D375D"/>
    <w:rsid w:val="719535B3"/>
    <w:rsid w:val="71AC053A"/>
    <w:rsid w:val="720F652F"/>
    <w:rsid w:val="72C31D74"/>
    <w:rsid w:val="72C850B9"/>
    <w:rsid w:val="73187E00"/>
    <w:rsid w:val="732F4C6B"/>
    <w:rsid w:val="733D2F91"/>
    <w:rsid w:val="734526A6"/>
    <w:rsid w:val="735C43C0"/>
    <w:rsid w:val="73882901"/>
    <w:rsid w:val="739D1B88"/>
    <w:rsid w:val="73A17636"/>
    <w:rsid w:val="73C459A7"/>
    <w:rsid w:val="73FF4D9B"/>
    <w:rsid w:val="74086415"/>
    <w:rsid w:val="74131654"/>
    <w:rsid w:val="742E0DCF"/>
    <w:rsid w:val="743B7C35"/>
    <w:rsid w:val="745E44DF"/>
    <w:rsid w:val="74A573D8"/>
    <w:rsid w:val="74FE49F6"/>
    <w:rsid w:val="754223C7"/>
    <w:rsid w:val="75650B09"/>
    <w:rsid w:val="75665494"/>
    <w:rsid w:val="759237D8"/>
    <w:rsid w:val="75963A5E"/>
    <w:rsid w:val="75B75454"/>
    <w:rsid w:val="75BE1777"/>
    <w:rsid w:val="75E674DB"/>
    <w:rsid w:val="75F270FA"/>
    <w:rsid w:val="763164DF"/>
    <w:rsid w:val="7635159D"/>
    <w:rsid w:val="766A1FEC"/>
    <w:rsid w:val="772D18D5"/>
    <w:rsid w:val="772E43AB"/>
    <w:rsid w:val="776D564B"/>
    <w:rsid w:val="77831C41"/>
    <w:rsid w:val="77B06373"/>
    <w:rsid w:val="77B25282"/>
    <w:rsid w:val="77EC5602"/>
    <w:rsid w:val="780F6A7C"/>
    <w:rsid w:val="78250C89"/>
    <w:rsid w:val="78480018"/>
    <w:rsid w:val="788220B9"/>
    <w:rsid w:val="789B4969"/>
    <w:rsid w:val="78A2172F"/>
    <w:rsid w:val="78BD3E60"/>
    <w:rsid w:val="78CD4212"/>
    <w:rsid w:val="79495028"/>
    <w:rsid w:val="79674F78"/>
    <w:rsid w:val="796F6693"/>
    <w:rsid w:val="79836869"/>
    <w:rsid w:val="79893DE0"/>
    <w:rsid w:val="79B74093"/>
    <w:rsid w:val="79FC2AAB"/>
    <w:rsid w:val="79FD5F45"/>
    <w:rsid w:val="7A05447C"/>
    <w:rsid w:val="7A18756C"/>
    <w:rsid w:val="7A696499"/>
    <w:rsid w:val="7A6E2C6D"/>
    <w:rsid w:val="7A73253A"/>
    <w:rsid w:val="7AB56F69"/>
    <w:rsid w:val="7AB86CF9"/>
    <w:rsid w:val="7AD064AD"/>
    <w:rsid w:val="7AD93122"/>
    <w:rsid w:val="7AE85807"/>
    <w:rsid w:val="7B137A17"/>
    <w:rsid w:val="7B1A0F82"/>
    <w:rsid w:val="7B6D2231"/>
    <w:rsid w:val="7B9F0A5F"/>
    <w:rsid w:val="7BAE79AE"/>
    <w:rsid w:val="7BE3293D"/>
    <w:rsid w:val="7C264CF7"/>
    <w:rsid w:val="7C272099"/>
    <w:rsid w:val="7C335DE0"/>
    <w:rsid w:val="7C34215F"/>
    <w:rsid w:val="7C3A1177"/>
    <w:rsid w:val="7C464945"/>
    <w:rsid w:val="7C502EA8"/>
    <w:rsid w:val="7C901483"/>
    <w:rsid w:val="7C99681F"/>
    <w:rsid w:val="7CC2652D"/>
    <w:rsid w:val="7CC92506"/>
    <w:rsid w:val="7D4775DF"/>
    <w:rsid w:val="7DF81261"/>
    <w:rsid w:val="7E492322"/>
    <w:rsid w:val="7E714ABF"/>
    <w:rsid w:val="7EF2049B"/>
    <w:rsid w:val="7F1E5940"/>
    <w:rsid w:val="7F2450E2"/>
    <w:rsid w:val="7F435582"/>
    <w:rsid w:val="7F7D7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1"/>
    <w:qFormat/>
    <w:uiPriority w:val="0"/>
    <w:pPr>
      <w:keepNext/>
      <w:spacing w:line="360" w:lineRule="auto"/>
      <w:outlineLvl w:val="0"/>
    </w:pPr>
    <w:rPr>
      <w:sz w:val="28"/>
      <w:lang w:val="zh-CN" w:eastAsia="zh-CN"/>
    </w:rPr>
  </w:style>
  <w:style w:type="paragraph" w:styleId="4">
    <w:name w:val="heading 2"/>
    <w:basedOn w:val="1"/>
    <w:next w:val="1"/>
    <w:link w:val="64"/>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link w:val="57"/>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3">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header"/>
    <w:basedOn w:val="1"/>
    <w:next w:val="1"/>
    <w:link w:val="53"/>
    <w:qFormat/>
    <w:uiPriority w:val="0"/>
    <w:pPr>
      <w:tabs>
        <w:tab w:val="center" w:pos="4153"/>
        <w:tab w:val="right" w:pos="8306"/>
      </w:tabs>
      <w:snapToGrid w:val="0"/>
      <w:jc w:val="center"/>
    </w:pPr>
    <w:rPr>
      <w:sz w:val="18"/>
      <w:szCs w:val="18"/>
      <w:lang w:val="zh-CN" w:eastAsia="zh-CN"/>
    </w:rPr>
  </w:style>
  <w:style w:type="paragraph" w:styleId="7">
    <w:name w:val="Normal Indent"/>
    <w:basedOn w:val="1"/>
    <w:link w:val="77"/>
    <w:qFormat/>
    <w:uiPriority w:val="99"/>
    <w:pPr>
      <w:adjustRightInd w:val="0"/>
      <w:snapToGrid w:val="0"/>
      <w:spacing w:line="312" w:lineRule="auto"/>
      <w:ind w:firstLine="500" w:firstLineChars="200"/>
    </w:pPr>
    <w:rPr>
      <w:kern w:val="0"/>
      <w:sz w:val="24"/>
      <w:szCs w:val="20"/>
      <w:lang w:val="zh-CN" w:eastAsia="zh-CN"/>
    </w:rPr>
  </w:style>
  <w:style w:type="paragraph" w:styleId="8">
    <w:name w:val="caption"/>
    <w:basedOn w:val="1"/>
    <w:next w:val="1"/>
    <w:link w:val="74"/>
    <w:qFormat/>
    <w:uiPriority w:val="0"/>
    <w:pPr>
      <w:jc w:val="center"/>
    </w:pPr>
    <w:rPr>
      <w:b/>
      <w:szCs w:val="20"/>
      <w:lang w:val="zh-CN" w:eastAsia="zh-CN"/>
    </w:rPr>
  </w:style>
  <w:style w:type="paragraph" w:styleId="9">
    <w:name w:val="Document Map"/>
    <w:basedOn w:val="1"/>
    <w:semiHidden/>
    <w:qFormat/>
    <w:uiPriority w:val="0"/>
    <w:pPr>
      <w:shd w:val="clear" w:color="auto" w:fill="000080"/>
    </w:pPr>
  </w:style>
  <w:style w:type="paragraph" w:styleId="10">
    <w:name w:val="annotation text"/>
    <w:basedOn w:val="1"/>
    <w:link w:val="59"/>
    <w:qFormat/>
    <w:uiPriority w:val="0"/>
    <w:pPr>
      <w:jc w:val="left"/>
    </w:pPr>
    <w:rPr>
      <w:lang w:val="zh-CN" w:eastAsia="zh-CN"/>
    </w:rPr>
  </w:style>
  <w:style w:type="paragraph" w:styleId="11">
    <w:name w:val="Body Text"/>
    <w:basedOn w:val="1"/>
    <w:link w:val="55"/>
    <w:qFormat/>
    <w:uiPriority w:val="0"/>
    <w:pPr>
      <w:spacing w:after="120"/>
    </w:pPr>
    <w:rPr>
      <w:lang w:val="zh-CN" w:eastAsia="zh-CN"/>
    </w:rPr>
  </w:style>
  <w:style w:type="paragraph" w:styleId="12">
    <w:name w:val="Body Text Indent"/>
    <w:basedOn w:val="1"/>
    <w:link w:val="78"/>
    <w:qFormat/>
    <w:uiPriority w:val="0"/>
    <w:pPr>
      <w:ind w:firstLine="560"/>
    </w:pPr>
    <w:rPr>
      <w:sz w:val="28"/>
      <w:lang w:val="zh-CN" w:eastAsia="zh-CN"/>
    </w:rPr>
  </w:style>
  <w:style w:type="paragraph" w:styleId="13">
    <w:name w:val="Block Text"/>
    <w:basedOn w:val="1"/>
    <w:qFormat/>
    <w:uiPriority w:val="0"/>
    <w:pPr>
      <w:spacing w:line="500" w:lineRule="exact"/>
      <w:ind w:left="420" w:right="340" w:firstLine="570"/>
    </w:pPr>
    <w:rPr>
      <w:rFonts w:ascii="宋体"/>
      <w:sz w:val="28"/>
      <w:szCs w:val="20"/>
    </w:rPr>
  </w:style>
  <w:style w:type="paragraph" w:styleId="14">
    <w:name w:val="Plain Text"/>
    <w:basedOn w:val="1"/>
    <w:link w:val="66"/>
    <w:qFormat/>
    <w:uiPriority w:val="0"/>
    <w:rPr>
      <w:rFonts w:ascii="宋体" w:hAnsi="Courier New"/>
      <w:szCs w:val="20"/>
      <w:lang w:val="zh-CN" w:eastAsia="zh-CN"/>
    </w:rPr>
  </w:style>
  <w:style w:type="paragraph" w:styleId="15">
    <w:name w:val="Date"/>
    <w:basedOn w:val="1"/>
    <w:next w:val="1"/>
    <w:link w:val="56"/>
    <w:qFormat/>
    <w:uiPriority w:val="0"/>
    <w:rPr>
      <w:sz w:val="28"/>
      <w:szCs w:val="20"/>
      <w:lang w:val="zh-CN" w:eastAsia="zh-CN"/>
    </w:rPr>
  </w:style>
  <w:style w:type="paragraph" w:styleId="16">
    <w:name w:val="Body Text Indent 2"/>
    <w:basedOn w:val="1"/>
    <w:qFormat/>
    <w:uiPriority w:val="0"/>
    <w:pPr>
      <w:ind w:firstLine="560"/>
    </w:pPr>
    <w:rPr>
      <w:sz w:val="24"/>
    </w:rPr>
  </w:style>
  <w:style w:type="paragraph" w:styleId="17">
    <w:name w:val="Balloon Text"/>
    <w:basedOn w:val="1"/>
    <w:link w:val="51"/>
    <w:qFormat/>
    <w:uiPriority w:val="0"/>
    <w:rPr>
      <w:sz w:val="18"/>
      <w:szCs w:val="18"/>
      <w:lang w:val="zh-CN" w:eastAsia="zh-CN"/>
    </w:rPr>
  </w:style>
  <w:style w:type="paragraph" w:styleId="18">
    <w:name w:val="footer"/>
    <w:basedOn w:val="1"/>
    <w:link w:val="76"/>
    <w:qFormat/>
    <w:uiPriority w:val="99"/>
    <w:pPr>
      <w:tabs>
        <w:tab w:val="center" w:pos="4153"/>
        <w:tab w:val="right" w:pos="8306"/>
      </w:tabs>
      <w:snapToGrid w:val="0"/>
      <w:jc w:val="left"/>
    </w:pPr>
    <w:rPr>
      <w:sz w:val="18"/>
      <w:szCs w:val="18"/>
      <w:lang w:val="zh-CN" w:eastAsia="zh-CN"/>
    </w:rPr>
  </w:style>
  <w:style w:type="paragraph" w:styleId="19">
    <w:name w:val="toc 1"/>
    <w:basedOn w:val="1"/>
    <w:next w:val="1"/>
    <w:semiHidden/>
    <w:qFormat/>
    <w:uiPriority w:val="0"/>
    <w:pPr>
      <w:tabs>
        <w:tab w:val="right" w:leader="dot" w:pos="8296"/>
      </w:tabs>
      <w:jc w:val="center"/>
    </w:pPr>
    <w:rPr>
      <w:rFonts w:ascii="宋体" w:hAnsi="宋体"/>
      <w:bCs/>
      <w:caps/>
      <w:sz w:val="28"/>
      <w:szCs w:val="28"/>
    </w:rPr>
  </w:style>
  <w:style w:type="paragraph" w:styleId="20">
    <w:name w:val="Subtitle"/>
    <w:basedOn w:val="1"/>
    <w:next w:val="1"/>
    <w:link w:val="155"/>
    <w:qFormat/>
    <w:uiPriority w:val="0"/>
    <w:pPr>
      <w:spacing w:line="360" w:lineRule="auto"/>
      <w:ind w:firstLine="200" w:firstLineChars="200"/>
      <w:contextualSpacing/>
    </w:pPr>
    <w:rPr>
      <w:rFonts w:ascii="Cambria" w:hAnsi="Cambria" w:eastAsia="黑体"/>
      <w:color w:val="000000"/>
      <w:kern w:val="0"/>
      <w:sz w:val="24"/>
      <w:szCs w:val="32"/>
      <w:lang w:eastAsia="zh-CN"/>
    </w:rPr>
  </w:style>
  <w:style w:type="paragraph" w:styleId="21">
    <w:name w:val="List"/>
    <w:basedOn w:val="1"/>
    <w:qFormat/>
    <w:uiPriority w:val="0"/>
    <w:pPr>
      <w:ind w:left="200" w:hanging="200" w:hangingChars="200"/>
    </w:pPr>
    <w:rPr>
      <w:szCs w:val="20"/>
    </w:rPr>
  </w:style>
  <w:style w:type="paragraph" w:styleId="22">
    <w:name w:val="Body Text Indent 3"/>
    <w:basedOn w:val="1"/>
    <w:link w:val="65"/>
    <w:qFormat/>
    <w:uiPriority w:val="0"/>
    <w:pPr>
      <w:ind w:firstLine="570"/>
    </w:pPr>
    <w:rPr>
      <w:color w:val="993300"/>
      <w:sz w:val="28"/>
      <w:lang w:val="zh-CN" w:eastAsia="zh-CN"/>
    </w:rPr>
  </w:style>
  <w:style w:type="paragraph" w:styleId="23">
    <w:name w:val="toc 2"/>
    <w:basedOn w:val="1"/>
    <w:next w:val="1"/>
    <w:semiHidden/>
    <w:qFormat/>
    <w:uiPriority w:val="0"/>
    <w:pPr>
      <w:tabs>
        <w:tab w:val="right" w:leader="dot" w:pos="8296"/>
      </w:tabs>
      <w:spacing w:line="360" w:lineRule="auto"/>
      <w:ind w:left="420" w:leftChars="200"/>
    </w:pPr>
    <w:rPr>
      <w:rFonts w:ascii="宋体" w:hAnsi="宋体"/>
      <w:szCs w:val="21"/>
    </w:rPr>
  </w:style>
  <w:style w:type="paragraph" w:styleId="24">
    <w:name w:val="Body Text 2"/>
    <w:basedOn w:val="1"/>
    <w:link w:val="63"/>
    <w:qFormat/>
    <w:uiPriority w:val="0"/>
    <w:pPr>
      <w:spacing w:after="120" w:line="480" w:lineRule="auto"/>
    </w:pPr>
    <w:rPr>
      <w:lang w:val="zh-CN" w:eastAsia="zh-CN"/>
    </w:rPr>
  </w:style>
  <w:style w:type="paragraph" w:styleId="25">
    <w:name w:val="Normal (Web)"/>
    <w:basedOn w:val="1"/>
    <w:link w:val="52"/>
    <w:qFormat/>
    <w:uiPriority w:val="99"/>
    <w:pPr>
      <w:widowControl/>
      <w:spacing w:before="100" w:beforeAutospacing="1" w:after="100" w:afterAutospacing="1"/>
      <w:jc w:val="left"/>
    </w:pPr>
    <w:rPr>
      <w:rFonts w:ascii="宋体" w:hAnsi="宋体"/>
      <w:kern w:val="0"/>
      <w:sz w:val="24"/>
      <w:lang w:val="zh-CN" w:eastAsia="zh-CN"/>
    </w:rPr>
  </w:style>
  <w:style w:type="paragraph" w:styleId="26">
    <w:name w:val="annotation subject"/>
    <w:basedOn w:val="10"/>
    <w:next w:val="10"/>
    <w:link w:val="71"/>
    <w:qFormat/>
    <w:uiPriority w:val="0"/>
    <w:rPr>
      <w:b/>
      <w:bCs/>
    </w:rPr>
  </w:style>
  <w:style w:type="paragraph" w:styleId="27">
    <w:name w:val="Body Text First Indent"/>
    <w:basedOn w:val="11"/>
    <w:link w:val="148"/>
    <w:qFormat/>
    <w:uiPriority w:val="0"/>
    <w:pPr>
      <w:ind w:firstLine="420" w:firstLineChars="100"/>
    </w:pPr>
    <w:rPr>
      <w:lang w:val="en-US" w:eastAsia="zh-CN"/>
    </w:rPr>
  </w:style>
  <w:style w:type="paragraph" w:styleId="28">
    <w:name w:val="Body Text First Indent 2"/>
    <w:basedOn w:val="12"/>
    <w:next w:val="1"/>
    <w:qFormat/>
    <w:uiPriority w:val="0"/>
    <w:pPr>
      <w:spacing w:before="60" w:after="60"/>
      <w:ind w:firstLine="540" w:firstLineChars="225"/>
    </w:pPr>
    <w:rPr>
      <w:sz w:val="24"/>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1">
    <w:name w:val="Table Classic 1"/>
    <w:basedOn w:val="29"/>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2">
    <w:name w:val="Table Grid 5"/>
    <w:basedOn w:val="2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34">
    <w:name w:val="Strong"/>
    <w:qFormat/>
    <w:uiPriority w:val="0"/>
    <w:rPr>
      <w:b/>
      <w:bCs/>
    </w:rPr>
  </w:style>
  <w:style w:type="character" w:styleId="35">
    <w:name w:val="page number"/>
    <w:basedOn w:val="33"/>
    <w:qFormat/>
    <w:uiPriority w:val="0"/>
  </w:style>
  <w:style w:type="character" w:styleId="36">
    <w:name w:val="FollowedHyperlink"/>
    <w:qFormat/>
    <w:uiPriority w:val="0"/>
    <w:rPr>
      <w:color w:val="338DE6"/>
      <w:u w:val="none"/>
    </w:rPr>
  </w:style>
  <w:style w:type="character" w:styleId="37">
    <w:name w:val="Emphasis"/>
    <w:qFormat/>
    <w:uiPriority w:val="20"/>
  </w:style>
  <w:style w:type="character" w:styleId="38">
    <w:name w:val="line number"/>
    <w:basedOn w:val="33"/>
    <w:qFormat/>
    <w:uiPriority w:val="0"/>
  </w:style>
  <w:style w:type="character" w:styleId="39">
    <w:name w:val="HTML Definition"/>
    <w:qFormat/>
    <w:uiPriority w:val="0"/>
  </w:style>
  <w:style w:type="character" w:styleId="40">
    <w:name w:val="HTML Variable"/>
    <w:qFormat/>
    <w:uiPriority w:val="0"/>
  </w:style>
  <w:style w:type="character" w:styleId="41">
    <w:name w:val="Hyperlink"/>
    <w:qFormat/>
    <w:uiPriority w:val="0"/>
    <w:rPr>
      <w:color w:val="338DE6"/>
      <w:u w:val="none"/>
    </w:rPr>
  </w:style>
  <w:style w:type="character" w:styleId="42">
    <w:name w:val="HTML Code"/>
    <w:qFormat/>
    <w:uiPriority w:val="0"/>
    <w:rPr>
      <w:rFonts w:hint="default" w:ascii="monospace" w:hAnsi="monospace" w:eastAsia="monospace" w:cs="monospace"/>
      <w:sz w:val="21"/>
      <w:szCs w:val="21"/>
    </w:rPr>
  </w:style>
  <w:style w:type="character" w:styleId="43">
    <w:name w:val="annotation reference"/>
    <w:qFormat/>
    <w:uiPriority w:val="0"/>
    <w:rPr>
      <w:sz w:val="21"/>
      <w:szCs w:val="21"/>
    </w:rPr>
  </w:style>
  <w:style w:type="character" w:styleId="44">
    <w:name w:val="HTML Cite"/>
    <w:qFormat/>
    <w:uiPriority w:val="0"/>
  </w:style>
  <w:style w:type="character" w:styleId="45">
    <w:name w:val="HTML Keyboard"/>
    <w:qFormat/>
    <w:uiPriority w:val="0"/>
    <w:rPr>
      <w:rFonts w:ascii="monospace" w:hAnsi="monospace" w:eastAsia="monospace" w:cs="monospace"/>
      <w:sz w:val="21"/>
      <w:szCs w:val="21"/>
    </w:rPr>
  </w:style>
  <w:style w:type="character" w:styleId="46">
    <w:name w:val="HTML Sample"/>
    <w:qFormat/>
    <w:uiPriority w:val="0"/>
    <w:rPr>
      <w:rFonts w:hint="default" w:ascii="monospace" w:hAnsi="monospace" w:eastAsia="monospace" w:cs="monospace"/>
      <w:sz w:val="21"/>
      <w:szCs w:val="21"/>
    </w:rPr>
  </w:style>
  <w:style w:type="character" w:customStyle="1" w:styleId="47">
    <w:name w:val="fontborder"/>
    <w:qFormat/>
    <w:uiPriority w:val="0"/>
    <w:rPr>
      <w:bdr w:val="single" w:color="000000" w:sz="6" w:space="0"/>
    </w:rPr>
  </w:style>
  <w:style w:type="character" w:customStyle="1" w:styleId="48">
    <w:name w:val="Q5 Char"/>
    <w:link w:val="49"/>
    <w:qFormat/>
    <w:uiPriority w:val="0"/>
    <w:rPr>
      <w:rFonts w:ascii="宋体" w:cs="宋体"/>
      <w:kern w:val="2"/>
      <w:sz w:val="28"/>
    </w:rPr>
  </w:style>
  <w:style w:type="paragraph" w:customStyle="1" w:styleId="49">
    <w:name w:val="Q5"/>
    <w:basedOn w:val="1"/>
    <w:link w:val="48"/>
    <w:qFormat/>
    <w:uiPriority w:val="0"/>
    <w:pPr>
      <w:spacing w:line="600" w:lineRule="exact"/>
      <w:ind w:firstLine="560" w:firstLineChars="200"/>
    </w:pPr>
    <w:rPr>
      <w:rFonts w:ascii="宋体"/>
      <w:sz w:val="28"/>
      <w:szCs w:val="20"/>
      <w:lang w:val="zh-CN" w:eastAsia="zh-CN"/>
    </w:rPr>
  </w:style>
  <w:style w:type="character" w:customStyle="1" w:styleId="50">
    <w:name w:val="description"/>
    <w:basedOn w:val="33"/>
    <w:qFormat/>
    <w:uiPriority w:val="0"/>
  </w:style>
  <w:style w:type="character" w:customStyle="1" w:styleId="51">
    <w:name w:val="批注框文本 Char"/>
    <w:link w:val="17"/>
    <w:qFormat/>
    <w:uiPriority w:val="0"/>
    <w:rPr>
      <w:kern w:val="2"/>
      <w:sz w:val="18"/>
      <w:szCs w:val="18"/>
    </w:rPr>
  </w:style>
  <w:style w:type="character" w:customStyle="1" w:styleId="52">
    <w:name w:val="普通(网站) Char"/>
    <w:link w:val="25"/>
    <w:qFormat/>
    <w:uiPriority w:val="0"/>
    <w:rPr>
      <w:rFonts w:ascii="宋体" w:hAnsi="宋体" w:cs="宋体"/>
      <w:sz w:val="24"/>
      <w:szCs w:val="24"/>
    </w:rPr>
  </w:style>
  <w:style w:type="character" w:customStyle="1" w:styleId="53">
    <w:name w:val="页眉 Char"/>
    <w:link w:val="2"/>
    <w:qFormat/>
    <w:uiPriority w:val="0"/>
    <w:rPr>
      <w:kern w:val="2"/>
      <w:sz w:val="18"/>
      <w:szCs w:val="18"/>
      <w:lang w:val="zh-CN" w:eastAsia="zh-CN"/>
    </w:rPr>
  </w:style>
  <w:style w:type="character" w:customStyle="1" w:styleId="54">
    <w:name w:val="headline-content"/>
    <w:basedOn w:val="33"/>
    <w:qFormat/>
    <w:uiPriority w:val="0"/>
  </w:style>
  <w:style w:type="character" w:customStyle="1" w:styleId="55">
    <w:name w:val="正文文本 Char"/>
    <w:link w:val="11"/>
    <w:qFormat/>
    <w:uiPriority w:val="0"/>
    <w:rPr>
      <w:kern w:val="2"/>
      <w:sz w:val="21"/>
      <w:szCs w:val="24"/>
    </w:rPr>
  </w:style>
  <w:style w:type="character" w:customStyle="1" w:styleId="56">
    <w:name w:val="日期 Char"/>
    <w:link w:val="15"/>
    <w:qFormat/>
    <w:uiPriority w:val="0"/>
    <w:rPr>
      <w:kern w:val="2"/>
      <w:sz w:val="28"/>
    </w:rPr>
  </w:style>
  <w:style w:type="character" w:customStyle="1" w:styleId="57">
    <w:name w:val="标题 4 Char"/>
    <w:link w:val="6"/>
    <w:semiHidden/>
    <w:qFormat/>
    <w:uiPriority w:val="0"/>
    <w:rPr>
      <w:rFonts w:ascii="Cambria" w:hAnsi="Cambria" w:eastAsia="宋体" w:cs="Times New Roman"/>
      <w:b/>
      <w:bCs/>
      <w:kern w:val="2"/>
      <w:sz w:val="28"/>
      <w:szCs w:val="28"/>
    </w:rPr>
  </w:style>
  <w:style w:type="character" w:customStyle="1" w:styleId="58">
    <w:name w:val="titletext"/>
    <w:basedOn w:val="33"/>
    <w:qFormat/>
    <w:uiPriority w:val="0"/>
  </w:style>
  <w:style w:type="character" w:customStyle="1" w:styleId="59">
    <w:name w:val="批注文字 Char"/>
    <w:link w:val="10"/>
    <w:qFormat/>
    <w:uiPriority w:val="0"/>
    <w:rPr>
      <w:kern w:val="2"/>
      <w:sz w:val="21"/>
      <w:szCs w:val="24"/>
    </w:rPr>
  </w:style>
  <w:style w:type="character" w:customStyle="1" w:styleId="60">
    <w:name w:val="正文缩进 Char2"/>
    <w:qFormat/>
    <w:uiPriority w:val="0"/>
    <w:rPr>
      <w:rFonts w:eastAsia="宋体"/>
      <w:kern w:val="2"/>
      <w:sz w:val="24"/>
      <w:lang w:val="en-US" w:eastAsia="zh-CN" w:bidi="ar-SA"/>
    </w:rPr>
  </w:style>
  <w:style w:type="character" w:customStyle="1" w:styleId="61">
    <w:name w:val="Q4 Char"/>
    <w:link w:val="62"/>
    <w:qFormat/>
    <w:uiPriority w:val="0"/>
    <w:rPr>
      <w:b/>
      <w:kern w:val="2"/>
      <w:sz w:val="21"/>
      <w:szCs w:val="24"/>
    </w:rPr>
  </w:style>
  <w:style w:type="paragraph" w:customStyle="1" w:styleId="62">
    <w:name w:val="Q4"/>
    <w:basedOn w:val="1"/>
    <w:link w:val="61"/>
    <w:qFormat/>
    <w:uiPriority w:val="0"/>
    <w:pPr>
      <w:spacing w:line="360" w:lineRule="auto"/>
      <w:jc w:val="center"/>
    </w:pPr>
    <w:rPr>
      <w:b/>
      <w:lang w:val="zh-CN" w:eastAsia="zh-CN"/>
    </w:rPr>
  </w:style>
  <w:style w:type="character" w:customStyle="1" w:styleId="63">
    <w:name w:val="正文文本 2 Char"/>
    <w:link w:val="24"/>
    <w:qFormat/>
    <w:uiPriority w:val="0"/>
    <w:rPr>
      <w:kern w:val="2"/>
      <w:sz w:val="21"/>
      <w:szCs w:val="24"/>
    </w:rPr>
  </w:style>
  <w:style w:type="character" w:customStyle="1" w:styleId="64">
    <w:name w:val="标题 2 Char"/>
    <w:link w:val="4"/>
    <w:qFormat/>
    <w:uiPriority w:val="0"/>
    <w:rPr>
      <w:rFonts w:ascii="Arial" w:hAnsi="Arial" w:eastAsia="黑体"/>
      <w:b/>
      <w:bCs/>
      <w:kern w:val="2"/>
      <w:sz w:val="32"/>
      <w:szCs w:val="32"/>
      <w:lang w:val="en-US" w:eastAsia="zh-CN" w:bidi="ar-SA"/>
    </w:rPr>
  </w:style>
  <w:style w:type="character" w:customStyle="1" w:styleId="65">
    <w:name w:val="正文文本缩进 3 Char"/>
    <w:link w:val="22"/>
    <w:qFormat/>
    <w:uiPriority w:val="0"/>
    <w:rPr>
      <w:color w:val="993300"/>
      <w:kern w:val="2"/>
      <w:sz w:val="28"/>
      <w:szCs w:val="24"/>
    </w:rPr>
  </w:style>
  <w:style w:type="character" w:customStyle="1" w:styleId="66">
    <w:name w:val="纯文本 Char"/>
    <w:link w:val="14"/>
    <w:qFormat/>
    <w:uiPriority w:val="0"/>
    <w:rPr>
      <w:rFonts w:ascii="宋体" w:hAnsi="Courier New"/>
      <w:kern w:val="2"/>
      <w:sz w:val="21"/>
    </w:rPr>
  </w:style>
  <w:style w:type="character" w:customStyle="1" w:styleId="67">
    <w:name w:val="日期 Char1"/>
    <w:qFormat/>
    <w:uiPriority w:val="0"/>
    <w:rPr>
      <w:kern w:val="2"/>
      <w:sz w:val="21"/>
      <w:szCs w:val="24"/>
    </w:rPr>
  </w:style>
  <w:style w:type="character" w:customStyle="1" w:styleId="68">
    <w:name w:val="表格 Char"/>
    <w:link w:val="69"/>
    <w:qFormat/>
    <w:uiPriority w:val="0"/>
    <w:rPr>
      <w:rFonts w:ascii="宋体"/>
      <w:snapToGrid w:val="0"/>
      <w:sz w:val="24"/>
      <w:szCs w:val="24"/>
    </w:rPr>
  </w:style>
  <w:style w:type="paragraph" w:customStyle="1" w:styleId="69">
    <w:name w:val="表格"/>
    <w:basedOn w:val="21"/>
    <w:next w:val="1"/>
    <w:link w:val="68"/>
    <w:qFormat/>
    <w:uiPriority w:val="0"/>
    <w:pPr>
      <w:spacing w:line="480" w:lineRule="exact"/>
      <w:jc w:val="center"/>
    </w:pPr>
    <w:rPr>
      <w:rFonts w:ascii="宋体"/>
      <w:snapToGrid w:val="0"/>
      <w:kern w:val="0"/>
      <w:sz w:val="24"/>
      <w:szCs w:val="24"/>
      <w:lang w:val="zh-CN" w:eastAsia="zh-CN"/>
    </w:rPr>
  </w:style>
  <w:style w:type="character" w:customStyle="1" w:styleId="70">
    <w:name w:val="apple-converted-space"/>
    <w:basedOn w:val="33"/>
    <w:qFormat/>
    <w:uiPriority w:val="0"/>
  </w:style>
  <w:style w:type="character" w:customStyle="1" w:styleId="71">
    <w:name w:val="批注主题 Char"/>
    <w:link w:val="26"/>
    <w:qFormat/>
    <w:uiPriority w:val="0"/>
    <w:rPr>
      <w:b/>
      <w:bCs/>
      <w:kern w:val="2"/>
      <w:sz w:val="21"/>
      <w:szCs w:val="24"/>
    </w:rPr>
  </w:style>
  <w:style w:type="character" w:customStyle="1" w:styleId="72">
    <w:name w:val="表号 Char Char3"/>
    <w:link w:val="73"/>
    <w:qFormat/>
    <w:uiPriority w:val="0"/>
    <w:rPr>
      <w:spacing w:val="6"/>
      <w:sz w:val="21"/>
    </w:rPr>
  </w:style>
  <w:style w:type="paragraph" w:customStyle="1" w:styleId="73">
    <w:name w:val="表号 Char"/>
    <w:basedOn w:val="1"/>
    <w:link w:val="72"/>
    <w:qFormat/>
    <w:uiPriority w:val="0"/>
    <w:pPr>
      <w:autoSpaceDE w:val="0"/>
      <w:autoSpaceDN w:val="0"/>
      <w:adjustRightInd w:val="0"/>
      <w:spacing w:line="0" w:lineRule="atLeast"/>
      <w:ind w:firstLine="119"/>
      <w:textAlignment w:val="baseline"/>
    </w:pPr>
    <w:rPr>
      <w:spacing w:val="6"/>
      <w:kern w:val="0"/>
      <w:szCs w:val="20"/>
      <w:lang w:val="zh-CN" w:eastAsia="zh-CN"/>
    </w:rPr>
  </w:style>
  <w:style w:type="character" w:customStyle="1" w:styleId="74">
    <w:name w:val="题注 Char"/>
    <w:link w:val="8"/>
    <w:qFormat/>
    <w:uiPriority w:val="0"/>
    <w:rPr>
      <w:b/>
      <w:kern w:val="2"/>
      <w:sz w:val="21"/>
    </w:rPr>
  </w:style>
  <w:style w:type="character" w:customStyle="1" w:styleId="75">
    <w:name w:val="fontstrikethrough"/>
    <w:qFormat/>
    <w:uiPriority w:val="0"/>
    <w:rPr>
      <w:strike/>
    </w:rPr>
  </w:style>
  <w:style w:type="character" w:customStyle="1" w:styleId="76">
    <w:name w:val="页脚 Char"/>
    <w:link w:val="18"/>
    <w:qFormat/>
    <w:uiPriority w:val="99"/>
    <w:rPr>
      <w:kern w:val="2"/>
      <w:sz w:val="18"/>
      <w:szCs w:val="18"/>
    </w:rPr>
  </w:style>
  <w:style w:type="character" w:customStyle="1" w:styleId="77">
    <w:name w:val="正文缩进 Char"/>
    <w:link w:val="7"/>
    <w:qFormat/>
    <w:uiPriority w:val="0"/>
    <w:rPr>
      <w:sz w:val="24"/>
    </w:rPr>
  </w:style>
  <w:style w:type="character" w:customStyle="1" w:styleId="78">
    <w:name w:val="正文文本缩进 Char"/>
    <w:link w:val="12"/>
    <w:qFormat/>
    <w:uiPriority w:val="0"/>
    <w:rPr>
      <w:kern w:val="2"/>
      <w:sz w:val="28"/>
      <w:szCs w:val="24"/>
    </w:rPr>
  </w:style>
  <w:style w:type="paragraph" w:customStyle="1" w:styleId="79">
    <w:name w:val="表内文字"/>
    <w:basedOn w:val="1"/>
    <w:qFormat/>
    <w:uiPriority w:val="0"/>
  </w:style>
  <w:style w:type="paragraph" w:customStyle="1" w:styleId="80">
    <w:name w:val="表文"/>
    <w:basedOn w:val="1"/>
    <w:next w:val="1"/>
    <w:link w:val="156"/>
    <w:qFormat/>
    <w:uiPriority w:val="0"/>
    <w:pPr>
      <w:autoSpaceDE w:val="0"/>
      <w:autoSpaceDN w:val="0"/>
      <w:adjustRightInd w:val="0"/>
      <w:snapToGrid w:val="0"/>
      <w:spacing w:line="320" w:lineRule="exact"/>
      <w:jc w:val="center"/>
      <w:textAlignment w:val="baseline"/>
    </w:pPr>
    <w:rPr>
      <w:kern w:val="0"/>
      <w:sz w:val="18"/>
      <w:szCs w:val="18"/>
      <w:lang w:val="zh-CN" w:eastAsia="zh-CN"/>
    </w:rPr>
  </w:style>
  <w:style w:type="paragraph" w:customStyle="1" w:styleId="81">
    <w:name w:val="表芯"/>
    <w:basedOn w:val="1"/>
    <w:next w:val="1"/>
    <w:qFormat/>
    <w:uiPriority w:val="0"/>
    <w:pPr>
      <w:keepNext/>
      <w:adjustRightInd w:val="0"/>
      <w:spacing w:before="20" w:line="0" w:lineRule="atLeast"/>
      <w:jc w:val="center"/>
      <w:textAlignment w:val="baseline"/>
    </w:pPr>
    <w:rPr>
      <w:kern w:val="21"/>
      <w:szCs w:val="20"/>
    </w:rPr>
  </w:style>
  <w:style w:type="paragraph" w:customStyle="1" w:styleId="82">
    <w:name w:val="xl41"/>
    <w:basedOn w:val="1"/>
    <w:qFormat/>
    <w:uiPriority w:val="0"/>
    <w:pPr>
      <w:widowControl/>
      <w:pBdr>
        <w:top w:val="single" w:color="auto" w:sz="4" w:space="0"/>
        <w:left w:val="single" w:color="auto" w:sz="12" w:space="0"/>
        <w:bottom w:val="single" w:color="auto" w:sz="4" w:space="0"/>
      </w:pBdr>
      <w:spacing w:before="100" w:beforeAutospacing="1" w:after="100" w:afterAutospacing="1"/>
      <w:jc w:val="center"/>
    </w:pPr>
    <w:rPr>
      <w:rFonts w:ascii="宋体" w:hAnsi="宋体"/>
      <w:kern w:val="0"/>
      <w:szCs w:val="21"/>
    </w:rPr>
  </w:style>
  <w:style w:type="paragraph" w:customStyle="1" w:styleId="83">
    <w:name w:val="2"/>
    <w:basedOn w:val="1"/>
    <w:next w:val="14"/>
    <w:qFormat/>
    <w:uiPriority w:val="0"/>
    <w:rPr>
      <w:rFonts w:ascii="宋体" w:hAnsi="Courier New"/>
      <w:szCs w:val="20"/>
    </w:rPr>
  </w:style>
  <w:style w:type="paragraph" w:customStyle="1" w:styleId="84">
    <w:name w:val="CM9"/>
    <w:basedOn w:val="1"/>
    <w:next w:val="1"/>
    <w:qFormat/>
    <w:uiPriority w:val="0"/>
    <w:pPr>
      <w:autoSpaceDE w:val="0"/>
      <w:autoSpaceDN w:val="0"/>
      <w:adjustRightInd w:val="0"/>
      <w:spacing w:line="573" w:lineRule="atLeast"/>
      <w:jc w:val="left"/>
    </w:pPr>
    <w:rPr>
      <w:rFonts w:ascii="黑体" w:eastAsia="黑体"/>
      <w:kern w:val="0"/>
      <w:sz w:val="20"/>
    </w:rPr>
  </w:style>
  <w:style w:type="paragraph" w:customStyle="1" w:styleId="85">
    <w:name w:val="font6"/>
    <w:basedOn w:val="1"/>
    <w:qFormat/>
    <w:uiPriority w:val="0"/>
    <w:pPr>
      <w:widowControl/>
      <w:spacing w:before="100" w:beforeAutospacing="1" w:after="100" w:afterAutospacing="1"/>
      <w:jc w:val="left"/>
    </w:pPr>
    <w:rPr>
      <w:rFonts w:hint="eastAsia" w:ascii="宋体" w:hAnsi="宋体" w:cs="Arial Unicode MS"/>
      <w:kern w:val="0"/>
      <w:sz w:val="20"/>
      <w:szCs w:val="20"/>
    </w:rPr>
  </w:style>
  <w:style w:type="paragraph" w:customStyle="1" w:styleId="86">
    <w:name w:val="应填表格"/>
    <w:basedOn w:val="1"/>
    <w:qFormat/>
    <w:uiPriority w:val="0"/>
    <w:pPr>
      <w:adjustRightInd w:val="0"/>
      <w:spacing w:before="40" w:after="40"/>
      <w:jc w:val="left"/>
      <w:textAlignment w:val="baseline"/>
    </w:pPr>
    <w:rPr>
      <w:kern w:val="0"/>
      <w:sz w:val="24"/>
      <w:szCs w:val="20"/>
    </w:rPr>
  </w:style>
  <w:style w:type="paragraph" w:customStyle="1" w:styleId="87">
    <w:name w:val="xl31"/>
    <w:basedOn w:val="1"/>
    <w:qFormat/>
    <w:uiPriority w:val="0"/>
    <w:pPr>
      <w:widowControl/>
      <w:pBdr>
        <w:top w:val="single" w:color="auto" w:sz="4" w:space="0"/>
        <w:left w:val="single" w:color="auto" w:sz="12" w:space="0"/>
        <w:bottom w:val="single" w:color="auto" w:sz="12" w:space="0"/>
      </w:pBdr>
      <w:spacing w:before="100" w:beforeAutospacing="1" w:after="100" w:afterAutospacing="1"/>
      <w:jc w:val="center"/>
    </w:pPr>
    <w:rPr>
      <w:rFonts w:ascii="宋体" w:hAnsi="宋体"/>
      <w:kern w:val="0"/>
      <w:szCs w:val="21"/>
    </w:rPr>
  </w:style>
  <w:style w:type="paragraph" w:customStyle="1" w:styleId="88">
    <w:name w:val="xl26"/>
    <w:basedOn w:val="1"/>
    <w:qFormat/>
    <w:uiPriority w:val="0"/>
    <w:pPr>
      <w:widowControl/>
      <w:pBdr>
        <w:bottom w:val="single" w:color="auto" w:sz="4" w:space="0"/>
        <w:right w:val="single" w:color="auto" w:sz="4" w:space="0"/>
      </w:pBdr>
      <w:spacing w:before="100" w:beforeAutospacing="1" w:after="100" w:afterAutospacing="1"/>
      <w:textAlignment w:val="top"/>
    </w:pPr>
    <w:rPr>
      <w:rFonts w:ascii="宋体" w:hAnsi="宋体"/>
      <w:kern w:val="0"/>
      <w:sz w:val="24"/>
    </w:rPr>
  </w:style>
  <w:style w:type="paragraph" w:customStyle="1" w:styleId="89">
    <w:name w:val="表名"/>
    <w:basedOn w:val="1"/>
    <w:qFormat/>
    <w:uiPriority w:val="0"/>
    <w:pPr>
      <w:autoSpaceDE w:val="0"/>
      <w:autoSpaceDN w:val="0"/>
      <w:adjustRightInd w:val="0"/>
      <w:spacing w:line="0" w:lineRule="atLeast"/>
      <w:ind w:firstLine="482"/>
      <w:jc w:val="center"/>
      <w:textAlignment w:val="baseline"/>
    </w:pPr>
    <w:rPr>
      <w:rFonts w:eastAsia="黑体"/>
      <w:spacing w:val="6"/>
      <w:kern w:val="0"/>
      <w:szCs w:val="20"/>
    </w:rPr>
  </w:style>
  <w:style w:type="paragraph" w:customStyle="1" w:styleId="90">
    <w:name w:val="3"/>
    <w:basedOn w:val="1"/>
    <w:next w:val="12"/>
    <w:qFormat/>
    <w:uiPriority w:val="0"/>
    <w:pPr>
      <w:spacing w:line="500" w:lineRule="exact"/>
      <w:ind w:firstLine="480"/>
    </w:pPr>
    <w:rPr>
      <w:rFonts w:ascii="宋体" w:hAnsi="宋体"/>
      <w:sz w:val="24"/>
      <w:szCs w:val="20"/>
    </w:rPr>
  </w:style>
  <w:style w:type="paragraph" w:customStyle="1" w:styleId="91">
    <w:name w:val="xl4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kern w:val="0"/>
      <w:szCs w:val="21"/>
    </w:rPr>
  </w:style>
  <w:style w:type="paragraph" w:customStyle="1" w:styleId="92">
    <w:name w:val="xl25"/>
    <w:basedOn w:val="1"/>
    <w:qFormat/>
    <w:uiPriority w:val="0"/>
    <w:pPr>
      <w:widowControl/>
      <w:spacing w:before="100" w:beforeAutospacing="1" w:after="100" w:afterAutospacing="1"/>
      <w:jc w:val="center"/>
    </w:pPr>
    <w:rPr>
      <w:rFonts w:ascii="宋体" w:hAnsi="宋体"/>
      <w:kern w:val="0"/>
      <w:szCs w:val="21"/>
    </w:rPr>
  </w:style>
  <w:style w:type="paragraph" w:customStyle="1" w:styleId="93">
    <w:name w:val="样式2"/>
    <w:basedOn w:val="1"/>
    <w:qFormat/>
    <w:uiPriority w:val="0"/>
    <w:pPr>
      <w:adjustRightInd w:val="0"/>
      <w:ind w:left="170"/>
      <w:jc w:val="left"/>
      <w:textAlignment w:val="baseline"/>
    </w:pPr>
    <w:rPr>
      <w:b/>
      <w:kern w:val="0"/>
      <w:sz w:val="24"/>
      <w:szCs w:val="20"/>
    </w:rPr>
  </w:style>
  <w:style w:type="paragraph" w:customStyle="1" w:styleId="94">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表题"/>
    <w:basedOn w:val="1"/>
    <w:next w:val="97"/>
    <w:link w:val="194"/>
    <w:qFormat/>
    <w:uiPriority w:val="0"/>
    <w:pPr>
      <w:adjustRightInd w:val="0"/>
      <w:snapToGrid w:val="0"/>
      <w:spacing w:line="360" w:lineRule="auto"/>
      <w:ind w:firstLine="200" w:firstLineChars="200"/>
      <w:jc w:val="center"/>
    </w:pPr>
    <w:rPr>
      <w:rFonts w:eastAsia="黑体"/>
      <w:b/>
    </w:rPr>
  </w:style>
  <w:style w:type="paragraph" w:customStyle="1" w:styleId="97">
    <w:name w:val="-正文"/>
    <w:basedOn w:val="1"/>
    <w:link w:val="191"/>
    <w:qFormat/>
    <w:uiPriority w:val="0"/>
    <w:pPr>
      <w:spacing w:line="480" w:lineRule="exact"/>
      <w:ind w:firstLine="200" w:firstLineChars="200"/>
    </w:pPr>
    <w:rPr>
      <w:rFonts w:ascii="Times New Roman" w:hAnsi="Times New Roman" w:cs="Times New Roman"/>
      <w:sz w:val="24"/>
      <w:szCs w:val="20"/>
    </w:rPr>
  </w:style>
  <w:style w:type="paragraph" w:customStyle="1" w:styleId="98">
    <w:name w:val="正文1"/>
    <w:basedOn w:val="14"/>
    <w:qFormat/>
    <w:uiPriority w:val="0"/>
    <w:pPr>
      <w:adjustRightInd w:val="0"/>
      <w:snapToGrid w:val="0"/>
      <w:spacing w:line="240" w:lineRule="exact"/>
      <w:jc w:val="center"/>
    </w:pPr>
    <w:rPr>
      <w:rFonts w:ascii="Times New Roman" w:hAnsi="Times New Roman"/>
      <w:snapToGrid w:val="0"/>
      <w:kern w:val="0"/>
      <w:sz w:val="18"/>
      <w:szCs w:val="18"/>
      <w:lang w:val="en-US" w:eastAsia="zh-CN"/>
    </w:rPr>
  </w:style>
  <w:style w:type="paragraph" w:customStyle="1" w:styleId="99">
    <w:name w:val="Char"/>
    <w:basedOn w:val="1"/>
    <w:semiHidden/>
    <w:qFormat/>
    <w:uiPriority w:val="0"/>
  </w:style>
  <w:style w:type="paragraph" w:customStyle="1" w:styleId="100">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kern w:val="0"/>
      <w:szCs w:val="21"/>
    </w:rPr>
  </w:style>
  <w:style w:type="paragraph" w:customStyle="1" w:styleId="101">
    <w:name w:val="表号"/>
    <w:basedOn w:val="80"/>
    <w:qFormat/>
    <w:uiPriority w:val="0"/>
    <w:pPr>
      <w:overflowPunct w:val="0"/>
      <w:ind w:firstLine="113"/>
    </w:pPr>
    <w:rPr>
      <w:szCs w:val="20"/>
    </w:rPr>
  </w:style>
  <w:style w:type="paragraph" w:customStyle="1" w:styleId="102">
    <w:name w:val="xl34"/>
    <w:basedOn w:val="1"/>
    <w:qFormat/>
    <w:uiPriority w:val="0"/>
    <w:pPr>
      <w:widowControl/>
      <w:pBdr>
        <w:top w:val="single" w:color="auto" w:sz="4" w:space="0"/>
        <w:left w:val="single" w:color="auto" w:sz="12" w:space="0"/>
        <w:right w:val="single" w:color="auto" w:sz="4" w:space="0"/>
      </w:pBdr>
      <w:spacing w:before="100" w:beforeAutospacing="1" w:after="100" w:afterAutospacing="1"/>
      <w:jc w:val="center"/>
    </w:pPr>
    <w:rPr>
      <w:rFonts w:ascii="宋体" w:hAnsi="宋体"/>
      <w:kern w:val="0"/>
      <w:szCs w:val="21"/>
    </w:rPr>
  </w:style>
  <w:style w:type="paragraph" w:customStyle="1" w:styleId="103">
    <w:name w:val="xl24"/>
    <w:basedOn w:val="1"/>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104">
    <w:name w:val="表内格式"/>
    <w:basedOn w:val="1"/>
    <w:qFormat/>
    <w:uiPriority w:val="0"/>
    <w:pPr>
      <w:jc w:val="center"/>
    </w:pPr>
    <w:rPr>
      <w:sz w:val="21"/>
    </w:rPr>
  </w:style>
  <w:style w:type="paragraph" w:customStyle="1" w:styleId="105">
    <w:name w:val="表格文字2"/>
    <w:basedOn w:val="1"/>
    <w:qFormat/>
    <w:uiPriority w:val="0"/>
    <w:pPr>
      <w:adjustRightInd w:val="0"/>
      <w:spacing w:before="60"/>
      <w:jc w:val="center"/>
      <w:textAlignment w:val="baseline"/>
    </w:pPr>
    <w:rPr>
      <w:rFonts w:ascii="宋体"/>
      <w:kern w:val="0"/>
      <w:sz w:val="24"/>
      <w:szCs w:val="20"/>
    </w:rPr>
  </w:style>
  <w:style w:type="paragraph" w:customStyle="1" w:styleId="106">
    <w:name w:val="Char1 Char Char Char"/>
    <w:basedOn w:val="1"/>
    <w:qFormat/>
    <w:uiPriority w:val="0"/>
    <w:rPr>
      <w:szCs w:val="20"/>
    </w:rPr>
  </w:style>
  <w:style w:type="paragraph" w:customStyle="1" w:styleId="107">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08">
    <w:name w:val="Char4 Char Char Char Char Char Char1"/>
    <w:basedOn w:val="1"/>
    <w:qFormat/>
    <w:uiPriority w:val="0"/>
    <w:pPr>
      <w:spacing w:line="360" w:lineRule="auto"/>
      <w:ind w:firstLine="200" w:firstLineChars="200"/>
    </w:pPr>
    <w:rPr>
      <w:rFonts w:ascii="宋体" w:hAnsi="宋体" w:cs="宋体"/>
      <w:sz w:val="24"/>
    </w:rPr>
  </w:style>
  <w:style w:type="paragraph" w:customStyle="1" w:styleId="109">
    <w:name w:val="样式 首行缩进:  2 字符"/>
    <w:basedOn w:val="1"/>
    <w:qFormat/>
    <w:uiPriority w:val="0"/>
    <w:pPr>
      <w:spacing w:line="440" w:lineRule="exact"/>
      <w:ind w:firstLine="200" w:firstLineChars="200"/>
    </w:pPr>
    <w:rPr>
      <w:rFonts w:cs="宋体"/>
      <w:sz w:val="24"/>
      <w:szCs w:val="20"/>
    </w:rPr>
  </w:style>
  <w:style w:type="paragraph" w:customStyle="1" w:styleId="110">
    <w:name w:val="样式 (中文) 楷体_GB2312 四号 首行缩进:  0.95 厘米 行距: 多倍行距 1.4 字行"/>
    <w:basedOn w:val="1"/>
    <w:qFormat/>
    <w:uiPriority w:val="0"/>
    <w:pPr>
      <w:snapToGrid w:val="0"/>
      <w:spacing w:line="360" w:lineRule="auto"/>
      <w:ind w:firstLine="539"/>
    </w:pPr>
    <w:rPr>
      <w:rFonts w:eastAsia="楷体_GB2312" w:cs="宋体"/>
      <w:sz w:val="28"/>
      <w:szCs w:val="20"/>
    </w:rPr>
  </w:style>
  <w:style w:type="paragraph" w:customStyle="1" w:styleId="111">
    <w:name w:val="Char Char Char Char Char Char1 Char"/>
    <w:basedOn w:val="1"/>
    <w:qFormat/>
    <w:uiPriority w:val="0"/>
  </w:style>
  <w:style w:type="paragraph" w:customStyle="1" w:styleId="112">
    <w:name w:val="xl33"/>
    <w:basedOn w:val="1"/>
    <w:qFormat/>
    <w:uiPriority w:val="0"/>
    <w:pPr>
      <w:widowControl/>
      <w:pBdr>
        <w:top w:val="single" w:color="auto" w:sz="4" w:space="0"/>
        <w:bottom w:val="single" w:color="auto" w:sz="12" w:space="0"/>
        <w:right w:val="single" w:color="auto" w:sz="4" w:space="0"/>
      </w:pBdr>
      <w:spacing w:before="100" w:beforeAutospacing="1" w:after="100" w:afterAutospacing="1"/>
      <w:jc w:val="center"/>
    </w:pPr>
    <w:rPr>
      <w:rFonts w:ascii="宋体" w:hAnsi="宋体"/>
      <w:kern w:val="0"/>
      <w:szCs w:val="21"/>
    </w:rPr>
  </w:style>
  <w:style w:type="paragraph" w:customStyle="1" w:styleId="113">
    <w:name w:val="xl27"/>
    <w:basedOn w:val="1"/>
    <w:qFormat/>
    <w:uiPriority w:val="0"/>
    <w:pPr>
      <w:widowControl/>
      <w:pBdr>
        <w:bottom w:val="single" w:color="auto" w:sz="4" w:space="0"/>
        <w:right w:val="single" w:color="auto" w:sz="12" w:space="0"/>
      </w:pBdr>
      <w:spacing w:before="100" w:beforeAutospacing="1" w:after="100" w:afterAutospacing="1"/>
      <w:jc w:val="center"/>
    </w:pPr>
    <w:rPr>
      <w:rFonts w:ascii="宋体" w:hAnsi="宋体"/>
      <w:kern w:val="0"/>
      <w:szCs w:val="21"/>
    </w:rPr>
  </w:style>
  <w:style w:type="paragraph" w:customStyle="1" w:styleId="114">
    <w:name w:val="xl40"/>
    <w:basedOn w:val="1"/>
    <w:qFormat/>
    <w:uiPriority w:val="0"/>
    <w:pPr>
      <w:widowControl/>
      <w:pBdr>
        <w:top w:val="single" w:color="auto" w:sz="12" w:space="0"/>
        <w:bottom w:val="single" w:color="auto" w:sz="4" w:space="0"/>
      </w:pBdr>
      <w:spacing w:before="100" w:beforeAutospacing="1" w:after="100" w:afterAutospacing="1"/>
      <w:jc w:val="center"/>
    </w:pPr>
    <w:rPr>
      <w:rFonts w:ascii="宋体" w:hAnsi="宋体"/>
      <w:kern w:val="0"/>
      <w:szCs w:val="21"/>
    </w:rPr>
  </w:style>
  <w:style w:type="paragraph" w:customStyle="1" w:styleId="115">
    <w:name w:val="君邦正文"/>
    <w:basedOn w:val="1"/>
    <w:qFormat/>
    <w:uiPriority w:val="0"/>
    <w:pPr>
      <w:spacing w:after="60" w:line="360" w:lineRule="auto"/>
      <w:ind w:firstLine="200" w:firstLineChars="200"/>
    </w:pPr>
    <w:rPr>
      <w:sz w:val="24"/>
    </w:rPr>
  </w:style>
  <w:style w:type="paragraph" w:customStyle="1" w:styleId="116">
    <w:name w:val="reader-word-layer reader-word-s6-8"/>
    <w:basedOn w:val="1"/>
    <w:qFormat/>
    <w:uiPriority w:val="0"/>
    <w:pPr>
      <w:widowControl/>
      <w:spacing w:before="100" w:beforeAutospacing="1" w:after="100" w:afterAutospacing="1"/>
      <w:jc w:val="left"/>
    </w:pPr>
    <w:rPr>
      <w:rFonts w:ascii="宋体" w:hAnsi="宋体" w:cs="宋体"/>
      <w:kern w:val="0"/>
      <w:sz w:val="24"/>
    </w:rPr>
  </w:style>
  <w:style w:type="paragraph" w:customStyle="1" w:styleId="117">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18">
    <w:name w:val="xyb自建正文"/>
    <w:basedOn w:val="1"/>
    <w:link w:val="173"/>
    <w:qFormat/>
    <w:uiPriority w:val="0"/>
    <w:pPr>
      <w:spacing w:line="360" w:lineRule="auto"/>
      <w:jc w:val="left"/>
      <w:textAlignment w:val="baseline"/>
    </w:pPr>
    <w:rPr>
      <w:snapToGrid w:val="0"/>
      <w:sz w:val="24"/>
      <w:lang w:val="zh-CN" w:eastAsia="zh-CN"/>
    </w:rPr>
  </w:style>
  <w:style w:type="paragraph" w:customStyle="1" w:styleId="119">
    <w:name w:val="xl32"/>
    <w:basedOn w:val="1"/>
    <w:qFormat/>
    <w:uiPriority w:val="0"/>
    <w:pPr>
      <w:widowControl/>
      <w:pBdr>
        <w:left w:val="single" w:color="auto" w:sz="4" w:space="0"/>
        <w:bottom w:val="single" w:color="auto" w:sz="4" w:space="0"/>
      </w:pBdr>
      <w:spacing w:before="100" w:beforeAutospacing="1" w:after="100" w:afterAutospacing="1"/>
      <w:jc w:val="center"/>
      <w:textAlignment w:val="top"/>
    </w:pPr>
    <w:rPr>
      <w:rFonts w:ascii="宋体" w:hAnsi="宋体"/>
      <w:kern w:val="0"/>
      <w:sz w:val="24"/>
    </w:rPr>
  </w:style>
  <w:style w:type="paragraph" w:customStyle="1" w:styleId="120">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121">
    <w:name w:val="表"/>
    <w:basedOn w:val="1"/>
    <w:link w:val="151"/>
    <w:qFormat/>
    <w:uiPriority w:val="0"/>
    <w:pPr>
      <w:snapToGrid w:val="0"/>
      <w:spacing w:line="340" w:lineRule="exact"/>
      <w:jc w:val="center"/>
    </w:pPr>
    <w:rPr>
      <w:lang w:val="zh-CN" w:eastAsia="zh-CN"/>
    </w:rPr>
  </w:style>
  <w:style w:type="paragraph" w:customStyle="1" w:styleId="122">
    <w:name w:val="1"/>
    <w:basedOn w:val="1"/>
    <w:next w:val="22"/>
    <w:qFormat/>
    <w:uiPriority w:val="0"/>
    <w:pPr>
      <w:ind w:firstLine="570"/>
    </w:pPr>
    <w:rPr>
      <w:color w:val="993300"/>
      <w:sz w:val="28"/>
    </w:rPr>
  </w:style>
  <w:style w:type="paragraph" w:customStyle="1" w:styleId="123">
    <w:name w:val="1正文版式"/>
    <w:basedOn w:val="1"/>
    <w:qFormat/>
    <w:uiPriority w:val="0"/>
    <w:pPr>
      <w:tabs>
        <w:tab w:val="left" w:pos="3514"/>
      </w:tabs>
      <w:adjustRightInd w:val="0"/>
      <w:snapToGrid w:val="0"/>
      <w:spacing w:line="480" w:lineRule="exact"/>
      <w:ind w:firstLine="200" w:firstLineChars="200"/>
    </w:pPr>
    <w:rPr>
      <w:sz w:val="24"/>
      <w:szCs w:val="20"/>
    </w:rPr>
  </w:style>
  <w:style w:type="paragraph" w:customStyle="1" w:styleId="124">
    <w:name w:val="xl39"/>
    <w:basedOn w:val="1"/>
    <w:qFormat/>
    <w:uiPriority w:val="0"/>
    <w:pPr>
      <w:widowControl/>
      <w:pBdr>
        <w:top w:val="single" w:color="auto" w:sz="12" w:space="0"/>
        <w:left w:val="single" w:color="auto" w:sz="12" w:space="0"/>
        <w:bottom w:val="single" w:color="auto" w:sz="4" w:space="0"/>
      </w:pBdr>
      <w:spacing w:before="100" w:beforeAutospacing="1" w:after="100" w:afterAutospacing="1"/>
      <w:jc w:val="center"/>
    </w:pPr>
    <w:rPr>
      <w:rFonts w:ascii="宋体" w:hAnsi="宋体"/>
      <w:kern w:val="0"/>
      <w:szCs w:val="21"/>
    </w:rPr>
  </w:style>
  <w:style w:type="paragraph" w:customStyle="1" w:styleId="125">
    <w:name w:val="报告书"/>
    <w:basedOn w:val="1"/>
    <w:link w:val="175"/>
    <w:qFormat/>
    <w:uiPriority w:val="0"/>
    <w:pPr>
      <w:spacing w:line="300" w:lineRule="auto"/>
      <w:ind w:firstLine="480" w:firstLineChars="200"/>
    </w:pPr>
    <w:rPr>
      <w:sz w:val="24"/>
      <w:lang w:val="zh-CN" w:eastAsia="zh-CN"/>
    </w:rPr>
  </w:style>
  <w:style w:type="paragraph" w:customStyle="1" w:styleId="126">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27">
    <w:name w:val="xl29"/>
    <w:basedOn w:val="1"/>
    <w:qFormat/>
    <w:uiPriority w:val="0"/>
    <w:pPr>
      <w:widowControl/>
      <w:pBdr>
        <w:top w:val="single" w:color="auto" w:sz="12"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28">
    <w:name w:val="xl28"/>
    <w:basedOn w:val="1"/>
    <w:qFormat/>
    <w:uiPriority w:val="0"/>
    <w:pPr>
      <w:widowControl/>
      <w:pBdr>
        <w:bottom w:val="single" w:color="auto" w:sz="12" w:space="0"/>
        <w:right w:val="single" w:color="auto" w:sz="4" w:space="0"/>
      </w:pBdr>
      <w:spacing w:before="100" w:beforeAutospacing="1" w:after="100" w:afterAutospacing="1"/>
      <w:jc w:val="center"/>
    </w:pPr>
    <w:rPr>
      <w:rFonts w:ascii="宋体" w:hAnsi="宋体"/>
      <w:kern w:val="0"/>
      <w:szCs w:val="21"/>
    </w:rPr>
  </w:style>
  <w:style w:type="paragraph" w:customStyle="1" w:styleId="129">
    <w:name w:val="xl36"/>
    <w:basedOn w:val="1"/>
    <w:qFormat/>
    <w:uiPriority w:val="0"/>
    <w:pPr>
      <w:widowControl/>
      <w:pBdr>
        <w:left w:val="single" w:color="auto" w:sz="12" w:space="0"/>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0">
    <w:name w:val="1-正文"/>
    <w:basedOn w:val="1"/>
    <w:qFormat/>
    <w:uiPriority w:val="0"/>
    <w:pPr>
      <w:spacing w:after="60" w:line="360" w:lineRule="auto"/>
      <w:ind w:firstLine="200" w:firstLineChars="200"/>
    </w:pPr>
    <w:rPr>
      <w:sz w:val="24"/>
    </w:rPr>
  </w:style>
  <w:style w:type="paragraph" w:customStyle="1" w:styleId="131">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2">
    <w:name w:val="表头样式1"/>
    <w:basedOn w:val="1"/>
    <w:qFormat/>
    <w:uiPriority w:val="0"/>
    <w:pPr>
      <w:adjustRightInd w:val="0"/>
      <w:snapToGrid w:val="0"/>
      <w:spacing w:line="360" w:lineRule="auto"/>
      <w:jc w:val="center"/>
    </w:pPr>
    <w:rPr>
      <w:rFonts w:eastAsia="黑体"/>
      <w:b/>
      <w:sz w:val="24"/>
    </w:rPr>
  </w:style>
  <w:style w:type="paragraph" w:customStyle="1" w:styleId="133">
    <w:name w:val="haydonli"/>
    <w:basedOn w:val="1"/>
    <w:qFormat/>
    <w:uiPriority w:val="0"/>
    <w:pPr>
      <w:snapToGrid w:val="0"/>
      <w:spacing w:line="360" w:lineRule="auto"/>
      <w:ind w:firstLine="200" w:firstLineChars="200"/>
    </w:pPr>
    <w:rPr>
      <w:sz w:val="24"/>
    </w:rPr>
  </w:style>
  <w:style w:type="paragraph" w:customStyle="1" w:styleId="134">
    <w:name w:val="表格文字"/>
    <w:basedOn w:val="11"/>
    <w:qFormat/>
    <w:uiPriority w:val="0"/>
    <w:pPr>
      <w:spacing w:after="0" w:line="280" w:lineRule="exact"/>
      <w:jc w:val="center"/>
    </w:pPr>
    <w:rPr>
      <w:rFonts w:ascii="宋体" w:hAnsi="宋体"/>
      <w:szCs w:val="20"/>
    </w:rPr>
  </w:style>
  <w:style w:type="paragraph" w:customStyle="1" w:styleId="13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36">
    <w:name w:val="xl30"/>
    <w:basedOn w:val="1"/>
    <w:qFormat/>
    <w:uiPriority w:val="0"/>
    <w:pPr>
      <w:widowControl/>
      <w:pBdr>
        <w:top w:val="single" w:color="auto" w:sz="12" w:space="0"/>
        <w:bottom w:val="single" w:color="auto" w:sz="4" w:space="0"/>
        <w:right w:val="single" w:color="auto" w:sz="12" w:space="0"/>
      </w:pBdr>
      <w:spacing w:before="100" w:beforeAutospacing="1" w:after="100" w:afterAutospacing="1"/>
      <w:jc w:val="center"/>
    </w:pPr>
    <w:rPr>
      <w:rFonts w:ascii="宋体" w:hAnsi="宋体"/>
      <w:kern w:val="0"/>
      <w:szCs w:val="21"/>
    </w:rPr>
  </w:style>
  <w:style w:type="paragraph" w:customStyle="1" w:styleId="137">
    <w:name w:val="xl35"/>
    <w:basedOn w:val="1"/>
    <w:qFormat/>
    <w:uiPriority w:val="0"/>
    <w:pPr>
      <w:widowControl/>
      <w:pBdr>
        <w:left w:val="single" w:color="auto" w:sz="12" w:space="0"/>
        <w:right w:val="single" w:color="auto" w:sz="4" w:space="0"/>
      </w:pBdr>
      <w:spacing w:before="100" w:beforeAutospacing="1" w:after="100" w:afterAutospacing="1"/>
      <w:jc w:val="center"/>
    </w:pPr>
    <w:rPr>
      <w:rFonts w:ascii="宋体" w:hAnsi="宋体"/>
      <w:kern w:val="0"/>
      <w:szCs w:val="21"/>
    </w:rPr>
  </w:style>
  <w:style w:type="paragraph" w:customStyle="1" w:styleId="138">
    <w:name w:val="CM78"/>
    <w:basedOn w:val="1"/>
    <w:next w:val="1"/>
    <w:qFormat/>
    <w:uiPriority w:val="0"/>
    <w:pPr>
      <w:autoSpaceDE w:val="0"/>
      <w:autoSpaceDN w:val="0"/>
      <w:adjustRightInd w:val="0"/>
      <w:spacing w:after="533"/>
      <w:jc w:val="left"/>
    </w:pPr>
    <w:rPr>
      <w:rFonts w:ascii="黑体" w:eastAsia="黑体"/>
      <w:kern w:val="0"/>
      <w:sz w:val="20"/>
    </w:rPr>
  </w:style>
  <w:style w:type="paragraph" w:customStyle="1" w:styleId="139">
    <w:name w:val="Table Paragraph"/>
    <w:basedOn w:val="1"/>
    <w:qFormat/>
    <w:uiPriority w:val="1"/>
    <w:pPr>
      <w:jc w:val="left"/>
    </w:pPr>
    <w:rPr>
      <w:rFonts w:ascii="Calibri" w:hAnsi="Calibri"/>
      <w:kern w:val="0"/>
      <w:sz w:val="22"/>
      <w:szCs w:val="22"/>
      <w:lang w:eastAsia="en-US"/>
    </w:rPr>
  </w:style>
  <w:style w:type="paragraph" w:customStyle="1" w:styleId="140">
    <w:name w:val="样式 样式 正文 + 首行缩进:  2 字符 + 首行缩进:  2 字符"/>
    <w:basedOn w:val="1"/>
    <w:qFormat/>
    <w:uiPriority w:val="0"/>
    <w:pPr>
      <w:spacing w:line="360" w:lineRule="auto"/>
      <w:ind w:firstLine="480" w:firstLineChars="200"/>
    </w:pPr>
    <w:rPr>
      <w:sz w:val="24"/>
      <w:szCs w:val="20"/>
    </w:rPr>
  </w:style>
  <w:style w:type="paragraph" w:customStyle="1" w:styleId="141">
    <w:name w:val="正文（首行缩进） Char"/>
    <w:basedOn w:val="1"/>
    <w:qFormat/>
    <w:uiPriority w:val="0"/>
    <w:pPr>
      <w:widowControl/>
      <w:overflowPunct w:val="0"/>
      <w:topLinePunct/>
      <w:autoSpaceDE w:val="0"/>
      <w:autoSpaceDN w:val="0"/>
      <w:adjustRightInd w:val="0"/>
      <w:snapToGrid w:val="0"/>
      <w:spacing w:line="360" w:lineRule="auto"/>
      <w:ind w:firstLine="480" w:firstLineChars="200"/>
      <w:textAlignment w:val="baseline"/>
    </w:pPr>
    <w:rPr>
      <w:snapToGrid w:val="0"/>
      <w:kern w:val="0"/>
      <w:sz w:val="24"/>
    </w:rPr>
  </w:style>
  <w:style w:type="paragraph" w:customStyle="1" w:styleId="142">
    <w:name w:val="图表头"/>
    <w:basedOn w:val="1"/>
    <w:qFormat/>
    <w:uiPriority w:val="0"/>
    <w:pPr>
      <w:adjustRightInd w:val="0"/>
      <w:jc w:val="center"/>
      <w:textAlignment w:val="baseline"/>
    </w:pPr>
    <w:rPr>
      <w:bCs/>
      <w:kern w:val="0"/>
      <w:szCs w:val="21"/>
    </w:rPr>
  </w:style>
  <w:style w:type="paragraph" w:customStyle="1" w:styleId="143">
    <w:name w:val="L填表内容"/>
    <w:basedOn w:val="1"/>
    <w:qFormat/>
    <w:uiPriority w:val="0"/>
    <w:pPr>
      <w:adjustRightInd w:val="0"/>
      <w:jc w:val="center"/>
      <w:textAlignment w:val="baseline"/>
    </w:pPr>
    <w:rPr>
      <w:kern w:val="0"/>
      <w:szCs w:val="20"/>
    </w:rPr>
  </w:style>
  <w:style w:type="character" w:customStyle="1" w:styleId="144">
    <w:name w:val="段 Char"/>
    <w:link w:val="145"/>
    <w:qFormat/>
    <w:uiPriority w:val="0"/>
    <w:rPr>
      <w:rFonts w:ascii="宋体"/>
      <w:lang w:val="en-US" w:eastAsia="zh-CN" w:bidi="ar-SA"/>
    </w:rPr>
  </w:style>
  <w:style w:type="paragraph" w:customStyle="1" w:styleId="145">
    <w:name w:val="段"/>
    <w:link w:val="14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lang w:val="en-US" w:eastAsia="zh-CN" w:bidi="ar-SA"/>
    </w:rPr>
  </w:style>
  <w:style w:type="paragraph" w:customStyle="1" w:styleId="146">
    <w:name w:val="6'"/>
    <w:basedOn w:val="1"/>
    <w:qFormat/>
    <w:uiPriority w:val="0"/>
    <w:pPr>
      <w:autoSpaceDE w:val="0"/>
      <w:autoSpaceDN w:val="0"/>
      <w:adjustRightInd w:val="0"/>
      <w:spacing w:line="320" w:lineRule="exact"/>
      <w:jc w:val="center"/>
      <w:textAlignment w:val="baseline"/>
    </w:pPr>
    <w:rPr>
      <w:spacing w:val="20"/>
      <w:kern w:val="28"/>
      <w:sz w:val="28"/>
      <w:szCs w:val="20"/>
    </w:rPr>
  </w:style>
  <w:style w:type="paragraph" w:customStyle="1" w:styleId="147">
    <w:name w:val="样式 样式 小四 蓝色 行距: 固定值 30 磅 + 行距: 1.5 倍行距"/>
    <w:basedOn w:val="1"/>
    <w:qFormat/>
    <w:uiPriority w:val="0"/>
    <w:pPr>
      <w:spacing w:line="360" w:lineRule="auto"/>
      <w:ind w:firstLine="480" w:firstLineChars="200"/>
    </w:pPr>
    <w:rPr>
      <w:rFonts w:cs="宋体"/>
      <w:color w:val="0000FF"/>
      <w:sz w:val="24"/>
    </w:rPr>
  </w:style>
  <w:style w:type="character" w:customStyle="1" w:styleId="148">
    <w:name w:val="正文首行缩进 Char"/>
    <w:basedOn w:val="55"/>
    <w:link w:val="27"/>
    <w:qFormat/>
    <w:uiPriority w:val="0"/>
    <w:rPr>
      <w:kern w:val="2"/>
      <w:sz w:val="21"/>
      <w:szCs w:val="24"/>
    </w:rPr>
  </w:style>
  <w:style w:type="paragraph" w:customStyle="1" w:styleId="149">
    <w:name w:val="三章正文"/>
    <w:basedOn w:val="11"/>
    <w:qFormat/>
    <w:uiPriority w:val="0"/>
    <w:pPr>
      <w:spacing w:after="0" w:line="360" w:lineRule="auto"/>
      <w:ind w:firstLine="200" w:firstLineChars="200"/>
    </w:pPr>
    <w:rPr>
      <w:rFonts w:hint="eastAsia"/>
      <w:sz w:val="24"/>
      <w:szCs w:val="20"/>
      <w:lang w:val="en-US" w:eastAsia="zh-CN"/>
    </w:rPr>
  </w:style>
  <w:style w:type="paragraph" w:customStyle="1" w:styleId="150">
    <w:name w:val="zh正文"/>
    <w:basedOn w:val="1"/>
    <w:qFormat/>
    <w:uiPriority w:val="0"/>
    <w:pPr>
      <w:spacing w:line="360" w:lineRule="exact"/>
      <w:ind w:firstLine="560" w:firstLineChars="200"/>
    </w:pPr>
    <w:rPr>
      <w:rFonts w:ascii="宋体" w:hAnsi="宋体"/>
      <w:sz w:val="28"/>
      <w:szCs w:val="20"/>
    </w:rPr>
  </w:style>
  <w:style w:type="character" w:customStyle="1" w:styleId="151">
    <w:name w:val="表 Char Char"/>
    <w:link w:val="121"/>
    <w:qFormat/>
    <w:uiPriority w:val="0"/>
    <w:rPr>
      <w:kern w:val="2"/>
      <w:sz w:val="21"/>
      <w:szCs w:val="24"/>
    </w:rPr>
  </w:style>
  <w:style w:type="paragraph" w:customStyle="1" w:styleId="152">
    <w:name w:val="内容"/>
    <w:basedOn w:val="1"/>
    <w:link w:val="153"/>
    <w:qFormat/>
    <w:uiPriority w:val="0"/>
    <w:pPr>
      <w:spacing w:line="480" w:lineRule="exact"/>
      <w:ind w:firstLine="200" w:firstLineChars="200"/>
    </w:pPr>
    <w:rPr>
      <w:sz w:val="24"/>
      <w:lang w:val="zh-CN" w:eastAsia="zh-CN"/>
    </w:rPr>
  </w:style>
  <w:style w:type="character" w:customStyle="1" w:styleId="153">
    <w:name w:val="内容 Char"/>
    <w:link w:val="152"/>
    <w:qFormat/>
    <w:uiPriority w:val="0"/>
    <w:rPr>
      <w:kern w:val="2"/>
      <w:sz w:val="24"/>
      <w:szCs w:val="24"/>
      <w:lang w:val="zh-CN" w:eastAsia="zh-CN"/>
    </w:rPr>
  </w:style>
  <w:style w:type="paragraph" w:customStyle="1" w:styleId="154">
    <w:name w:val="列表段落1"/>
    <w:basedOn w:val="1"/>
    <w:qFormat/>
    <w:uiPriority w:val="34"/>
    <w:pPr>
      <w:ind w:firstLine="420" w:firstLineChars="200"/>
    </w:pPr>
    <w:rPr>
      <w:rFonts w:ascii="Calibri" w:hAnsi="Calibri" w:cs="黑体"/>
      <w:szCs w:val="22"/>
    </w:rPr>
  </w:style>
  <w:style w:type="character" w:customStyle="1" w:styleId="155">
    <w:name w:val="副标题 Char"/>
    <w:link w:val="20"/>
    <w:qFormat/>
    <w:uiPriority w:val="0"/>
    <w:rPr>
      <w:rFonts w:ascii="Cambria" w:hAnsi="Cambria" w:eastAsia="黑体"/>
      <w:color w:val="000000"/>
      <w:sz w:val="24"/>
      <w:szCs w:val="32"/>
      <w:lang w:val="en-US"/>
    </w:rPr>
  </w:style>
  <w:style w:type="character" w:customStyle="1" w:styleId="156">
    <w:name w:val="表文 Char2"/>
    <w:link w:val="80"/>
    <w:qFormat/>
    <w:uiPriority w:val="0"/>
    <w:rPr>
      <w:sz w:val="18"/>
      <w:szCs w:val="18"/>
    </w:rPr>
  </w:style>
  <w:style w:type="character" w:customStyle="1" w:styleId="157">
    <w:name w:val="副标题 Char1"/>
    <w:qFormat/>
    <w:uiPriority w:val="0"/>
    <w:rPr>
      <w:rFonts w:ascii="Cambria" w:hAnsi="Cambria" w:cs="Times New Roman"/>
      <w:b/>
      <w:bCs/>
      <w:kern w:val="28"/>
      <w:sz w:val="32"/>
      <w:szCs w:val="32"/>
    </w:rPr>
  </w:style>
  <w:style w:type="paragraph" w:customStyle="1" w:styleId="158">
    <w:name w:val="正文首行缩进1"/>
    <w:basedOn w:val="11"/>
    <w:qFormat/>
    <w:uiPriority w:val="0"/>
    <w:pPr>
      <w:ind w:firstLine="420" w:firstLineChars="100"/>
    </w:pPr>
    <w:rPr>
      <w:lang w:val="en-US" w:eastAsia="zh-CN"/>
    </w:rPr>
  </w:style>
  <w:style w:type="character" w:customStyle="1" w:styleId="159">
    <w:name w:val="报告 Char Char Char"/>
    <w:link w:val="160"/>
    <w:qFormat/>
    <w:uiPriority w:val="0"/>
    <w:rPr>
      <w:sz w:val="24"/>
      <w:szCs w:val="21"/>
    </w:rPr>
  </w:style>
  <w:style w:type="paragraph" w:customStyle="1" w:styleId="160">
    <w:name w:val="报告 Char Char"/>
    <w:basedOn w:val="1"/>
    <w:link w:val="159"/>
    <w:qFormat/>
    <w:uiPriority w:val="0"/>
    <w:pPr>
      <w:overflowPunct w:val="0"/>
      <w:autoSpaceDE w:val="0"/>
      <w:autoSpaceDN w:val="0"/>
      <w:adjustRightInd w:val="0"/>
      <w:spacing w:line="360" w:lineRule="auto"/>
      <w:ind w:firstLine="200" w:firstLineChars="200"/>
      <w:textAlignment w:val="baseline"/>
    </w:pPr>
    <w:rPr>
      <w:kern w:val="0"/>
      <w:sz w:val="24"/>
      <w:szCs w:val="21"/>
      <w:lang w:val="zh-CN" w:eastAsia="zh-CN"/>
    </w:rPr>
  </w:style>
  <w:style w:type="paragraph" w:customStyle="1" w:styleId="161">
    <w:name w:val="表内容"/>
    <w:basedOn w:val="1"/>
    <w:qFormat/>
    <w:uiPriority w:val="0"/>
    <w:pPr>
      <w:autoSpaceDE w:val="0"/>
      <w:autoSpaceDN w:val="0"/>
      <w:adjustRightInd w:val="0"/>
      <w:jc w:val="center"/>
    </w:pPr>
    <w:rPr>
      <w:rFonts w:hAnsi="宋体" w:eastAsia="Times New Roman"/>
      <w:snapToGrid w:val="0"/>
      <w:kern w:val="0"/>
      <w:szCs w:val="18"/>
    </w:rPr>
  </w:style>
  <w:style w:type="paragraph" w:customStyle="1" w:styleId="162">
    <w:name w:val="TOC 标题1"/>
    <w:basedOn w:val="1"/>
    <w:next w:val="1"/>
    <w:qFormat/>
    <w:uiPriority w:val="0"/>
    <w:pPr>
      <w:widowControl/>
      <w:contextualSpacing/>
      <w:jc w:val="center"/>
    </w:pPr>
    <w:rPr>
      <w:kern w:val="0"/>
      <w:szCs w:val="21"/>
    </w:rPr>
  </w:style>
  <w:style w:type="character" w:customStyle="1" w:styleId="163">
    <w:name w:val="font21"/>
    <w:qFormat/>
    <w:uiPriority w:val="0"/>
    <w:rPr>
      <w:rFonts w:hint="eastAsia" w:ascii="宋体" w:hAnsi="宋体" w:eastAsia="宋体" w:cs="宋体"/>
      <w:color w:val="000000"/>
      <w:sz w:val="22"/>
      <w:szCs w:val="22"/>
      <w:u w:val="none"/>
    </w:rPr>
  </w:style>
  <w:style w:type="character" w:customStyle="1" w:styleId="164">
    <w:name w:val="font01"/>
    <w:qFormat/>
    <w:uiPriority w:val="0"/>
    <w:rPr>
      <w:rFonts w:ascii="font-weight : 400" w:hAnsi="font-weight : 400" w:eastAsia="font-weight : 400" w:cs="font-weight : 400"/>
      <w:color w:val="000000"/>
      <w:sz w:val="22"/>
      <w:szCs w:val="22"/>
      <w:u w:val="none"/>
    </w:rPr>
  </w:style>
  <w:style w:type="paragraph" w:customStyle="1" w:styleId="165">
    <w:name w:val="Char Char2 Char Char"/>
    <w:basedOn w:val="1"/>
    <w:qFormat/>
    <w:uiPriority w:val="0"/>
    <w:pPr>
      <w:spacing w:line="360" w:lineRule="auto"/>
      <w:ind w:firstLine="200" w:firstLineChars="200"/>
    </w:pPr>
    <w:rPr>
      <w:color w:val="000000"/>
      <w:kern w:val="0"/>
      <w:szCs w:val="20"/>
      <w:u w:color="000000"/>
    </w:rPr>
  </w:style>
  <w:style w:type="paragraph" w:customStyle="1" w:styleId="166">
    <w:name w:val="正文文本（报告）"/>
    <w:basedOn w:val="1"/>
    <w:qFormat/>
    <w:uiPriority w:val="0"/>
    <w:pPr>
      <w:spacing w:line="480" w:lineRule="exact"/>
      <w:ind w:firstLine="200" w:firstLineChars="200"/>
    </w:pPr>
    <w:rPr>
      <w:sz w:val="24"/>
    </w:rPr>
  </w:style>
  <w:style w:type="paragraph" w:customStyle="1" w:styleId="167">
    <w:name w:val="xl39558"/>
    <w:basedOn w:val="1"/>
    <w:qFormat/>
    <w:uiPriority w:val="0"/>
    <w:pPr>
      <w:widowControl/>
      <w:spacing w:before="100" w:beforeAutospacing="1" w:after="100" w:afterAutospacing="1"/>
      <w:jc w:val="center"/>
      <w:textAlignment w:val="center"/>
    </w:pPr>
    <w:rPr>
      <w:rFonts w:ascii="宋体" w:hAnsi="宋体" w:cs="宋体"/>
      <w:b/>
      <w:bCs/>
      <w:color w:val="FF0000"/>
      <w:kern w:val="0"/>
      <w:szCs w:val="21"/>
    </w:rPr>
  </w:style>
  <w:style w:type="paragraph" w:customStyle="1" w:styleId="168">
    <w:name w:val="样式4"/>
    <w:basedOn w:val="11"/>
    <w:next w:val="1"/>
    <w:qFormat/>
    <w:uiPriority w:val="0"/>
    <w:pPr>
      <w:widowControl/>
      <w:spacing w:after="0" w:line="500" w:lineRule="exact"/>
      <w:ind w:firstLine="560" w:firstLineChars="200"/>
      <w:jc w:val="left"/>
    </w:pPr>
    <w:rPr>
      <w:rFonts w:hint="eastAsia" w:ascii="宋体" w:hAnsi="宋体"/>
      <w:kern w:val="0"/>
      <w:sz w:val="28"/>
      <w:szCs w:val="28"/>
      <w:lang w:val="en-US" w:eastAsia="zh-CN"/>
    </w:rPr>
  </w:style>
  <w:style w:type="paragraph" w:customStyle="1" w:styleId="169">
    <w:name w:val="图表名格式"/>
    <w:link w:val="170"/>
    <w:qFormat/>
    <w:uiPriority w:val="1"/>
    <w:pPr>
      <w:spacing w:line="360" w:lineRule="auto"/>
      <w:jc w:val="center"/>
    </w:pPr>
    <w:rPr>
      <w:rFonts w:ascii="Times New Roman" w:hAnsi="Times New Roman" w:eastAsia="宋体" w:cs="Times New Roman"/>
      <w:b/>
      <w:sz w:val="24"/>
      <w:szCs w:val="24"/>
      <w:lang w:val="en-US" w:eastAsia="zh-CN" w:bidi="ar-SA"/>
    </w:rPr>
  </w:style>
  <w:style w:type="character" w:customStyle="1" w:styleId="170">
    <w:name w:val="图表名格式 Char"/>
    <w:link w:val="169"/>
    <w:qFormat/>
    <w:uiPriority w:val="1"/>
    <w:rPr>
      <w:b/>
      <w:sz w:val="24"/>
      <w:szCs w:val="24"/>
      <w:lang w:bidi="ar-SA"/>
    </w:rPr>
  </w:style>
  <w:style w:type="paragraph" w:customStyle="1" w:styleId="171">
    <w:name w:val="正文内容"/>
    <w:link w:val="172"/>
    <w:qFormat/>
    <w:uiPriority w:val="0"/>
    <w:pPr>
      <w:widowControl w:val="0"/>
      <w:spacing w:line="360" w:lineRule="auto"/>
      <w:ind w:firstLine="200" w:firstLineChars="200"/>
      <w:jc w:val="both"/>
    </w:pPr>
    <w:rPr>
      <w:rFonts w:ascii="Times New Roman" w:hAnsi="Times New Roman" w:eastAsia="宋体" w:cs="Times New Roman"/>
      <w:sz w:val="24"/>
      <w:szCs w:val="26"/>
      <w:lang w:val="en-US" w:eastAsia="zh-CN" w:bidi="ar-SA"/>
    </w:rPr>
  </w:style>
  <w:style w:type="character" w:customStyle="1" w:styleId="172">
    <w:name w:val="正文内容 Char"/>
    <w:link w:val="171"/>
    <w:qFormat/>
    <w:uiPriority w:val="0"/>
    <w:rPr>
      <w:sz w:val="24"/>
      <w:szCs w:val="26"/>
      <w:lang w:bidi="ar-SA"/>
    </w:rPr>
  </w:style>
  <w:style w:type="character" w:customStyle="1" w:styleId="173">
    <w:name w:val="xyb自建正文 Char1"/>
    <w:link w:val="118"/>
    <w:qFormat/>
    <w:locked/>
    <w:uiPriority w:val="0"/>
    <w:rPr>
      <w:snapToGrid w:val="0"/>
      <w:kern w:val="2"/>
      <w:sz w:val="24"/>
      <w:szCs w:val="24"/>
    </w:rPr>
  </w:style>
  <w:style w:type="paragraph" w:customStyle="1" w:styleId="174">
    <w:name w:val="Bt1.1"/>
    <w:basedOn w:val="4"/>
    <w:next w:val="1"/>
    <w:qFormat/>
    <w:uiPriority w:val="0"/>
    <w:pPr>
      <w:adjustRightInd w:val="0"/>
      <w:snapToGrid w:val="0"/>
      <w:spacing w:beforeLines="50" w:afterLines="50" w:line="360" w:lineRule="auto"/>
      <w:jc w:val="left"/>
    </w:pPr>
    <w:rPr>
      <w:rFonts w:ascii="Times New Roman" w:hAnsi="Times New Roman"/>
      <w:bCs w:val="0"/>
      <w:color w:val="000000"/>
      <w:kern w:val="0"/>
      <w:sz w:val="28"/>
      <w:szCs w:val="20"/>
    </w:rPr>
  </w:style>
  <w:style w:type="character" w:customStyle="1" w:styleId="175">
    <w:name w:val="报告书 Char Char"/>
    <w:link w:val="125"/>
    <w:qFormat/>
    <w:uiPriority w:val="0"/>
    <w:rPr>
      <w:kern w:val="2"/>
      <w:sz w:val="24"/>
      <w:szCs w:val="24"/>
    </w:rPr>
  </w:style>
  <w:style w:type="character" w:customStyle="1" w:styleId="176">
    <w:name w:val="正文加粗 Char"/>
    <w:link w:val="177"/>
    <w:qFormat/>
    <w:uiPriority w:val="0"/>
    <w:rPr>
      <w:rFonts w:ascii="宋体"/>
      <w:b/>
      <w:kern w:val="18"/>
      <w:sz w:val="24"/>
    </w:rPr>
  </w:style>
  <w:style w:type="paragraph" w:customStyle="1" w:styleId="177">
    <w:name w:val="正文加粗"/>
    <w:basedOn w:val="1"/>
    <w:link w:val="176"/>
    <w:qFormat/>
    <w:uiPriority w:val="0"/>
    <w:pPr>
      <w:spacing w:line="360" w:lineRule="auto"/>
      <w:ind w:firstLine="482"/>
    </w:pPr>
    <w:rPr>
      <w:rFonts w:ascii="宋体"/>
      <w:b/>
      <w:kern w:val="18"/>
      <w:sz w:val="24"/>
      <w:szCs w:val="20"/>
      <w:lang w:val="zh-CN" w:eastAsia="zh-CN"/>
    </w:rPr>
  </w:style>
  <w:style w:type="paragraph" w:customStyle="1" w:styleId="178">
    <w:name w:val="正文文字1"/>
    <w:basedOn w:val="1"/>
    <w:qFormat/>
    <w:uiPriority w:val="0"/>
    <w:pPr>
      <w:snapToGrid w:val="0"/>
      <w:spacing w:line="324" w:lineRule="auto"/>
      <w:ind w:firstLine="480" w:firstLineChars="200"/>
    </w:pPr>
    <w:rPr>
      <w:rFonts w:ascii="Calibri" w:hAnsi="Calibri" w:eastAsia="华文中宋"/>
      <w:sz w:val="24"/>
    </w:rPr>
  </w:style>
  <w:style w:type="paragraph" w:customStyle="1" w:styleId="179">
    <w:name w:val="GTR表格内容"/>
    <w:basedOn w:val="1"/>
    <w:qFormat/>
    <w:uiPriority w:val="0"/>
    <w:pPr>
      <w:jc w:val="center"/>
    </w:pPr>
    <w:rPr>
      <w:rFonts w:ascii="Calibri" w:hAnsi="Calibri"/>
    </w:rPr>
  </w:style>
  <w:style w:type="paragraph" w:customStyle="1" w:styleId="180">
    <w:name w:val="样式1"/>
    <w:basedOn w:val="1"/>
    <w:qFormat/>
    <w:uiPriority w:val="0"/>
    <w:pPr>
      <w:spacing w:line="360" w:lineRule="auto"/>
      <w:ind w:firstLine="480" w:firstLineChars="200"/>
    </w:pPr>
    <w:rPr>
      <w:rFonts w:ascii="Calibri" w:hAnsi="Calibri"/>
      <w:sz w:val="24"/>
      <w:szCs w:val="20"/>
    </w:rPr>
  </w:style>
  <w:style w:type="character" w:customStyle="1" w:styleId="181">
    <w:name w:val="标题 1 Char"/>
    <w:link w:val="3"/>
    <w:qFormat/>
    <w:uiPriority w:val="0"/>
    <w:rPr>
      <w:kern w:val="2"/>
      <w:sz w:val="28"/>
      <w:szCs w:val="24"/>
    </w:rPr>
  </w:style>
  <w:style w:type="paragraph" w:customStyle="1" w:styleId="182">
    <w:name w:val="p15"/>
    <w:basedOn w:val="1"/>
    <w:qFormat/>
    <w:uiPriority w:val="0"/>
    <w:pPr>
      <w:widowControl/>
      <w:spacing w:line="360" w:lineRule="auto"/>
      <w:jc w:val="left"/>
    </w:pPr>
    <w:rPr>
      <w:rFonts w:ascii="Calibri" w:hAnsi="Calibri"/>
      <w:b/>
      <w:bCs/>
      <w:kern w:val="0"/>
      <w:sz w:val="24"/>
    </w:rPr>
  </w:style>
  <w:style w:type="character" w:customStyle="1" w:styleId="183">
    <w:name w:val="表头 Char Char"/>
    <w:link w:val="184"/>
    <w:qFormat/>
    <w:uiPriority w:val="0"/>
    <w:rPr>
      <w:rFonts w:ascii="宋体" w:hAnsi="宋体"/>
      <w:b/>
      <w:kern w:val="24"/>
      <w:sz w:val="24"/>
      <w:szCs w:val="24"/>
    </w:rPr>
  </w:style>
  <w:style w:type="paragraph" w:customStyle="1" w:styleId="184">
    <w:name w:val="表头"/>
    <w:basedOn w:val="1"/>
    <w:link w:val="183"/>
    <w:qFormat/>
    <w:uiPriority w:val="0"/>
    <w:pPr>
      <w:tabs>
        <w:tab w:val="left" w:pos="1021"/>
      </w:tabs>
      <w:spacing w:line="500" w:lineRule="exact"/>
      <w:jc w:val="center"/>
    </w:pPr>
    <w:rPr>
      <w:rFonts w:ascii="宋体" w:hAnsi="宋体"/>
      <w:b/>
      <w:kern w:val="24"/>
      <w:sz w:val="24"/>
      <w:lang w:val="zh-CN" w:eastAsia="zh-CN"/>
    </w:rPr>
  </w:style>
  <w:style w:type="character" w:customStyle="1" w:styleId="185">
    <w:name w:val="报告正文 Char1"/>
    <w:link w:val="186"/>
    <w:qFormat/>
    <w:locked/>
    <w:uiPriority w:val="0"/>
    <w:rPr>
      <w:kern w:val="2"/>
      <w:sz w:val="24"/>
    </w:rPr>
  </w:style>
  <w:style w:type="paragraph" w:customStyle="1" w:styleId="186">
    <w:name w:val="报告正文"/>
    <w:basedOn w:val="1"/>
    <w:next w:val="1"/>
    <w:link w:val="185"/>
    <w:qFormat/>
    <w:uiPriority w:val="0"/>
    <w:pPr>
      <w:spacing w:line="360" w:lineRule="auto"/>
    </w:pPr>
    <w:rPr>
      <w:sz w:val="24"/>
      <w:szCs w:val="20"/>
      <w:lang w:val="zh-CN" w:eastAsia="zh-CN"/>
    </w:rPr>
  </w:style>
  <w:style w:type="paragraph" w:customStyle="1" w:styleId="187">
    <w:name w:val="_Style 13"/>
    <w:basedOn w:val="1"/>
    <w:qFormat/>
    <w:uiPriority w:val="0"/>
    <w:pPr>
      <w:widowControl/>
      <w:spacing w:after="160" w:line="240" w:lineRule="exact"/>
      <w:ind w:firstLine="1520" w:firstLineChars="200"/>
      <w:jc w:val="left"/>
    </w:pPr>
    <w:rPr>
      <w:rFonts w:ascii="Verdana" w:hAnsi="Verdana"/>
      <w:kern w:val="0"/>
      <w:sz w:val="20"/>
      <w:lang w:eastAsia="en-US"/>
    </w:rPr>
  </w:style>
  <w:style w:type="paragraph" w:customStyle="1" w:styleId="188">
    <w:name w:val="正文表内文字"/>
    <w:basedOn w:val="1"/>
    <w:qFormat/>
    <w:uiPriority w:val="0"/>
    <w:pPr>
      <w:spacing w:line="240" w:lineRule="atLeast"/>
      <w:ind w:firstLine="1520" w:firstLineChars="200"/>
      <w:jc w:val="center"/>
    </w:pPr>
    <w:rPr>
      <w:szCs w:val="20"/>
    </w:rPr>
  </w:style>
  <w:style w:type="character" w:styleId="189">
    <w:name w:val="Placeholder Text"/>
    <w:basedOn w:val="33"/>
    <w:unhideWhenUsed/>
    <w:qFormat/>
    <w:uiPriority w:val="99"/>
    <w:rPr>
      <w:color w:val="808080"/>
    </w:rPr>
  </w:style>
  <w:style w:type="table" w:customStyle="1" w:styleId="190">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191">
    <w:name w:val="-正文 Char"/>
    <w:link w:val="97"/>
    <w:qFormat/>
    <w:uiPriority w:val="0"/>
    <w:rPr>
      <w:rFonts w:ascii="Times New Roman" w:hAnsi="Times New Roman" w:eastAsia="宋体" w:cs="Times New Roman"/>
      <w:kern w:val="2"/>
      <w:sz w:val="24"/>
    </w:rPr>
  </w:style>
  <w:style w:type="character" w:customStyle="1" w:styleId="192">
    <w:name w:val="-表格 Char"/>
    <w:link w:val="193"/>
    <w:qFormat/>
    <w:uiPriority w:val="0"/>
    <w:rPr>
      <w:rFonts w:ascii="宋体" w:hAnsi="宋体" w:cs="宋体"/>
      <w:snapToGrid w:val="0"/>
      <w:kern w:val="2"/>
      <w:sz w:val="21"/>
      <w:szCs w:val="24"/>
    </w:rPr>
  </w:style>
  <w:style w:type="paragraph" w:customStyle="1" w:styleId="193">
    <w:name w:val="-表格"/>
    <w:basedOn w:val="69"/>
    <w:next w:val="1"/>
    <w:link w:val="192"/>
    <w:qFormat/>
    <w:uiPriority w:val="0"/>
    <w:pPr>
      <w:widowControl/>
      <w:tabs>
        <w:tab w:val="left" w:pos="3696"/>
      </w:tabs>
      <w:spacing w:line="240" w:lineRule="auto"/>
      <w:ind w:left="0" w:firstLine="0" w:firstLineChars="0"/>
    </w:pPr>
    <w:rPr>
      <w:rFonts w:hAnsi="宋体" w:cs="宋体"/>
      <w:kern w:val="2"/>
      <w:sz w:val="21"/>
      <w:lang w:val="en-US" w:eastAsia="zh-CN"/>
    </w:rPr>
  </w:style>
  <w:style w:type="character" w:customStyle="1" w:styleId="194">
    <w:name w:val="表题 Char"/>
    <w:link w:val="96"/>
    <w:qFormat/>
    <w:uiPriority w:val="0"/>
    <w:rPr>
      <w:rFonts w:eastAsia="黑体"/>
      <w:b/>
      <w:kern w:val="2"/>
      <w:sz w:val="21"/>
      <w:szCs w:val="24"/>
    </w:rPr>
  </w:style>
  <w:style w:type="paragraph" w:customStyle="1" w:styleId="195">
    <w:name w:val="-表题"/>
    <w:next w:val="97"/>
    <w:link w:val="196"/>
    <w:qFormat/>
    <w:uiPriority w:val="0"/>
    <w:pPr>
      <w:spacing w:line="480" w:lineRule="exact"/>
      <w:jc w:val="center"/>
    </w:pPr>
    <w:rPr>
      <w:rFonts w:ascii="Times New Roman" w:hAnsi="Times New Roman" w:eastAsia="宋体" w:cs="Times New Roman"/>
      <w:b/>
      <w:kern w:val="2"/>
      <w:sz w:val="21"/>
      <w:szCs w:val="24"/>
      <w:lang w:val="en-US" w:eastAsia="zh-CN" w:bidi="ar-SA"/>
    </w:rPr>
  </w:style>
  <w:style w:type="character" w:customStyle="1" w:styleId="196">
    <w:name w:val="-表题 Char"/>
    <w:link w:val="195"/>
    <w:qFormat/>
    <w:uiPriority w:val="0"/>
    <w:rPr>
      <w:b/>
      <w:kern w:val="2"/>
      <w:sz w:val="21"/>
      <w:szCs w:val="24"/>
    </w:rPr>
  </w:style>
  <w:style w:type="paragraph" w:customStyle="1" w:styleId="197">
    <w:name w:val="正文001"/>
    <w:basedOn w:val="1"/>
    <w:qFormat/>
    <w:uiPriority w:val="0"/>
    <w:pPr>
      <w:spacing w:before="60" w:line="420" w:lineRule="atLeast"/>
      <w:ind w:firstLine="482" w:firstLineChars="200"/>
    </w:pPr>
    <w:rPr>
      <w:sz w:val="24"/>
      <w:szCs w:val="20"/>
    </w:rPr>
  </w:style>
  <w:style w:type="paragraph" w:customStyle="1" w:styleId="198">
    <w:name w:val="表格内容"/>
    <w:basedOn w:val="1"/>
    <w:qFormat/>
    <w:uiPriority w:val="0"/>
    <w:pPr>
      <w:widowControl/>
      <w:tabs>
        <w:tab w:val="left" w:pos="5327"/>
        <w:tab w:val="left" w:pos="6326"/>
        <w:tab w:val="left" w:pos="7230"/>
        <w:tab w:val="left" w:pos="9301"/>
      </w:tabs>
      <w:spacing w:line="240" w:lineRule="atLeast"/>
      <w:ind w:firstLine="560" w:firstLineChars="200"/>
      <w:jc w:val="left"/>
    </w:pPr>
    <w:rPr>
      <w:rFonts w:ascii="仿宋_GB2312" w:hAnsi="Arial Narrow" w:eastAsia="华文中宋"/>
      <w:kern w:val="0"/>
      <w:sz w:val="24"/>
    </w:rPr>
  </w:style>
  <w:style w:type="paragraph" w:customStyle="1" w:styleId="199">
    <w:name w:val="正文-1"/>
    <w:link w:val="200"/>
    <w:qFormat/>
    <w:uiPriority w:val="0"/>
    <w:pPr>
      <w:spacing w:line="480" w:lineRule="exact"/>
      <w:ind w:firstLine="0" w:firstLineChars="0"/>
      <w:jc w:val="left"/>
    </w:pPr>
    <w:rPr>
      <w:rFonts w:ascii="Times New Roman" w:hAnsi="Times New Roman" w:eastAsia="宋体" w:cs="宋体"/>
      <w:b/>
      <w:kern w:val="2"/>
      <w:sz w:val="28"/>
      <w:lang w:val="en-US" w:eastAsia="zh-CN" w:bidi="ar-SA"/>
    </w:rPr>
  </w:style>
  <w:style w:type="character" w:customStyle="1" w:styleId="200">
    <w:name w:val="正文-1 Char"/>
    <w:link w:val="199"/>
    <w:qFormat/>
    <w:uiPriority w:val="0"/>
    <w:rPr>
      <w:rFonts w:ascii="Times New Roman" w:hAnsi="Times New Roman" w:eastAsia="宋体" w:cs="宋体"/>
      <w:b/>
      <w:kern w:val="2"/>
      <w:sz w:val="28"/>
      <w:lang w:val="en-US" w:eastAsia="zh-CN" w:bidi="ar-SA"/>
    </w:rPr>
  </w:style>
  <w:style w:type="paragraph" w:customStyle="1" w:styleId="201">
    <w:name w:val="表中文字"/>
    <w:basedOn w:val="1"/>
    <w:qFormat/>
    <w:uiPriority w:val="0"/>
    <w:pPr>
      <w:widowControl w:val="0"/>
      <w:spacing w:line="240" w:lineRule="auto"/>
      <w:jc w:val="center"/>
    </w:pPr>
    <w:rPr>
      <w:rFonts w:ascii="Times New Roman" w:hAnsi="Times New Roman" w:eastAsia="宋体"/>
      <w:color w:val="000000"/>
      <w:kern w:val="2"/>
      <w:sz w:val="21"/>
      <w:szCs w:val="24"/>
    </w:rPr>
  </w:style>
  <w:style w:type="paragraph" w:customStyle="1" w:styleId="202">
    <w:name w:val="初设正文"/>
    <w:basedOn w:val="1"/>
    <w:qFormat/>
    <w:uiPriority w:val="0"/>
    <w:pPr>
      <w:adjustRightInd w:val="0"/>
      <w:snapToGrid w:val="0"/>
      <w:spacing w:line="324" w:lineRule="auto"/>
      <w:ind w:left="227" w:right="170" w:firstLine="200" w:firstLineChars="200"/>
    </w:pPr>
    <w:rPr>
      <w:rFonts w:ascii="宋体" w:hAnsi="宋体" w:eastAsia="宋体"/>
      <w:sz w:val="24"/>
      <w:szCs w:val="24"/>
    </w:rPr>
  </w:style>
  <w:style w:type="paragraph" w:customStyle="1" w:styleId="203">
    <w:name w:val="表格1"/>
    <w:basedOn w:val="1"/>
    <w:qFormat/>
    <w:uiPriority w:val="0"/>
    <w:pPr>
      <w:widowControl w:val="0"/>
      <w:adjustRightInd w:val="0"/>
      <w:spacing w:line="20" w:lineRule="atLeast"/>
      <w:jc w:val="center"/>
      <w:textAlignment w:val="center"/>
    </w:pPr>
    <w:rPr>
      <w:sz w:val="21"/>
    </w:rPr>
  </w:style>
  <w:style w:type="paragraph" w:customStyle="1" w:styleId="204">
    <w:name w:val="表格01"/>
    <w:qFormat/>
    <w:uiPriority w:val="0"/>
    <w:pPr>
      <w:jc w:val="center"/>
    </w:pPr>
    <w:rPr>
      <w:rFonts w:ascii="Times New Roman" w:hAnsi="Times New Roman" w:eastAsia="宋体" w:cs="宋体"/>
      <w:kern w:val="2"/>
      <w:sz w:val="21"/>
      <w:szCs w:val="21"/>
      <w:lang w:val="en-US" w:eastAsia="zh-CN" w:bidi="ar-SA"/>
    </w:rPr>
  </w:style>
  <w:style w:type="paragraph" w:customStyle="1" w:styleId="205">
    <w:name w:val="红色正文"/>
    <w:basedOn w:val="11"/>
    <w:qFormat/>
    <w:uiPriority w:val="0"/>
    <w:pPr>
      <w:adjustRightInd w:val="0"/>
      <w:snapToGrid w:val="0"/>
      <w:spacing w:after="0" w:line="360" w:lineRule="auto"/>
      <w:ind w:firstLine="480" w:firstLineChars="200"/>
    </w:pPr>
    <w:rPr>
      <w:rFonts w:ascii="Times New Roman" w:hAnsi="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0.wmf"/><Relationship Id="rId3" Type="http://schemas.openxmlformats.org/officeDocument/2006/relationships/footer" Target="footer1.xml"/><Relationship Id="rId29" Type="http://schemas.openxmlformats.org/officeDocument/2006/relationships/oleObject" Target="embeddings/oleObject9.bin"/><Relationship Id="rId28" Type="http://schemas.openxmlformats.org/officeDocument/2006/relationships/image" Target="media/image9.wmf"/><Relationship Id="rId27" Type="http://schemas.openxmlformats.org/officeDocument/2006/relationships/oleObject" Target="embeddings/oleObject8.bin"/><Relationship Id="rId26" Type="http://schemas.openxmlformats.org/officeDocument/2006/relationships/image" Target="media/image8.wmf"/><Relationship Id="rId25" Type="http://schemas.openxmlformats.org/officeDocument/2006/relationships/oleObject" Target="embeddings/oleObject7.bin"/><Relationship Id="rId24" Type="http://schemas.openxmlformats.org/officeDocument/2006/relationships/image" Target="media/image7.wmf"/><Relationship Id="rId23" Type="http://schemas.openxmlformats.org/officeDocument/2006/relationships/oleObject" Target="embeddings/oleObject6.bin"/><Relationship Id="rId22" Type="http://schemas.openxmlformats.org/officeDocument/2006/relationships/image" Target="media/image6.wmf"/><Relationship Id="rId21" Type="http://schemas.openxmlformats.org/officeDocument/2006/relationships/oleObject" Target="embeddings/oleObject5.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4.wmf"/><Relationship Id="rId17" Type="http://schemas.openxmlformats.org/officeDocument/2006/relationships/oleObject" Target="embeddings/oleObject3.bin"/><Relationship Id="rId16" Type="http://schemas.openxmlformats.org/officeDocument/2006/relationships/image" Target="media/image3.emf"/><Relationship Id="rId15" Type="http://schemas.openxmlformats.org/officeDocument/2006/relationships/oleObject" Target="embeddings/oleObject2.bin"/><Relationship Id="rId14" Type="http://schemas.openxmlformats.org/officeDocument/2006/relationships/image" Target="media/image2.png"/><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954CB0-36ED-4B89-A246-3187C11B8B9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81</Pages>
  <Words>10008</Words>
  <Characters>57046</Characters>
  <Lines>475</Lines>
  <Paragraphs>133</Paragraphs>
  <TotalTime>4</TotalTime>
  <ScaleCrop>false</ScaleCrop>
  <LinksUpToDate>false</LinksUpToDate>
  <CharactersWithSpaces>66921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2019-06-22T13:21:00Z</dcterms:created>
  <dc:creator>Spy</dc:creator>
  <cp:lastModifiedBy> 红猪小妹鲜果坊（不接急单）</cp:lastModifiedBy>
  <cp:lastPrinted>2019-06-22T08:29:00Z</cp:lastPrinted>
  <dcterms:modified xsi:type="dcterms:W3CDTF">2020-11-11T07:32:39Z</dcterms:modified>
  <dc:title>建设项目基本情况</dc:title>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